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Moore v. Walker, [2001] B.C.J. No. 1563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Kirkpatrick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20 - 22,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31,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Kamloops Registry No. 28842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1563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1119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43 R.P.R. (3d) 269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107 A.C.W.S. (3d) 523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B.C.T.C. 1119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David Charles Moore and Vicki Lee Moore, plaintiffs, and Malcolm James Walker and Bernice Walker and John Soberlak, defendants, and Malcolm James Walker and Bernice Walker,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0" w:name="Keywords"/>
      <w:bookmarkEnd w:id="0"/>
      <w:r>
        <w:rPr>
          <w:rFonts w:ascii="arial" w:eastAsia="arial" w:hAnsi="arial" w:cs="arial"/>
          <w:b/>
          <w:color w:val="000000"/>
          <w:sz w:val="20"/>
          <w:lang w:val="en-US" w:eastAsia="en-US" w:bidi="ar-SA"/>
        </w:rPr>
        <w:t xml:space="preserve">Sale of land — Completion — Seller's duties — Known defects — Latent defects — Remedies of vendor — Specific performance and payment of purchase price — Barristers and solicitors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Preparation of documents.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 w:name="Case Summary"/>
            <w:bookmarkEnd w:id="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Moore against the defendant Walker for an order for specific performance, and against the defendant Soberlak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Moore purchased a manufactured home in 1991. Soberlak was his lawyer. He did not transfer ownership of the home to Moore. Moore was aware that the house had cracks in the basement floor and the walls. He did not think that they constituted structural defects. Moore decided to sell the home in 1999. He completed a property disclosure statement providing that he was not aware of any structural defects on the premises. Walker agreed to purchase the home. The statement formed part of the agreement of purchase and sale. Walker had an opportunity to view the basement area. He did not ask for the property to be inspected by an inspection service. The closing date was originally scheduled for August 16, 1999. It was changed to August 20 when Walker's notary discovered that the home was not registered in Moore's name. Walker moved into the home on August 16. He claimed that he only discovered the cracks on the wall on this date. The closing was delayed because the change of ownership of the home took longer to complete than anticipated. However, Walker agreed to defer the closing and merely asked for a new realistic closing date. The necessary documentation to effect this change was available by September 15. However, Walker refused to close the transaction and abandoned the home on September 13. The inspection showed that the house had structural defects. Walker also claimed that Moore could not convey title to the manufactured home. Moore claimed that Soberlak was negligent because he failed to transfer the home. Soberlak claimed that Moore never informed him that the home was manufactured, and that it was not his practice to inquire whether the home was manufactured in the absence of evidence.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 w:name="Holdings of Court"/>
            <w:bookmarkEnd w:id="2"/>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Moore was not awarded specific performance. He was awarded damages against Walker. These damages were to be assessed. His claim against Soberlak was dismissed. The cracks were discoverable on a reasonable inspection, which Walker failed to do. The defects were not latent but patent in nature. The doctrine of caveat emptor applied. Moore did nothing to mislead Walker. Moore was aware of the cracks but honestly believed that they were harmless. The statement was not a misrepresentation. It placed the onus on a purchaser to use it as a starting point for his investigation. Time was not of the essence of this transaction. The closing documents were available within a reasonable time. Specific performance did not apply because this property was not unique. Soberlak was not negligent. There was no expert evidence that the standard of care required him to inquire about the status of the house. There was evidence that his practice was reasonable.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 w:name="Counsel"/>
      <w:bookmarkEnd w:id="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6" style="position:absolute;z-index:2517094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K.F. Church, for the plaintiffs. R.G. Woitas, for the defendants and third parties, Malcolm Walker and Bernice Walker. M. Swail, for the defendant, John Soberlak.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 w:name="Judgment"/>
      <w:bookmarkEnd w:id="4"/>
      <w:r>
        <w:pict>
          <v:line id="_x0000_s1027" style="position:absolute;z-index:25176064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[Quicklaw note: A Corrigendum was released by the Court August 7, 2001.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 w:name="KIRKPATRICK J."/>
            <w:bookmarkEnd w:id="5"/>
            <w:r>
              <w:rPr>
                <w:rFonts w:ascii="arial" w:eastAsia="arial" w:hAnsi="arial" w:cs="arial"/>
                <w:b/>
                <w:color w:val="000000"/>
                <w:sz w:val="30"/>
                <w:lang w:val="en-US" w:eastAsia="en-US" w:bidi="ar-SA"/>
              </w:rPr>
              <w:t>KIRKPATRICK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By a contract of purchase and sale dated July 14, 1999, the defendants Malcolm and Bernice Walker (the "purchasers") agreed to purchase a home at 1811 Old Ferry Road located in rural Kamloops in an area known as Monte Creek (the "property"). The plaintiffs David and Vicki Moore (the "vendors") were the vendors of the property. The defendant John Soberlak is a lawyer who acted for David Moore in the conveyance to him of the property in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property consists of .26 acres of land located on the South Thompson River. The dwelling house is a manufactured home which sits on a full basement.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purchasers took possession of the property on August 16, 1999 prior to completion of the sale which was delayed because the vendors discovered from the purchasers' notary that title to the manufactured home had never been conveyed to Mr. Moore and there were some difficulties locating the registered owners of the manufactured home. As well, the manufactured home had been moved to the site at the property in apparent contradiction to s. 25 of the Manufactured Home Act, </w:t>
      </w:r>
      <w:hyperlink r:id="rId11" w:history="1">
        <w:r>
          <w:rPr>
            <w:rFonts w:ascii="arial" w:eastAsia="arial" w:hAnsi="arial" w:cs="arial"/>
            <w:i/>
            <w:color w:val="0077CC"/>
            <w:sz w:val="20"/>
            <w:u w:val="single"/>
            <w:shd w:val="clear" w:color="auto" w:fill="FFFFFF"/>
            <w:lang w:val="en-US" w:eastAsia="en-US" w:bidi="ar-SA"/>
          </w:rPr>
          <w:t>R.S.B.C. 1996, c. 280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Upon taking possession of the property, the purchasers allege that they discovered, for the first time, significant cracks in the basement floor and walls. The purchasers contend that the cracks constituted structural problems which had not been disclosed by the vendors and which the vendors actively concealed. On September 13, 1999 the purchasers returned the keys of the house to the sole realtor acting in the sale. The purchasers refused to complete the sale of the property on the basis of the alleged representations of the vendors and the vendors' inability to transfer title to the manufactured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vendors seek an order of specific performance by the purchasers. They also claim that Mr. Soberlak was negligent in failing to transfer ownership to the manufactured home to Mr. Moore in 1991 which, they allege, prevented the vendors from completing the sale to the purchasers in a timely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Mr. Soberlak instituted third party proceedings against the purchasers in which he alleges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 FACTS AND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June 1991, Mr. Moore purchased the property from Joseph and June Murphy. Mr. Moore knew that the house was a manufactured home, in part because the real estate listing described it as such. Although he advised the bank that provided financing for his purchase that it was a manufactured home, he did not so advise his lawyer, Mr. Soberlak. There were no documents in Mr. Soberlak's file that would have disclosed the fact that the home was a manufactured home. Nor indeed, was there any information that disclosed that the registered owners of the manufactured home were not the Murphys, but previous owners named McIlvenna and Hadath.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Moore lived in the home from 1991. He was aware of the cracks in the basement floor and in the walls, particularly those on the east side of the basement. He considered them to be unsightly, but was never concerned that they constituted a structural defect in the home. He thought he might one day repair the cracks, but apart from effecting some minor patching, he never got around to fully repairing the cracks.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August 1995, Mr. Moore transferred an undivided one-half interest in the property to his wife, as joint tenant. Mrs. Moore was also aware of the cracks in the basement floor and walls. She lived in the home from 1991. She testified that the cracks about which the purchasers complain were visible when she and Mr. Moore moved into the property and had not changed in the intervening eight years. She said she gave them no thought. She regarded them as cosmetic flaws.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and Mrs. Moore decided to list their home for sale in the spring of 1999 when property in Cherry Creek that they had been looking at came on the market. They decided to use the listing agent for the Cherry Creek property, Roy Turner, because he offered them a reduction in the commission.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Turner met the vendors at their home in April 1999 at which time he walked through the home with Mr. and Mrs. Moore. Mr. Turner and Mr. Moore went to the basement which is broken up into five rooms, two of which have particular significance to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first room at the bottom of the stairs leading from the main floor was referred to at trial as the corridor room. The floor was covered with a thin industrial type of carpet. Cracks and bumps in the concrete were clearly visible through the carpet. There were also cracks in the wall on the east side of the corridor room and beneath the stairs. Mr. Turner noticed the unevenness in the floor and suggested it would be worthwhile to repair. He cannot remember seeing cracks in the wall, although from the photographs in evidence, as well as a video tape filmed by the Moores in 1999 (and unrelated to the litigation), the cracks in the east wall were plainly visible.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second room was described at trial as the gun room. Mr. Moore is an outdoorsman and an avid hunter. He stored his guns in a gun locker in the gun room and, as a further precaution, kept the gun room locked. He told Mr. Turner that he or his wife would open the door to the room to permit prospective purchasers to view the room. He also showed Mr. Turner where he kept the pin for opening the door lock.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There were cracks on the south wall of the gun room which Mr. Turner did not observe but which were visible on close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Moore did not point out any of the wall cracks to Mr. Turner. Mr. Turner evidently considered that the house was, in his words, "as clean as can be", and did not notice anything out of the ordinary.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At the time of signing the listing agreement on April 15, 1999, Mr. Turner had Mr. and Mrs. Moore complete a property disclosure statement, the relevant terms of which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following is a statement made by the sellers concerning the condition of the property or strata unit located at: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ADDRESS/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STRATA UNIT#: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SELLERS ARE RESPONSIBLE FOR THE ACCURACY OF THE ANSWERS ON THIS DISCLOSURE STATEMENT AND WHERE UNCERTAIN SHOULD REPLY "DO NOT KNOW". THIS DISCLOSURE STATEMENT CONSTITUTES A REPRESENTATION UNDER ANY CONTRACT OF PURCHASE AND SALE IF SO AGREED IN WRITING BY THE SELLERS AND BUYERS.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THE SELLER SHOULD INITIAL</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THE APPROPRIATE REPLIES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4"/>
        <w:gridCol w:w="732"/>
        <w:gridCol w:w="1568"/>
        <w:gridCol w:w="732"/>
        <w:gridCol w:w="836"/>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 STRUCTURAL:</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YES</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NO</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DO</w:t>
            </w:r>
          </w:p>
        </w:tc>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DOES</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NOT</w:t>
            </w:r>
          </w:p>
        </w:tc>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NOT</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KNOW</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APPLY</w:t>
            </w:r>
          </w:p>
        </w:tc>
        <w:tc>
          <w:tcPr>
            <w:tcW w:w="194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542"/>
        <w:gridCol w:w="324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xml:space="preserve">H. Are you aware of </w:t>
            </w:r>
            <w:r>
              <w:rPr>
                <w:rFonts w:ascii="arial" w:eastAsia="arial" w:hAnsi="arial" w:cs="arial"/>
                <w:b/>
                <w:color w:val="000000"/>
                <w:sz w:val="18"/>
                <w:lang w:val="en-US" w:eastAsia="en-US" w:bidi="ar-SA"/>
              </w:rPr>
              <w:t>any structural</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problems with the premises</w:t>
            </w:r>
            <w:r>
              <w:rPr>
                <w:rFonts w:ascii="arial" w:eastAsia="arial" w:hAnsi="arial" w:cs="arial"/>
                <w:color w:val="000000"/>
                <w:sz w:val="18"/>
                <w:lang w:val="en-US" w:eastAsia="en-US" w:bidi="ar-SA"/>
              </w:rPr>
              <w:t xml:space="preserve"> or other</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buildings on the property?</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42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t>
            </w:r>
            <w:r>
              <w:rPr>
                <w:rFonts w:ascii="arial" w:eastAsia="arial" w:hAnsi="arial" w:cs="arial"/>
                <w:b/>
                <w:color w:val="000000"/>
                <w:sz w:val="18"/>
                <w:lang w:val="en-US" w:eastAsia="en-US" w:bidi="ar-SA"/>
              </w:rPr>
              <w:t>INITIALED</w:t>
            </w:r>
            <w:r>
              <w:rPr>
                <w:rFonts w:ascii="arial" w:eastAsia="arial" w:hAnsi="arial" w:cs="arial"/>
                <w:color w:val="000000"/>
                <w:sz w:val="18"/>
                <w:lang w:val="en-US" w:eastAsia="en-US" w:bidi="ar-SA"/>
              </w:rPr>
              <w:t>]</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emphasis.]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sellers state that the above information is true, based on the sellers' current actual knowledge as of the above date. Any important changes to this information made known to the sellers will be disclosed by sellers to buyers prior to closing. The sellers acknowledge receipt of a copy of this disclosure statement and agree that a copy may be given to prospective buyers.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PLEASE READ INFORMATION ON THE REVERSE</w: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SIDE OF THIS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660"/>
        <w:gridCol w:w="51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[signature]</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SELLER</w:t>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SELLER</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buyers acknowledge that they have received and read a signed copy of this disclosure statement from the sellers or the sellers' agent on the </w:t>
      </w:r>
      <w:r>
        <w:rPr>
          <w:rFonts w:ascii="arial" w:eastAsia="arial" w:hAnsi="arial" w:cs="arial"/>
          <w:color w:val="000000"/>
          <w:sz w:val="20"/>
          <w:u w:val="single"/>
          <w:lang w:val="en-US" w:eastAsia="en-US" w:bidi="ar-SA"/>
        </w:rPr>
        <w:t>"30"</w:t>
      </w:r>
      <w:r>
        <w:rPr>
          <w:rFonts w:ascii="arial" w:eastAsia="arial" w:hAnsi="arial" w:cs="arial"/>
          <w:color w:val="000000"/>
          <w:sz w:val="20"/>
          <w:lang w:val="en-US" w:eastAsia="en-US" w:bidi="ar-SA"/>
        </w:rPr>
        <w:t xml:space="preserve"> day of </w:t>
      </w:r>
      <w:r>
        <w:rPr>
          <w:rFonts w:ascii="arial" w:eastAsia="arial" w:hAnsi="arial" w:cs="arial"/>
          <w:color w:val="000000"/>
          <w:sz w:val="20"/>
          <w:u w:val="single"/>
          <w:lang w:val="en-US" w:eastAsia="en-US" w:bidi="ar-SA"/>
        </w:rPr>
        <w:t>"June"</w:t>
      </w:r>
      <w:r>
        <w:rPr>
          <w:rFonts w:ascii="arial" w:eastAsia="arial" w:hAnsi="arial" w:cs="arial"/>
          <w:color w:val="000000"/>
          <w:sz w:val="20"/>
          <w:lang w:val="en-US" w:eastAsia="en-US" w:bidi="ar-SA"/>
        </w:rPr>
        <w:t>, 199</w:t>
      </w:r>
      <w:r>
        <w:rPr>
          <w:rFonts w:ascii="arial" w:eastAsia="arial" w:hAnsi="arial" w:cs="arial"/>
          <w:color w:val="000000"/>
          <w:sz w:val="20"/>
          <w:u w:val="single"/>
          <w:lang w:val="en-US" w:eastAsia="en-US" w:bidi="ar-SA"/>
        </w:rPr>
        <w:t>"9"</w:t>
      </w:r>
      <w:r>
        <w:rPr>
          <w:rFonts w:ascii="arial" w:eastAsia="arial" w:hAnsi="arial" w:cs="arial"/>
          <w:color w:val="000000"/>
          <w:sz w:val="20"/>
          <w:lang w:val="en-US" w:eastAsia="en-US" w:bidi="ar-SA"/>
        </w:rPr>
        <w:t>. The prudent buyers will use this disclosure statement as the starting point for their own inquiries.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buyers are urged to carefully inspect the property and, if desired, to have the property inspected by an inspection service of their choice.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660"/>
        <w:gridCol w:w="51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"M. Walker"</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BUYER</w:t>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BUYER</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Sellers and buyers understand that neither the listing nor selling agencies or their representatives warrant or guarantee the above information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Both Mr. and Mrs. Moore testified that they discussed every question on the property disclosure statement with Mr. Turner. Mr. Turner remembered discussing two questions - one concerning septic service and another concerning building inspection and occupancy permit - but could not recall discussing question 2H. I find that the memories of the vendors are more accurate on this point and that they did indeed discuss with Mr. Turner all of the questions on the property disclosure statement. In making this finding, I do not suggest that Mr. Turner coached the vendors in their answers. He merely explained to them the meaning of the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Neither Mr. nor Mrs. Moore believed that the cracks in the floor and walls in the basement rooms constituted a "structural problem", and thus answered the question in that regard negatively. It is highly unlikely that there was any discussion between the Moores and Mr. Turner as to whether the cracks constituted a structural problem because Mr. Moore agrees that he never pointed out or discussed the wall cracks with Mr. Turner.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purchasers initially learned that the property was listed for sale from a friend who was a neighbour of the vendors. They contacted Mr. Turner who made arrangements for them to view the property on June 18, 1999. Mr. Moore was away from home on business. Mrs. Moore met the Walkers and walked through the house with them and Mr. Turner. The Walkers had questions concerning the pool, the pump in the river which supplies water to the property, and the septic tank. Mr. Walker noticed the unevenness of the corridor room floor and cautioned his wife to watch her step. Mrs. Walker also noticed a bump in the floor. She described being in the corridor room (which is small) for five to ten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Walker testified that there were some boxes and furniture on the east wall of the corridor room and that those, combined with the absence of light, made it difficult to see the wall. No other witness testified (or were asked) about the absence of light. I find that the room was not dark. I also find that, if there were any boxes in the room, they were, as Mrs. Walker testified, few and relatively small. I find that they did not obstruct the view of the room or the walls. I also find that the room was clean and tidy both when Mr. Turner viewed the room in April and when the Walkers viewed it on June 18,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group then moved to the gun room which, as was customary, was locked. Mr. Turner explained to the Walkers that Mr. Moore kept his guns in the room. An offer was made, either by Mr. Turner or Mrs. Moore, to open the door. Mr. Walker declined the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Other aspects of the viewing were reviewed in evidence. However, the purchasers' decision to not complete the sale related to the alleged structural deficiencies of the floor and walls in the corridor and gun rooms and the vendors' alleged inability to convey title to the manufactured home. The other aspects of the purchasers' inspection have no serious bearing on the outcome of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Walkers offered to purchase the property on June 30, 1999. The property disclosure statement formed part of the contract of purchase and sale. They viewed the property just once on June 18. They did not ask to view it again, nor did they ask to have the property inspected by an inspection service. They were not dissuaded in any way by the Moores or Mr. Turner in obtaining a qualified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Walker intimated in his direct evidence that Mr. Turner pressed him to sign the contract of purchase and sale in part by making the disclosure statement part of the contract. Mr. Walker testified that Mr. Turner told him words to the effect of: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I'm going to do a favour for you bub. We are going to place this disclosure paper as part of the contract and you can't go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To Mr. Walker, this statement was important because it was all they had to rely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difficulty posed by this evidence is that it was never put to Mr. Turner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R. v. Letourneau </w:t>
      </w:r>
      <w:hyperlink r:id="rId12" w:history="1">
        <w:r>
          <w:rPr>
            <w:rFonts w:ascii="arial" w:eastAsia="arial" w:hAnsi="arial" w:cs="arial"/>
            <w:i/>
            <w:color w:val="0077CC"/>
            <w:sz w:val="20"/>
            <w:u w:val="single"/>
            <w:shd w:val="clear" w:color="auto" w:fill="FFFFFF"/>
            <w:lang w:val="en-US" w:eastAsia="en-US" w:bidi="ar-SA"/>
          </w:rPr>
          <w:t>(1994), 87 C.C.C. (3d) 481</w:t>
        </w:r>
      </w:hyperlink>
      <w:r>
        <w:rPr>
          <w:rFonts w:ascii="arial" w:eastAsia="arial" w:hAnsi="arial" w:cs="arial"/>
          <w:color w:val="000000"/>
          <w:sz w:val="20"/>
          <w:lang w:val="en-US" w:eastAsia="en-US" w:bidi="ar-SA"/>
        </w:rPr>
        <w:t xml:space="preserve"> (B.C.C.A.), Cumming J.A., delivering the judgment of the court, held at 522: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generally speaking, the duty of cross-examining counsel to put to the witness all significant matters which the opposing party seeks to contradict. This is sometimes known as the rule in Browne v. Dunn (1893) 6 E.R. 67. It is accepted that failure to cross-examine in this regard is a matter of weight for the trier of fact: [authorities cited]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Turner was not afforded an opportunity to deal with the assertions of fact in Mr. Walker's evidence. In my view, it is neither fair nor consistent with trial efficiency to accord weight to Mr. Walker's evidence in the absence of Mr. Turner's opportunity to address the version of events posed in Mr Walker's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June 30 offer was countered by the Moores followed by another offer by the Walkers which was accepted by the vendors on July 14, 1999. The purchase price was $177,500. The completion date was August 15, 1999 with possession set for August 16, 1999. The completion date was later changed by an addendum to the contract to August 16 when it was realized that August 15 was a Sunday.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the meantime, the notary acting for the purchasers in the conveyance of the property discovered that the manufactured home was not registered in the vendors' name. A further addendum was executed on August 16 (the "second addendum"). It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Vendor and Purchase hereby agree that the date(s) on the Contract is/are changed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078"/>
        <w:gridCol w:w="2510"/>
        <w:gridCol w:w="2823"/>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99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FROM</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823"/>
        <w:gridCol w:w="2405"/>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COMPLETION DATE</w:t>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AUGUST 16, 1999</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AUGUST 20, 1999</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(or sooner).</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the parties hereto are aware and acknowledge the said Parkwood MH is currently not registered in the name of the undersigned Vendor. Once the Form 131 MH Transfer (the "Transfer") for the Parkwood MH has been signed by the current registered owner, the said Transfer, concurrently with the Application for Exemption Order, will be registered, as promptly as possible, in the Victoria Manufactured Home Registry by SEIKO OUCHI, Notary Public. Also concurrently, the Form A - Freehold Transfer for the land will be registered in the Kamloops Land Title Office. After registration and satisfactory post searches, and receipt of the mortgage proceeds, the net sale proceeds due the Vendor will be paid to OIEN CHURCH - in trust.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necessary, the parties hereto agree that the new Completion Date of August 20, 1999 will be further extended to allow the said Vendor sufficient time to obtain a registrable Transfer for the Parkwood MH.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meantime, the said Purchaser shall obtain possession of the Property on August 16, 1999 on the condition all the necessary documents to complete the transaction are executed by the Purchaser and in the hands of and held by SEIKO OUCHI, Notary Public and the Purchaser's funds required to complete, save and except the mortgage proceeds, shall be in trust with SEIKO OUCHI, Notary Public.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Time shall continue to be of the essence. All other terms and conditions of the Contract are to remain unchanged.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At the time the second addendum was executed, the purchasers had advised the vendors' solicitor that in order for the purchasers to obtain mortgage financing, it would be necessary to obtain an exemption order under the Manufactured Home Act. The vendors experienced delay in obtaining a transfer of the manufactured home registration because the last owners in whose names the home had been registered had to be located. As fate would have it, those owners had separated and when ultimately both were found, one had left to attend to a death in the family in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the meantime, the Walkers took possession of the property as planned on August 16. Mr. Walker testified that the vendors "insisted" that they move in. Mr. Moore testified that they wanted to accommodate the purchasers and so allowed them to take possession prior to closing. I find that Mr. Moore's evidence on this point is more probable.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Turner met the Walkers at the property and delivered the keys to them. Mr. Walker testified that it was only on August 16 that he noticed the cracks in the east wall of the basement. Mr. Walker testified as to a number of statements made to him by Mr. Turner in relation to the cracks including one in which Mr. Turner is alleged to have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I were you, I'd stop worrying about cracks. You just bought yourself a home in Monte Creek and you had better get used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Unfortunately, these and other mildly incriminating statements allegedly uttered by Mr. Turner were never put to him in cross-examination. Once again, for the same reasons as set out above, I am unable to accord that evidence any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Moore visited Mr. Walker at the property about three days after the purchasers took possession. Mr. Moore testified that Mr. Walker did not then express any concerns about the property. Mr. Walker testified that he asked Mr. Moore about the cracks and that Mr. Moore told him that they had been there for some time and had been caused by a neighbour's sprinkler having been left on for more than a day. Once again, I am forced to accept the evidence of Mr. Moore because the statements which Mr. Walker says Mr. Moore made were never put to Mr. Moore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the weeks following the purchasers taking possession of the property, numerous letters were exchanged between the purchasers' notary, Seiko Ouchi, and the vendors' solicitor, Kevin Church. It is evident from that exchange that the purchasers' lender required the manufactured home to be exempted under the Manufactured Home Act. It is also evident that the process to achieve that was more costly and time-consuming than anyone had contemplated. The vendors were anxious to do all that was necessary to complete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August 16, 1999 the purchasers' notary, at his suggestion, prepared the second addendum, and noted that the vendors' solicitor estimated that the transaction could complete by August 20. The sale did not complete on that day by reason of complications arising from the need to correct the registered location of the manufactured home. On August 23, the notary advised the vendors' solicitor of the fresh complication and asked him to provide his "suggestion as to a realistic extension of the Completion Date." The notary's letter closed by stating, "Time shall continue to remain of the essence."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September 3, the vendors' solicitor advised the notary that, "We are unable to close due to our inability to have one of the Vendors execute documentation." That is an apparent reference to one of the two last registered owners of the manufactured home, and not a reference to either Mr. or Mrs. Moore.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September 7, the alleged structural damage to the home was first raised in a letter from the purchasers' notary to the vendors' solicitor: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just been advised by the Purchaser there is evidence of serious structural damages to the basement floor and wall(s). The damages are mainly in the east rooms in the basement. One room was locked and the other room had belongings stacked against the wall when the home was initially viewed by the Purchaser. The Purchaser only recently noticed the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results [sic] of evidence of serious structural damages, the Purchaser is having the home inspected by an engineer and also will be obtaining estimates to repair the said damages. When we are provided with the inspection report and estimates for the repairs, we will provide you with a further report.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note the Vendor indicated in the Disclosure statement dated April 15, 1999: H. Are you aware of any structural problems with the premises or other buildings on the property? - "NO" was initialed by the Vendor.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record having discussed the potential serious structural damages with the Mortgagee providing the mortgage financing and we were advised that no mortgage proceeds would be advanced until the matter of the structural damages has been settled to the satisfaction of the said Mortgagee.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vendors' solicitor responded on September 10 by forwarding the documents for completing the transaction, including a transfer of the manufactured home. At the same time, he advised the notary that the vendors were not prepared to incur further expense to correct the change of location in the Manufactured Home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On September 13, the notary advised the solicitor that the transfer of ownership of the manufactured home would not be accepted by the Manufactured Home Registry because the registered location (evidently on an Indian reservation near Kamloops) was not the actual location of the manufactured home. Accordingly, the notary notified the solicitor that "we are unable to register the MH Transfer and, therefore, </w:t>
      </w:r>
      <w:r>
        <w:rPr>
          <w:rFonts w:ascii="arial" w:eastAsia="arial" w:hAnsi="arial" w:cs="arial"/>
          <w:b/>
          <w:color w:val="000000"/>
          <w:sz w:val="20"/>
          <w:lang w:val="en-US" w:eastAsia="en-US" w:bidi="ar-SA"/>
        </w:rPr>
        <w:t>the Purchaser</w:t>
      </w:r>
      <w:r>
        <w:rPr>
          <w:rFonts w:ascii="arial" w:eastAsia="arial" w:hAnsi="arial" w:cs="arial"/>
          <w:color w:val="000000"/>
          <w:sz w:val="20"/>
          <w:lang w:val="en-US" w:eastAsia="en-US" w:bidi="ar-SA"/>
        </w:rPr>
        <w:t xml:space="preserve"> is not able to complete the captioned transaction." (My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the same letter, the notary informed the vendors' solicitor of an engineer's report in respect of the alleged structural problems with the home: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much investigation and consideration, the Purchaser is of the option [sic] the cost to rectify the problems in the basement floor, foundation and footings, and also the perimeter drains will far exceed the $20,000.00 estimate stated in the Maydell Report. The aforementioned problems were discussed by the Purchaser with a lawyer.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Purchaser is not willing to be burdened with the cost of correcting the Registered Location of the said manufactured home nor are they willing to be faced with the exorbitant cost to permanently repair the undisclosed and long existing problems to the basement and perimeter drains. Therefore, the Purchaser does not intend to proceed with the captioned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purchasers vacated the property on September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By letter dated September 15, the vendors' solicitor advised the notary that, to his understanding, it was not necessary to change the location of the manufactured home when applying for an exemption order. He confirmed his instruction that the cost of obtaining an exemption order was the responsibility of the purchasers. He advised that he had all of the documents necessary to change the registered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This action for specific performance was commenced on January 11, 2000. The exemption order was made November 21,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vendors say that they were truthful in completing the property disclosure statement. Mrs. Moore offered access to the gun room, which was declined. No one dissuaded the purchasers from obtaining a professional inspection and, indeed, the property disclosure statement which forms part of the contract of purchase urges buyers to carefully inspect the property and to have the property inspected by an inspection service. The vendors say that the purchasers partially executed the contract by taking possession. The alleged structural deficiencies were plainly visible and do not constitute grounds for rescinding the contract. Further, the vendors assert that the purchasers cannot rely on the alleged defect in title when, knowing of the defect, they took possession of the property and partially executed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purchasers contend that they are entitled to rescission of the contract based upon the fraudulent misrepresentations of the vendors as evidenced by the property disclosure statement and by the failure of the vendors to deliver title to the manufactured home in accordance with the contract, the second addendum, and the continuing assertion that time was of the essence of the contract. The purchasers say that the vendors' inability to deliver title to the manufactured home precludes an order of specific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defendant solicitor, Mr. Soberlak, asserts that the standard of care owed to Mr. Moore did not require him to inquire whether the home on the property was a manufactured home. In any event, even if Mr. Soberlak did not meet the standard of care, there is no causal link between the alleged negligent conduct and the damages claimed. Mr. Soberlak asserts that any loss suffered by the Moores was caused either by their misrepresentations as to the condition of the house or by the Walkers' wrongful refusal to complete the purchase, the real reason for which were the alleged structural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LAW AND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Latent and Patent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Davis v. Stinka, </w:t>
      </w:r>
      <w:hyperlink r:id="rId13" w:history="1">
        <w:r>
          <w:rPr>
            <w:rFonts w:ascii="arial" w:eastAsia="arial" w:hAnsi="arial" w:cs="arial"/>
            <w:i/>
            <w:color w:val="0077CC"/>
            <w:sz w:val="20"/>
            <w:u w:val="single"/>
            <w:shd w:val="clear" w:color="auto" w:fill="FFFFFF"/>
            <w:lang w:val="en-US" w:eastAsia="en-US" w:bidi="ar-SA"/>
          </w:rPr>
          <w:t>[1995] B.C.J. No. 1256</w:t>
        </w:r>
      </w:hyperlink>
      <w:r>
        <w:rPr>
          <w:rFonts w:ascii="arial" w:eastAsia="arial" w:hAnsi="arial" w:cs="arial"/>
          <w:color w:val="000000"/>
          <w:sz w:val="20"/>
          <w:lang w:val="en-US" w:eastAsia="en-US" w:bidi="ar-SA"/>
        </w:rPr>
        <w:t xml:space="preserve"> (B.C.S.C.), Leggatt J. referred to the B.C. Real Estate Guide, para. 1820, as follows,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general law relating to the disclosure of facts by the vendor is still that of caveat emptor - let the purchaser beware. Defects are regarded as being of two kinds - latent or patent. Patent defects are those that can be discovered by inspection on ordinary vigilance on the part of the purchaser and with respect to them the ordinary rule is caveat emptor. Latent defects are those which would not be revealed by any enquiry which a purchaser is in a position to make before entering the contract. The vendor is thus under no obligation to disclose patent defects. It is up to the purchaser to ascertain them either by inspection or inquiry. By the same token the vendor must not act so as to mislead the purchaser or [allay] his suspicions.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44601 B.C. Ltd. v. Ashcroft (Village), </w:t>
      </w:r>
      <w:hyperlink r:id="rId14" w:history="1">
        <w:r>
          <w:rPr>
            <w:rFonts w:ascii="arial" w:eastAsia="arial" w:hAnsi="arial" w:cs="arial"/>
            <w:i/>
            <w:color w:val="0077CC"/>
            <w:sz w:val="20"/>
            <w:u w:val="single"/>
            <w:shd w:val="clear" w:color="auto" w:fill="FFFFFF"/>
            <w:lang w:val="en-US" w:eastAsia="en-US" w:bidi="ar-SA"/>
          </w:rPr>
          <w:t>[1998] B.C.J. No. 1964</w:t>
        </w:r>
      </w:hyperlink>
      <w:r>
        <w:rPr>
          <w:rFonts w:ascii="arial" w:eastAsia="arial" w:hAnsi="arial" w:cs="arial"/>
          <w:color w:val="000000"/>
          <w:sz w:val="20"/>
          <w:lang w:val="en-US" w:eastAsia="en-US" w:bidi="ar-SA"/>
        </w:rPr>
        <w:t xml:space="preserve"> (B.C.S.C.), Burnyeat J. described the legal distinction of latent and patent defects, at para. 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a vendor knows of the latent defect but fails to disclose that latent defect to a prospective purchaser, the vendor may be held liable for fraudulent misrepresentation: Rowley v. Isley </w:t>
      </w:r>
      <w:hyperlink r:id="rId15" w:history="1">
        <w:r>
          <w:rPr>
            <w:rFonts w:ascii="arial" w:eastAsia="arial" w:hAnsi="arial" w:cs="arial"/>
            <w:i/>
            <w:color w:val="0077CC"/>
            <w:sz w:val="20"/>
            <w:u w:val="single"/>
            <w:shd w:val="clear" w:color="auto" w:fill="FFFFFF"/>
            <w:lang w:val="en-US" w:eastAsia="en-US" w:bidi="ar-SA"/>
          </w:rPr>
          <w:t>[1951] 3 D.L.R. 766</w:t>
        </w:r>
      </w:hyperlink>
      <w:r>
        <w:rPr>
          <w:rFonts w:ascii="arial" w:eastAsia="arial" w:hAnsi="arial" w:cs="arial"/>
          <w:color w:val="000000"/>
          <w:sz w:val="20"/>
          <w:lang w:val="en-US" w:eastAsia="en-US" w:bidi="ar-SA"/>
        </w:rPr>
        <w:t xml:space="preserve"> (B.C.S.C.). On the other hand, there is no duty on the part of a vendor to disclose patent defects to the purchaser: patent defects being those which are discoverable by conducting a reasonable inspection of the premises and making reasonable inquiries into its qualities. In the case of patent defects, the rule of caveat emptor strictly applies. It is also the case that a purchaser will be held to a fairly high standard of inspection: see for instance Tony's Broadloom &amp; Floor Covering Ltd. v. NMC Canada Inc. </w:t>
      </w:r>
      <w:r>
        <w:rPr>
          <w:rFonts w:ascii="arial" w:eastAsia="arial" w:hAnsi="arial" w:cs="arial"/>
          <w:i/>
          <w:color w:val="000000"/>
          <w:sz w:val="20"/>
          <w:lang w:val="en-US" w:eastAsia="en-US" w:bidi="ar-SA"/>
        </w:rPr>
        <w:t>(1996), 141 D.L.R. (4th) 394</w:t>
      </w:r>
      <w:r>
        <w:rPr>
          <w:rFonts w:ascii="arial" w:eastAsia="arial" w:hAnsi="arial" w:cs="arial"/>
          <w:color w:val="000000"/>
          <w:sz w:val="20"/>
          <w:lang w:val="en-US" w:eastAsia="en-US" w:bidi="ar-SA"/>
        </w:rPr>
        <w:t xml:space="preserve"> (Ont.C.A.).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find that the cracks in both the walls and floor of the home were discoverable on reasonable inspection of the property, which the purchasers failed to do. Accordingly, the doctrine of caveat emptor applies. I also find that the vendors did nothing to mislead the purchasers either by word or deed. It is clear that the Moores were aware of the cracks, knew that they were observable, and had accepted them as harmless. At the time the property disclosure statement was signed, the Moores were unaware of any structural problems, believing the cracks to be merely cosmetic.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subsequent engineering reports obtained by the vendors and the purchasers speak of "major distress", "substantial cracks", and "lateral movement." Both reports recommended replacement of the east wall and footing. The Moores undertook that repair after the sale to the Walkers failed to complete. However, neither engineering report confirms the fears expressed at trial by the Walkers that the house was in danger of collapse. Indeed, the engineering report obtained by the vendors noted that the manufactured home did not show signs of movement or distress. In that engineer's opinion, the recommended repairs "to the specific structural components will augment the good structural condition of the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conclude that the engineering reports do not assist the purchasers in establishing their contention that the cracks were latent or that the vendors knew the seriousness of the cracks and tried to conceal them from the purchasers. I have already found that the cracks were observable. There is evidence that the purchasers observed the uneveness of the basement floor. In any case, the purchasers were obliged to conduct a reasonable inspection of the home. Had they done so, the cracks would have been seen and it was open to them at that time, before entering into the contract, to determine the extent of the cracks and the cost of any needed repairs. That would have been information which would have permitted negotiation as to the purchase price if they chose to make an offer. However, it is not a matter on which they may rely to rescind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purchasers did not plead fraudulent or negligent misrepresentation, although the statement of defence states that the purchasers relied on the representations of the vendors and Mr. Turner. No issue was taken at trial by the vendors as to the allegation of misrepresentation in the absence of appropriate pleading. I will therefore deal with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Counsel for the Walkers cited Derry v. Peek (1889), 61 L.T. 265 (H.L.) in support of the purchasers' entitlement to rescission based on fraudulent misrepresentation. Derry v. Peek dealt, of course, with an action for deceit and not misrepresentation. However, even on the test set out in Derry v. Peek, it cannot be shown that the vendors were "actually and fraudulently cognisant of the falsehood" of their representations or that their representations were made without belief that they were true. I therefore conclude that there was no fraud on the part of the vendors.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Counsel for the purchasers also suggested that the vendors negligently misrepresented the condition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principles to be applied in finding negligent misrepresentation were stated by McLachlin J.A. (as she then was) in Kingu v. Walmar Ventures Ltd. </w:t>
      </w:r>
      <w:hyperlink r:id="rId16" w:history="1">
        <w:r>
          <w:rPr>
            <w:rFonts w:ascii="arial" w:eastAsia="arial" w:hAnsi="arial" w:cs="arial"/>
            <w:i/>
            <w:color w:val="0077CC"/>
            <w:sz w:val="20"/>
            <w:u w:val="single"/>
            <w:shd w:val="clear" w:color="auto" w:fill="FFFFFF"/>
            <w:lang w:val="en-US" w:eastAsia="en-US" w:bidi="ar-SA"/>
          </w:rPr>
          <w:t>(1986), 10 B.C.L.R. (2d) 15</w:t>
        </w:r>
      </w:hyperlink>
      <w:r>
        <w:rPr>
          <w:rFonts w:ascii="arial" w:eastAsia="arial" w:hAnsi="arial" w:cs="arial"/>
          <w:color w:val="000000"/>
          <w:sz w:val="20"/>
          <w:lang w:val="en-US" w:eastAsia="en-US" w:bidi="ar-SA"/>
        </w:rPr>
        <w:t xml:space="preserve"> (C.A.), at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conclude that a plaintiff suing on pre-contractual representations is not as a matter of principle confined to his remedies in contract, but may sue in tort for negligent misrepresentation. However, the question of whether a duty of care in tort arises must be carefully scrutinized in the light of all the surrounding circumstances, including the rights and obligations which the parties have themselves established by their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question then is whether the requirements of tort liability on the basis of Hedley Byrne, [1964] A.C. 165, are satisfied in the case at bar. Those requirements may be summarized as follows:</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false statement negligently made;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A duty of care on the person making the statement to the recipient. A duty of care does not arise unless: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 person making the statement is possessed of special skill or knowledge on the matter in question,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the circumstances establish that a reasonable person making that statement would know that the recipient is relying upon his skill or judgment;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Reasonable reliance on the statement by its recipient;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suffered as a consequence of the reliance.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Although not articulated as such, the purchasers essentially say that the vendors knew or ought to have known that the cracks in the walls and floor of their home constituted "structural problems." The purchasers thus contend that the negative answer on the property disclosure statement was false. It is significant that neither engineer's report in evidence goes so far as to state that the suggested repairs related to "structural problems." More importantly, however, is that the subjective belief of the vendors, honestly held, was that there were no "structural problems." I therefore conclude that there was no false statement negligently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Furthermore, it cannot be said that the vendors possessed special skill or knowledge on the matter in question, which concerned structural problems. Both the purchasers and the vendors ultimately obtained expert advice to determine the exact nature and extent of the problem. It is certainly not obvious that the cracks constituted structural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Lastly, the property disclosure statement in which the alleged misrepresentation exists specifically places the onus on the purchaser to use the disclosure statement "as a starting point for their own inquiries."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 Time of the essence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By the second addendum executed on August 16, the purchasers acknowledged that the manufactured home was not then registered in the vendors' names. The addendum contemplated that once the transfer was signed, it would be filed by the purchasers' notary at the same time as the exemption order. Most significantly, the parties agreed that "If necessary...the new Completion Date of August 20, 1999 will be further extended to allow...the vendors...sufficient time to obtain a registrable Transfer" for the manufactured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As noted, the purchasers took possession of the property on August 16. They immediately discovered the cracks in the walls and floor of the basement. They mentioned nothing of their concerns to Mr. Moore on August 19, and likely mentioned nothing to Mr. Turner on August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August 20 came and went. Their notary's letter of August 23 expressed an apparent willingness to defer closing further and asked only for a "realistic" date for extension having regard to the complications that had arisen.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At no time prior to September 13 did the purchasers put the vendors on notice that the completion was required by a certain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Halkett v. Dudley (Earl) (1904), [1907] 1 Ch. 590, Parker J. held, at 596-597, that in situations where a purchaser becomes aware of a defect in title which cannot be removed without the concurrence of a third party, the purchaser may repudiate the contract. Although finding that such a repudiation would be a bar to any subsequent relief by means of specific performance, Parker J. went on to state that the purchaser's immediate right of repudiation for defect of title is an equitable right only; liability remains with the purchaser if the vendor makes a good title at the time fixed for completion. The right of repudiation must be exercised as soon as the defect is ascertained. If the purchaser continues to treat the contract as subsisting, the right to repudiate at some subsequent time is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Citing earlier authority, Preston J. summarized in this way, at 597: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in a bill for the specific performance of a contract is entitled to a decree, if, at the hearing, he can shew a good title, although he had not such title at the time of the contract: but the defendant might, if he had thought fit, have retired from the contract, as soon as the want of title was discovered, and was not bound to wait till the plaintiff could acquire a good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Later, in obiter, Parker J. held, at 600, that by treating the contract as subsisting after the discovery of the defect in title, the purchaser is precluded from exercising a right of repudiation at a subsequent time if he fails to give the vendor sufficient time to cure the defect.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the case at bar, the vendors had in their possession, on September 15, the documents necessary to transfer title in the manufactured home to the purchasers. Although the vendors were not prepared to register the documents necessary to change the registered location of the manufactured home (which under the second addendum was reasonably the responsibility of the purchasers), the vendors' solicitor also had those documents in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any case, at trial the vendors had obtained the exemption order and transfer of the property into their names.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these circumstances, I find that the holding in Halkett v. Dudley (Earl) applies, and the purchasers' arguments in respect of this issue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 Specific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As noted, the vendors seek an order of specific performance. The court in Semelhago v. Paramadevan, </w:t>
      </w:r>
      <w:hyperlink r:id="rId17" w:history="1">
        <w:r>
          <w:rPr>
            <w:rFonts w:ascii="arial" w:eastAsia="arial" w:hAnsi="arial" w:cs="arial"/>
            <w:i/>
            <w:color w:val="0077CC"/>
            <w:sz w:val="20"/>
            <w:u w:val="single"/>
            <w:shd w:val="clear" w:color="auto" w:fill="FFFFFF"/>
            <w:lang w:val="en-US" w:eastAsia="en-US" w:bidi="ar-SA"/>
          </w:rPr>
          <w:t>[1996] 2 S.C.R. 415</w:t>
        </w:r>
      </w:hyperlink>
      <w:r>
        <w:rPr>
          <w:rFonts w:ascii="arial" w:eastAsia="arial" w:hAnsi="arial" w:cs="arial"/>
          <w:color w:val="000000"/>
          <w:sz w:val="20"/>
          <w:lang w:val="en-US" w:eastAsia="en-US" w:bidi="ar-SA"/>
        </w:rPr>
        <w:t xml:space="preserve"> confirms the proposition that specific performance, which may be an available remedy to a purchaser, will not be granted absent evidence that the property in question is unique.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Counsel for the vendors cited Westwood Plateau Partnership v. WSP Construction Ltd. </w:t>
      </w:r>
      <w:hyperlink r:id="rId18" w:history="1">
        <w:r>
          <w:rPr>
            <w:rFonts w:ascii="arial" w:eastAsia="arial" w:hAnsi="arial" w:cs="arial"/>
            <w:i/>
            <w:color w:val="0077CC"/>
            <w:sz w:val="20"/>
            <w:u w:val="single"/>
            <w:shd w:val="clear" w:color="auto" w:fill="FFFFFF"/>
            <w:lang w:val="en-US" w:eastAsia="en-US" w:bidi="ar-SA"/>
          </w:rPr>
          <w:t>(1997), 37 B.C.L.R. (3d) 82</w:t>
        </w:r>
      </w:hyperlink>
      <w:r>
        <w:rPr>
          <w:rFonts w:ascii="arial" w:eastAsia="arial" w:hAnsi="arial" w:cs="arial"/>
          <w:color w:val="000000"/>
          <w:sz w:val="20"/>
          <w:lang w:val="en-US" w:eastAsia="en-US" w:bidi="ar-SA"/>
        </w:rPr>
        <w:t xml:space="preserve"> (S.C.) in support of the proposition that an order for specific performance may be available to vendors of land. However as Sigurdson J. noted at para. 155 of that case, the purchaser both under the contract and in fact had possession of a phase of a large construction project and had made substantial improvements. Those were factors which removed it from the usual case which requires a vendor to resell the property, if possible, to mitigate damages, and seek an order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There are no factors in the case at bar which remove it from the usual remedies available to a vendor when there is a breach of contract for the sale of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Accordingly, I conclude that the vendors are limited to an order for damages against the purchasers.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Unfortunately, the evidence in respect of damages is incomplete. The determination of the quantum of damages will have to await a further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E. Solicitor's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The standard of care of a solicitor has been authoritatively stated by the Supreme Court of Canada in Central Trust v. Rafuse </w:t>
      </w:r>
      <w:hyperlink r:id="rId19" w:history="1">
        <w:r>
          <w:rPr>
            <w:rFonts w:ascii="arial" w:eastAsia="arial" w:hAnsi="arial" w:cs="arial"/>
            <w:i/>
            <w:color w:val="0077CC"/>
            <w:sz w:val="20"/>
            <w:u w:val="single"/>
            <w:shd w:val="clear" w:color="auto" w:fill="FFFFFF"/>
            <w:lang w:val="en-US" w:eastAsia="en-US" w:bidi="ar-SA"/>
          </w:rPr>
          <w:t>(1986), 31 D.L.R. (4th) 481</w:t>
        </w:r>
      </w:hyperlink>
      <w:r>
        <w:rPr>
          <w:rFonts w:ascii="arial" w:eastAsia="arial" w:hAnsi="arial" w:cs="arial"/>
          <w:color w:val="000000"/>
          <w:sz w:val="20"/>
          <w:lang w:val="en-US" w:eastAsia="en-US" w:bidi="ar-SA"/>
        </w:rPr>
        <w:t xml:space="preserve"> at 523 (S.C.C.)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solicitor is required to bring reasonable care, skill and knowledge to the performance of the professional service which he has undertaken: see Hett v. Pun Pong </w:t>
      </w:r>
      <w:hyperlink r:id="rId20" w:history="1">
        <w:r>
          <w:rPr>
            <w:rFonts w:ascii="arial" w:eastAsia="arial" w:hAnsi="arial" w:cs="arial"/>
            <w:i/>
            <w:color w:val="0077CC"/>
            <w:sz w:val="20"/>
            <w:u w:val="single"/>
            <w:shd w:val="clear" w:color="auto" w:fill="FFFFFF"/>
            <w:lang w:val="en-US" w:eastAsia="en-US" w:bidi="ar-SA"/>
          </w:rPr>
          <w:t>(1890), 18 S.C.R. 290</w:t>
        </w:r>
      </w:hyperlink>
      <w:r>
        <w:rPr>
          <w:rFonts w:ascii="arial" w:eastAsia="arial" w:hAnsi="arial" w:cs="arial"/>
          <w:color w:val="000000"/>
          <w:sz w:val="20"/>
          <w:lang w:val="en-US" w:eastAsia="en-US" w:bidi="ar-SA"/>
        </w:rPr>
        <w:t xml:space="preserve"> at p. 292. The requisite standard of care has been variously referred to as that of the reasonably competent solicitor, the ordinary competent solicitor and the ordinary prudent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standard is not one of perfection: Marbel Developments Ltd. v. Pirani </w:t>
      </w:r>
      <w:hyperlink r:id="rId21" w:history="1">
        <w:r>
          <w:rPr>
            <w:rFonts w:ascii="arial" w:eastAsia="arial" w:hAnsi="arial" w:cs="arial"/>
            <w:i/>
            <w:color w:val="0077CC"/>
            <w:sz w:val="20"/>
            <w:u w:val="single"/>
            <w:shd w:val="clear" w:color="auto" w:fill="FFFFFF"/>
            <w:lang w:val="en-US" w:eastAsia="en-US" w:bidi="ar-SA"/>
          </w:rPr>
          <w:t>(1994), 18 C.C.L.T. (2d) 229</w:t>
        </w:r>
      </w:hyperlink>
      <w:r>
        <w:rPr>
          <w:rFonts w:ascii="arial" w:eastAsia="arial" w:hAnsi="arial" w:cs="arial"/>
          <w:color w:val="000000"/>
          <w:sz w:val="20"/>
          <w:lang w:val="en-US" w:eastAsia="en-US" w:bidi="ar-SA"/>
        </w:rPr>
        <w:t xml:space="preserve"> at 243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have no hesitation in finding that the plaintiffs' claim against Mr. Soberlak should be dismissed, for the following reasons: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Soberlak was not informed by his client that the house was a manufactured home;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nothing in the documents provided to Mr. Soberlak or in the searches performed by him to indicate that the home was a manufactured home;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tax search document showed that there was no Manufactured Home Registry number;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Soberlak testified that it is not his practice to inquire whether a house is a manufactured home absent evidence that it might be one;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expert evidence that the standard of care requires such an inquiry;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evidence that supports the reasonableness of Mr. Soberlak's practice in that the solicitor who transferred the property into the vendors' joint names in 1995 did not ascertain that the house was a manufactured home and was not registered in Mr. Moore's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these circumstances, I conclude that Mr. Moore's claim (for he can be the only plaintiff to whom Mr. Soberlak owed a duty of care) against Mr. Soberlak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conclusion, I find that the purchasers are liable for the payment of damages to the vendors for breach of the contract of purchase and sale of the property. Unless the parties are able to agree to the quantum of damages, that issue will be assessed at a future date to be arranged by counsel in consultation with the court. The plaintiffs' claim against Mr. Soberlak is dismissed. The issue of costs may be addressed at the same time that the quantum of damages is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KIRKPATRICK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August 7,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On the first page of my written reasons for judgment released July 31, 2001 under citation no. 2001 BCSC 1119, the dates of hearing should read "June 20-22, 2001" instead of "June 21-23,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In all other respects the reasons remain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KIRKPATRICK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28" style="position:absolute;z-index:2518118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2"/>
          <w:headerReference w:type="default" r:id="rId23"/>
          <w:footerReference w:type="even" r:id="rId24"/>
          <w:footerReference w:type="default" r:id="rId25"/>
          <w:headerReference w:type="first" r:id="rId26"/>
          <w:footerReference w:type="first" r:id="rId2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8" w:history="1">
        <w:r>
          <w:rPr>
            <w:rFonts w:ascii="arial" w:eastAsia="arial" w:hAnsi="arial" w:cs="arial"/>
            <w:b/>
            <w:bCs/>
            <w:i/>
            <w:color w:val="0077CC"/>
            <w:kern w:val="32"/>
            <w:sz w:val="28"/>
            <w:szCs w:val="32"/>
            <w:u w:val="single"/>
            <w:shd w:val="clear" w:color="auto" w:fill="FFFFFF"/>
            <w:lang w:val="en-US" w:eastAsia="en-US" w:bidi="ar-SA"/>
          </w:rPr>
          <w:t>Moulton Contracting Ltd. v. British Columbia, [2009] B.C.J. No. 2135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H.A. Slade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20,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29,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S067611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2135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1466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2878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182 A.C.W.S. (3d) 297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Moulton Contracting Ltd., Plaintiff, and Her Majesty the Queen in Right of the Province of British Columbia, Sally Behn, Susan Behn, Richard Behn, Greg Behn, Rupert Behn, Lovey Behn, Mary Behn, George Behn, Chief Liz Logan, on behalf of herself and all other members of the Fort Nelson First Nation and the said Fort Nelson First Nation,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9"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 w:name="Keywords_0"/>
      <w:bookmarkEnd w:id="6"/>
      <w:r>
        <w:rPr>
          <w:rFonts w:ascii="arial" w:eastAsia="arial" w:hAnsi="arial" w:cs="arial"/>
          <w:b/>
          <w:color w:val="000000"/>
          <w:sz w:val="20"/>
          <w:lang w:val="en-US" w:eastAsia="en-US" w:bidi="ar-SA"/>
        </w:rPr>
        <w:t>Civil litigation — Civil procedure — Costs — Security for costs — Where plaintiff insolvent or impecunious — Where plaintiff is corporation or association — Application by the defendants for the plaintiff to post security for costs in the amount of $600,000, allowed in part — Defendant Province was entitled to security of $20,000 — Unlike the other defendants, who were denied security, there was no nexus between the Province's conduct and the plaintiff's impecuniosity — Province also had an arguable defence — Amount ordered would not stifle the plaintiff's claim.</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 w:name="Case Summary_0"/>
            <w:bookmarkEnd w:id="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who consisted of the Province of British Columbia, several individuals named Behn and the Fort Nelson First Nation for security for costs from Moulton Contracting Ltd. The Ministry of Forests issued licences to Moulton that permitted a limited harvest of trees within defined sites in the vicinity of Fort Nelson. The sites to be logged were located in an area in which members of the First Nation exercised hunting rights. Ministry officials consulted with the First Nation during an earlier phase of the forest plan for logging in the area. The First Nation was not satisfied with the level of consultation. It was not consulted in relation to the licences issued to Moulton. The Behn defendants were members of the First Nation. They obstructed Moulton from entering the licence sites. Moulton sued the Province for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Its claim against the Behns and the First Nation was for unlawful interference with the exercise of the rights under the licences and for conspiracy to harm its economic interests. Each of the defendants sought security of $200,000 for a total of $600,000.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 w:name="Holdings of Court_0"/>
            <w:bookmarkEnd w:id="8"/>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Moulton would be unable to pay the defendants' costs if the action failed. It also did not show that it had exigible assets of sufficient value to satisfy an award of costs. The Behns were not entitled to security. Their actions caused Moulton's impecuniosity. The First Nation was also not entitled to security because they were involved in the obstruction of Moulton's rights and they were also implicated in Moulton's impecuniosity. It was not determined if the Province breached the contract or was negligent. A nexus between its acts or omissions and Moulton's impecuniosity was not established. The Province had an arguable defence. An order for security in an amount measured in proportion to the issues that arose between Moulton and the Province would not stifle Moulton's claim. Security for costs in favour of the Province was therefore fixed at $20,000. Moulton's failure to post such costs would result in the action being stayed against the Province.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 w:name="Legislation Cited"/>
      <w:bookmarkEnd w:id="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0" style="position:absolute;z-index:2517104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57(18)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Business Corporations Act, </w:t>
      </w:r>
      <w:hyperlink r:id="rId29" w:history="1">
        <w:r>
          <w:rPr>
            <w:rFonts w:ascii="arial" w:eastAsia="arial" w:hAnsi="arial" w:cs="arial"/>
            <w:i/>
            <w:color w:val="0077CC"/>
            <w:sz w:val="20"/>
            <w:u w:val="single"/>
            <w:shd w:val="clear" w:color="auto" w:fill="FFFFFF"/>
            <w:lang w:val="en-US" w:eastAsia="en-US" w:bidi="ar-SA"/>
          </w:rPr>
          <w:t>SBC 2002, CHAPTER 57, s. 236</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 w:name="Counsel_0"/>
      <w:bookmarkEnd w:id="1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1" style="position:absolute;z-index:2517616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K. Grist.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Behn Defendants: K.M. Brooks.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Fort Nelson First Nation: A. Rana.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Province of British Columbia: J. Oliphant.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 w:name="Judgment_0"/>
      <w:bookmarkEnd w:id="11"/>
      <w:r>
        <w:pict>
          <v:line id="_x0000_s1032" style="position:absolute;z-index:2518128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 w:name="H.A. SLADE J."/>
            <w:bookmarkEnd w:id="12"/>
            <w:r>
              <w:rPr>
                <w:rFonts w:ascii="arial" w:eastAsia="arial" w:hAnsi="arial" w:cs="arial"/>
                <w:b/>
                <w:color w:val="000000"/>
                <w:sz w:val="30"/>
                <w:lang w:val="en-US" w:eastAsia="en-US" w:bidi="ar-SA"/>
              </w:rPr>
              <w:t>H.A. SLADE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Ministry of Forests for the Province issued licences to Moulton that permitted a limited harvest of trees within defined sites in the vicinity of Fort Nelson.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sites to be logged are located in an area in which members of the Fort Nelson First Nation (FNFN) exercise their hunting rights, reserved to them by Treaty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Ministry officials had consulted with the First Nation during an earlier phase of the forest plan for logging in the area. The First Nation was not satisfied with the level of consultation, and wished to be consulted further in relation to any proposed licence to harvest timber within any site in the forest plan area. It was not consulted in relation to the licences issued to Moulton.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Behn defendants are members of the FNFN. They, or some of them, obstructed Moulton from entering the licence sites.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Moulton's action against the Province claims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Its claim against the Behns, and the FNFN, is for unlawful interference with its exercise of the rights under the licences, and conspiracy to harm its economic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Behn defendants, and the FNFN, say that the licences, due to infringement of constitutionally protected treaty rights, are invalid.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There are three applications for orders that Moulton post security for costs. Each of the Province, the Behn defendants, and the FNFN, seek security in the approximate sum of $200,000, for a total exceeding $600,000.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June 27, 2006, the Province granted Timber Sale Licence A66572, Timber Sale Licence A66573 and Road Permit No. R 15359 to Moulton. Moulton says that its entire work for the 2006 to 2007 winter season relied on the TSLs.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Between September 19 and September 22, 2006, Moulton mobilized its equipment to the TSL A66573 site, and commenced logging.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Between September 28, 2006, and October 1, 2006, Moulton voluntarily stopped logging at the request of a representative of the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October 2, 2006, some of the members of the FNFN, including some members of the Behn family, prevented Moulton from entering the area in which it had the right to log under the TSLs by blocking the access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It is alleged that the actions of the FNFN members, including the Behn family, prevented Moulton from cutting the timber designated under the TSLs. Moulton says that it lost all of the work it had planned for the one year period from June 2006 until June 2007. Moulton tried, but was unable to find other work in Fort Nelson for the winter.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Moulton says that its inability to access the areas designated for harvest caused it significant financial strain. As a result, the majority of Moulton's equipment was sold at auction. The proceeds were used to pay the outstanding liabilities on the equipment. Some of Moulton's equipment was repossessed. Prior to the blockade, Moulton had not missed any payments for its equipment, and no collections proceedings had previously been brought against it for any of its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Moulton says that its inability to harvest resulted in a $1,115,757 loss in the 2006-2007 fiscal year. It now has no assets, and lacks the means to borrow money or otherwise raise the funds necessary to post security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Kevin Moulton is the sole officer, director and shareholder of Moulton. He says that he is not able to raise the funds necessary to post the security for costs sought by the defendants. If Moulton is ordered to post security, it will be unable to pursue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Between July 31, 2006, and October 3, 2006, George Behn and other members of the FNFN had advised the Ministry of Forests that they considered the consultation that had taken place over plans to permit the harvesting were inadequate. They did not want harvesting on the TSLs.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examination for discovery, a representative of the Ministry testified that consultation with the FNFN was done in relation to an amendment to the Forest Development Plan. The issuance of TSLs is made pursuant to the Plan. It is not the practice of the Ministry to consult further on the advertising and sale of the individual TSLs.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examination for discovery, George Behn said that he spoke with the Chief and Council of the FNFN prior to blocking Moulton's access to the harvesting areas. He informed the Chief and Council of his intentions. He testified that the Chief of the FNFN told him that this was a good idea, as it would establish a basis for a test-case.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Documents produced on discovery include an e-mail from Laurie Montour, the Director of the FNFN Land and Resources Department, to the defendant Susan Behn, a member of the FNFN, in which it is stated that George Behn is at the band office, and had been given the 'go ahead' from Chief and Council to shut down logging on his trap line. The minutes of the October 2, 2006, meeting include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George Behn joined meeting concerned of logging on his trapline without his consent. Darryl read out letter received by Bill Warner, Northern Interior Forest Region regarding cancelling timber sales. George explained that there is some work being continued on his land. George Behn and Laurie, Director of Lands and Resources are to visit the area of where the work is being done and to stop the logging. Chief and Council are in support to stop the work being done on his land. George explains that he wants studies done. He has trails and some spiritual rocks on his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At a meeting on November 15, 2006, between the FNFN, the Behns, and Provincial Ministry officers, Chief Logan is said to have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know our stance. Do you want to see more blockades?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George Behn, and Sally Behn, a member of the Council of the FNFN, both acknowledged on discovery that they knew that by setting up the blockade, Moulton would be prevented from logging, and would suffer an economic loss. Both acknowledged that they had no issue with Moulton; their issue was with the Provincial Ministry that granted the TSLs.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material on this application reveals that George Behn, and the Chief and Council of the FNFN, were aware that the legal remedies of injunction and judicial review could be pursued to prevent the exercise of Moulton's rights under the TSLs.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CLAIMS, AND DEFENCES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Moulton claims against the Province for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engages the question of the duty and standard of care in circumstances in which a Crown ministry issues a forest tenure when there is known to be a potential conflict with the exercise by Aboriginal peoples of their treaty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essence of Moulton's claim against the Behn defendants and the FNFN is that they wilfully interfered with the exercise of its rights under the TSLs and road permit, and caused them direct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Province denies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points to the actions of the Behn defendants as the cause Moulton's loss. The Behn defendants and the FNFN say that Moulton's losses are the fault of the Province for its failure to adequately consult in relation to the impact of timber harvesting on their exercise of hunting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None of the defendants fault Moulton for its predicament.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defence to Moulton's action, the Behn defendants and the FNFN claim infringement of treaty rights, and challenge the authority of the Province to issue the TSLs and road permit. The Behns say that the cumulative impact of the exercise of resource tenures granted by the Province strikes at the core of their constitutionally protected treaty rights, such that the legislation authorizing the grant of the TSLs and road permit are constitutionally inapplicable to the extent that their provisions result in further infringement of treaty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bills of costs presented by each defendant are based on a 49 day trial. Were it not for the reliance by the Behn defendants and the FNFN on defences that raise treaty rights and infringement, this would be a short trial. Without a treaty rights based defence, it seems at this stage that the Behn defendants would have no defence. Their actions, or the actions of some of them, and causation of the losses sustained by Moulton, could be established in a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case as against the FNFN alleges conspiracy to harm the plaintiff's economic interests. The proof of conspiracy, and the liability of the collective for the actions of a few are somewhat complex, but are issues of law that do not take a great deal of evidence to frame.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As I understand Moulton's action against the Crown, its claim of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rests primarily on the Province's failure to consult with the FNFN in relation to the issuance of the TSLs and road permit. The evidentiary base to frame the legal issue will not require a lengthy trial. The Province acknowledges that it did not consult with the FNFN in relation to the TSLs. It relies on the adequacy of consultation in relation to the Forest Development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short, the Behns appear to have no arguable defence except that based on infringement of treaty rights. At present, the evidence and pleadings, as they concern the FNFN, indicate an arguable defence based on the application of the law to facts that are not seriously in issue. The time consuming issue raised by the FNFN is infringement.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presence of treaty right based defences take this from a one week trial in which most of the evidence would be limited to that relevant to the issues between Moulton and the Province, to a ten week trial. This will include evidence of those who have experienced a decline in the traditionally harvested resources, and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Sanderson</w:t>
      </w:r>
      <w:r>
        <w:rPr>
          <w:rFonts w:ascii="arial" w:eastAsia="arial" w:hAnsi="arial" w:cs="arial"/>
          <w:b/>
          <w:color w:val="000000"/>
          <w:sz w:val="20"/>
          <w:lang w:val="en-US" w:eastAsia="en-US" w:bidi="ar-SA"/>
        </w:rPr>
        <w:t xml:space="preserve"> and </w:t>
      </w:r>
      <w:r>
        <w:rPr>
          <w:rFonts w:ascii="arial" w:eastAsia="arial" w:hAnsi="arial" w:cs="arial"/>
          <w:b/>
          <w:i/>
          <w:color w:val="000000"/>
          <w:sz w:val="20"/>
          <w:lang w:val="en-US" w:eastAsia="en-US" w:bidi="ar-SA"/>
        </w:rPr>
        <w:t>Bullock</w:t>
      </w:r>
      <w:r>
        <w:rPr>
          <w:rFonts w:ascii="arial" w:eastAsia="arial" w:hAnsi="arial" w:cs="arial"/>
          <w:b/>
          <w:color w:val="000000"/>
          <w:sz w:val="20"/>
          <w:lang w:val="en-US" w:eastAsia="en-US" w:bidi="ar-SA"/>
        </w:rPr>
        <w:t xml:space="preserve">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Moulton submits that it would be entitled to a </w:t>
      </w:r>
      <w:r>
        <w:rPr>
          <w:rFonts w:ascii="arial" w:eastAsia="arial" w:hAnsi="arial" w:cs="arial"/>
          <w:i/>
          <w:color w:val="000000"/>
          <w:sz w:val="20"/>
          <w:lang w:val="en-US" w:eastAsia="en-US" w:bidi="ar-SA"/>
        </w:rPr>
        <w:t>Bullock</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Sanderson</w:t>
      </w:r>
      <w:r>
        <w:rPr>
          <w:rFonts w:ascii="arial" w:eastAsia="arial" w:hAnsi="arial" w:cs="arial"/>
          <w:color w:val="000000"/>
          <w:sz w:val="20"/>
          <w:lang w:val="en-US" w:eastAsia="en-US" w:bidi="ar-SA"/>
        </w:rPr>
        <w:t xml:space="preserve"> order in this action because it will be successful against one or more of the defendants. It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Moulton is an innocent party that in no way contributed to or caused the blockade, and as a result of one or more of the defendants' conduct it has suffered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will assume, for the present purposes, that the potential for the availability of such an order is a relevant consideration on an application for security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Where there are multiple defendants, R. 57(18) enables the court to order that the unsuccessful defendant(s) pay the costs of the successful defendant:</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costs of one defendant against a plaintiff ought to be paid by another defendant, the court may order payment to be made by one defendant to the other directly, or may order the plaintiff to pay the costs of the successful defendant and allow the plaintiff to include those costs as a disbursement in the costs payable to the plaintiff by the unsuccessful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These are generally referred to as </w:t>
      </w:r>
      <w:r>
        <w:rPr>
          <w:rFonts w:ascii="arial" w:eastAsia="arial" w:hAnsi="arial" w:cs="arial"/>
          <w:i/>
          <w:color w:val="000000"/>
          <w:sz w:val="20"/>
          <w:lang w:val="en-US" w:eastAsia="en-US" w:bidi="ar-SA"/>
        </w:rPr>
        <w:t>Sanderson</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Bullock</w:t>
      </w:r>
      <w:r>
        <w:rPr>
          <w:rFonts w:ascii="arial" w:eastAsia="arial" w:hAnsi="arial" w:cs="arial"/>
          <w:color w:val="000000"/>
          <w:sz w:val="20"/>
          <w:lang w:val="en-US" w:eastAsia="en-US" w:bidi="ar-SA"/>
        </w:rPr>
        <w:t xml:space="preserve"> orders (named after </w:t>
      </w:r>
      <w:r>
        <w:rPr>
          <w:rFonts w:ascii="arial" w:eastAsia="arial" w:hAnsi="arial" w:cs="arial"/>
          <w:i/>
          <w:color w:val="000000"/>
          <w:sz w:val="20"/>
          <w:lang w:val="en-US" w:eastAsia="en-US" w:bidi="ar-SA"/>
        </w:rPr>
        <w:t>Sanderson v. Blythe Theatre Co.</w:t>
      </w:r>
      <w:r>
        <w:rPr>
          <w:rFonts w:ascii="arial" w:eastAsia="arial" w:hAnsi="arial" w:cs="arial"/>
          <w:color w:val="000000"/>
          <w:sz w:val="20"/>
          <w:lang w:val="en-US" w:eastAsia="en-US" w:bidi="ar-SA"/>
        </w:rPr>
        <w:t xml:space="preserve">, [1903] 2 K.B. 533 (C.A.) and </w:t>
      </w:r>
      <w:r>
        <w:rPr>
          <w:rFonts w:ascii="arial" w:eastAsia="arial" w:hAnsi="arial" w:cs="arial"/>
          <w:i/>
          <w:color w:val="000000"/>
          <w:sz w:val="20"/>
          <w:lang w:val="en-US" w:eastAsia="en-US" w:bidi="ar-SA"/>
        </w:rPr>
        <w:t>Bulluck v. London General Omnibus Co.</w:t>
      </w:r>
      <w:r>
        <w:rPr>
          <w:rFonts w:ascii="arial" w:eastAsia="arial" w:hAnsi="arial" w:cs="arial"/>
          <w:color w:val="000000"/>
          <w:sz w:val="20"/>
          <w:lang w:val="en-US" w:eastAsia="en-US" w:bidi="ar-SA"/>
        </w:rPr>
        <w:t xml:space="preserve">, [1907] 1 K.B. 264 (C.A.), respectively). A </w:t>
      </w:r>
      <w:r>
        <w:rPr>
          <w:rFonts w:ascii="arial" w:eastAsia="arial" w:hAnsi="arial" w:cs="arial"/>
          <w:i/>
          <w:color w:val="000000"/>
          <w:sz w:val="20"/>
          <w:lang w:val="en-US" w:eastAsia="en-US" w:bidi="ar-SA"/>
        </w:rPr>
        <w:t>Sanderson</w:t>
      </w:r>
      <w:r>
        <w:rPr>
          <w:rFonts w:ascii="arial" w:eastAsia="arial" w:hAnsi="arial" w:cs="arial"/>
          <w:color w:val="000000"/>
          <w:sz w:val="20"/>
          <w:lang w:val="en-US" w:eastAsia="en-US" w:bidi="ar-SA"/>
        </w:rPr>
        <w:t xml:space="preserve"> order requires an unsuccessful defendant to pay the costs of any successful defendant, whereas a </w:t>
      </w:r>
      <w:r>
        <w:rPr>
          <w:rFonts w:ascii="arial" w:eastAsia="arial" w:hAnsi="arial" w:cs="arial"/>
          <w:i/>
          <w:color w:val="000000"/>
          <w:sz w:val="20"/>
          <w:lang w:val="en-US" w:eastAsia="en-US" w:bidi="ar-SA"/>
        </w:rPr>
        <w:t>Bullock</w:t>
      </w:r>
      <w:r>
        <w:rPr>
          <w:rFonts w:ascii="arial" w:eastAsia="arial" w:hAnsi="arial" w:cs="arial"/>
          <w:color w:val="000000"/>
          <w:sz w:val="20"/>
          <w:lang w:val="en-US" w:eastAsia="en-US" w:bidi="ar-SA"/>
        </w:rPr>
        <w:t xml:space="preserve"> order allows the plaintiff to recover from the unsuccessful defendants those costs that it is required to pay to the successful defendants. The difference in the orders lies in who bears the risk of an inability to collect, but the end result is the same if collection is possible (see </w:t>
      </w:r>
      <w:r>
        <w:rPr>
          <w:rFonts w:ascii="arial" w:eastAsia="arial" w:hAnsi="arial" w:cs="arial"/>
          <w:i/>
          <w:color w:val="000000"/>
          <w:sz w:val="20"/>
          <w:lang w:val="en-US" w:eastAsia="en-US" w:bidi="ar-SA"/>
        </w:rPr>
        <w:t>Home Equity et al v. Crow et al.</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2005 BCSC 743</w:t>
        </w:r>
      </w:hyperlink>
      <w:r>
        <w:rPr>
          <w:rFonts w:ascii="arial" w:eastAsia="arial" w:hAnsi="arial" w:cs="arial"/>
          <w:color w:val="000000"/>
          <w:sz w:val="20"/>
          <w:lang w:val="en-US" w:eastAsia="en-US" w:bidi="ar-SA"/>
        </w:rPr>
        <w:t xml:space="preserve"> at paras. 75-78, </w:t>
      </w:r>
      <w:hyperlink r:id="rId30" w:history="1">
        <w:r>
          <w:rPr>
            <w:rFonts w:ascii="arial" w:eastAsia="arial" w:hAnsi="arial" w:cs="arial"/>
            <w:i/>
            <w:color w:val="0077CC"/>
            <w:sz w:val="20"/>
            <w:u w:val="single"/>
            <w:shd w:val="clear" w:color="auto" w:fill="FFFFFF"/>
            <w:lang w:val="en-US" w:eastAsia="en-US" w:bidi="ar-SA"/>
          </w:rPr>
          <w:t>14 C.P.C. (6th) 203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threshold test for establishing an entitlement to a </w:t>
      </w:r>
      <w:r>
        <w:rPr>
          <w:rFonts w:ascii="arial" w:eastAsia="arial" w:hAnsi="arial" w:cs="arial"/>
          <w:i/>
          <w:color w:val="000000"/>
          <w:sz w:val="20"/>
          <w:lang w:val="en-US" w:eastAsia="en-US" w:bidi="ar-SA"/>
        </w:rPr>
        <w:t>Sanderson</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Bullock</w:t>
      </w:r>
      <w:r>
        <w:rPr>
          <w:rFonts w:ascii="arial" w:eastAsia="arial" w:hAnsi="arial" w:cs="arial"/>
          <w:color w:val="000000"/>
          <w:sz w:val="20"/>
          <w:lang w:val="en-US" w:eastAsia="en-US" w:bidi="ar-SA"/>
        </w:rPr>
        <w:t xml:space="preserve"> order has been traditionally described as whether "it was reasonable for the plaintiff to have joined the successful defendant in the action": </w:t>
      </w:r>
      <w:r>
        <w:rPr>
          <w:rFonts w:ascii="arial" w:eastAsia="arial" w:hAnsi="arial" w:cs="arial"/>
          <w:i/>
          <w:color w:val="000000"/>
          <w:sz w:val="20"/>
          <w:lang w:val="en-US" w:eastAsia="en-US" w:bidi="ar-SA"/>
        </w:rPr>
        <w:t>Robertson v. North Island College Technical and Vocational Institute</w:t>
      </w:r>
      <w:r>
        <w:rPr>
          <w:rFonts w:ascii="arial" w:eastAsia="arial" w:hAnsi="arial" w:cs="arial"/>
          <w:color w:val="000000"/>
          <w:sz w:val="20"/>
          <w:lang w:val="en-US" w:eastAsia="en-US" w:bidi="ar-SA"/>
        </w:rPr>
        <w:t xml:space="preserve"> </w:t>
      </w:r>
      <w:hyperlink r:id="rId31" w:history="1">
        <w:r>
          <w:rPr>
            <w:rFonts w:ascii="arial" w:eastAsia="arial" w:hAnsi="arial" w:cs="arial"/>
            <w:i/>
            <w:color w:val="0077CC"/>
            <w:sz w:val="20"/>
            <w:u w:val="single"/>
            <w:shd w:val="clear" w:color="auto" w:fill="FFFFFF"/>
            <w:lang w:val="en-US" w:eastAsia="en-US" w:bidi="ar-SA"/>
          </w:rPr>
          <w:t>(1980), 119 D.L.R. (3d) 17</w:t>
        </w:r>
      </w:hyperlink>
      <w:r>
        <w:rPr>
          <w:rFonts w:ascii="arial" w:eastAsia="arial" w:hAnsi="arial" w:cs="arial"/>
          <w:color w:val="000000"/>
          <w:sz w:val="20"/>
          <w:lang w:val="en-US" w:eastAsia="en-US" w:bidi="ar-SA"/>
        </w:rPr>
        <w:t xml:space="preserve"> (B.C.C.A.) at 23 per Lambert J.A. More recently the Court of Appeal has refined this test to require a connection between the conduct of the unsuccessful defendant and the reason for the successful defendant being brought into the litigation. The Court of Appeal, in </w:t>
      </w:r>
      <w:r>
        <w:rPr>
          <w:rFonts w:ascii="arial" w:eastAsia="arial" w:hAnsi="arial" w:cs="arial"/>
          <w:i/>
          <w:color w:val="000000"/>
          <w:sz w:val="20"/>
          <w:lang w:val="en-US" w:eastAsia="en-US" w:bidi="ar-SA"/>
        </w:rPr>
        <w:t>Grassi v. WIC Radio Ltd.</w:t>
      </w:r>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2001 BCCA 376</w:t>
        </w:r>
      </w:hyperlink>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89 B.C.L.R. (3d) 198</w:t>
        </w:r>
      </w:hyperlink>
      <w:r>
        <w:rPr>
          <w:rFonts w:ascii="arial" w:eastAsia="arial" w:hAnsi="arial" w:cs="arial"/>
          <w:color w:val="000000"/>
          <w:sz w:val="20"/>
          <w:lang w:val="en-US" w:eastAsia="en-US" w:bidi="ar-SA"/>
        </w:rPr>
        <w:t xml:space="preserve">, held that this connection exists where the unsuccessful defendant points the finger at the successful defendant. (See </w:t>
      </w:r>
      <w:r>
        <w:rPr>
          <w:rFonts w:ascii="arial" w:eastAsia="arial" w:hAnsi="arial" w:cs="arial"/>
          <w:i/>
          <w:color w:val="000000"/>
          <w:sz w:val="20"/>
          <w:lang w:val="en-US" w:eastAsia="en-US" w:bidi="ar-SA"/>
        </w:rPr>
        <w:t>Times Square Holdings Ltd. v. Shimizu</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2001 BCCA 667</w:t>
        </w:r>
      </w:hyperlink>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95 B.C.L.R. (3d) 234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Gill v. Dunlop-Miller</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2004 BCCA 632</w:t>
        </w:r>
      </w:hyperlink>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33 B.C.L.R. (4th) 325</w:t>
        </w:r>
      </w:hyperlink>
      <w:r>
        <w:rPr>
          <w:rFonts w:ascii="arial" w:eastAsia="arial" w:hAnsi="arial" w:cs="arial"/>
          <w:color w:val="000000"/>
          <w:sz w:val="20"/>
          <w:lang w:val="en-US" w:eastAsia="en-US" w:bidi="ar-SA"/>
        </w:rPr>
        <w:t xml:space="preserve">, supplementary reasons at </w:t>
      </w:r>
      <w:hyperlink r:id="rId35" w:history="1">
        <w:r>
          <w:rPr>
            <w:rFonts w:ascii="arial" w:eastAsia="arial" w:hAnsi="arial" w:cs="arial"/>
            <w:i/>
            <w:color w:val="0077CC"/>
            <w:sz w:val="20"/>
            <w:u w:val="single"/>
            <w:shd w:val="clear" w:color="auto" w:fill="FFFFFF"/>
            <w:lang w:val="en-US" w:eastAsia="en-US" w:bidi="ar-SA"/>
          </w:rPr>
          <w:t>2005 BCCA 90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If a plaintiff can successfully establish this factor, then the court has the discretion to determine what distribution of costs would be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It is not, in my respectful opinion, possible to determine at this stage of the proceeding that the plaintiff is certain of success against one or more of the defendants. The potential for a </w:t>
      </w:r>
      <w:r>
        <w:rPr>
          <w:rFonts w:ascii="arial" w:eastAsia="arial" w:hAnsi="arial" w:cs="arial"/>
          <w:i/>
          <w:color w:val="000000"/>
          <w:sz w:val="20"/>
          <w:lang w:val="en-US" w:eastAsia="en-US" w:bidi="ar-SA"/>
        </w:rPr>
        <w:t>Sanderson</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Bullock</w:t>
      </w:r>
      <w:r>
        <w:rPr>
          <w:rFonts w:ascii="arial" w:eastAsia="arial" w:hAnsi="arial" w:cs="arial"/>
          <w:color w:val="000000"/>
          <w:sz w:val="20"/>
          <w:lang w:val="en-US" w:eastAsia="en-US" w:bidi="ar-SA"/>
        </w:rPr>
        <w:t xml:space="preserve"> order does not obviate the need to consider an award of security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Security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court is empowered to grant security for costs against a plaintiff corporation by s. 236 of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57</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236 If a corporation is the plaintiff in a legal proceeding brought before the court, and if it appears that the corporation will be unable to pay the costs of the defendant if the defendant is successful in the defence, the court may require security to be given by the corporation for those costs, and may stay all legal proceedings until the security is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Fat Mel's Restaurant Ltd. v. Canadian Northern Shield Insurance Co.</w:t>
      </w:r>
      <w:r>
        <w:rPr>
          <w:rFonts w:ascii="arial" w:eastAsia="arial" w:hAnsi="arial" w:cs="arial"/>
          <w:color w:val="000000"/>
          <w:sz w:val="20"/>
          <w:lang w:val="en-US" w:eastAsia="en-US" w:bidi="ar-SA"/>
        </w:rPr>
        <w:t xml:space="preserve"> </w:t>
      </w:r>
      <w:hyperlink r:id="rId36" w:history="1">
        <w:r>
          <w:rPr>
            <w:rFonts w:ascii="arial" w:eastAsia="arial" w:hAnsi="arial" w:cs="arial"/>
            <w:i/>
            <w:color w:val="0077CC"/>
            <w:sz w:val="20"/>
            <w:u w:val="single"/>
            <w:shd w:val="clear" w:color="auto" w:fill="FFFFFF"/>
            <w:lang w:val="en-US" w:eastAsia="en-US" w:bidi="ar-SA"/>
          </w:rPr>
          <w:t>(1993), 76 B.C.L.R. (2d) 231</w:t>
        </w:r>
      </w:hyperlink>
      <w:r>
        <w:rPr>
          <w:rFonts w:ascii="arial" w:eastAsia="arial" w:hAnsi="arial" w:cs="arial"/>
          <w:color w:val="000000"/>
          <w:sz w:val="20"/>
          <w:lang w:val="en-US" w:eastAsia="en-US" w:bidi="ar-SA"/>
        </w:rPr>
        <w:t xml:space="preserve">, </w:t>
      </w:r>
      <w:hyperlink r:id="rId36" w:history="1">
        <w:r>
          <w:rPr>
            <w:rFonts w:ascii="arial" w:eastAsia="arial" w:hAnsi="arial" w:cs="arial"/>
            <w:i/>
            <w:color w:val="0077CC"/>
            <w:sz w:val="20"/>
            <w:u w:val="single"/>
            <w:shd w:val="clear" w:color="auto" w:fill="FFFFFF"/>
            <w:lang w:val="en-US" w:eastAsia="en-US" w:bidi="ar-SA"/>
          </w:rPr>
          <w:t>25 B.C.A.C. 95</w:t>
        </w:r>
      </w:hyperlink>
      <w:r>
        <w:rPr>
          <w:rFonts w:ascii="arial" w:eastAsia="arial" w:hAnsi="arial" w:cs="arial"/>
          <w:color w:val="000000"/>
          <w:sz w:val="20"/>
          <w:lang w:val="en-US" w:eastAsia="en-US" w:bidi="ar-SA"/>
        </w:rPr>
        <w:t>, Proudfoot J.A., for the court, said at para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making of an order under s. 229 of the </w:t>
      </w:r>
      <w:r>
        <w:rPr>
          <w:rFonts w:ascii="arial" w:eastAsia="arial" w:hAnsi="arial" w:cs="arial"/>
          <w:i/>
          <w:color w:val="000000"/>
          <w:sz w:val="20"/>
          <w:lang w:val="en-US" w:eastAsia="en-US" w:bidi="ar-SA"/>
        </w:rPr>
        <w:t>Company Act</w:t>
      </w:r>
      <w:r>
        <w:rPr>
          <w:rFonts w:ascii="arial" w:eastAsia="arial" w:hAnsi="arial" w:cs="arial"/>
          <w:color w:val="000000"/>
          <w:sz w:val="20"/>
          <w:lang w:val="en-US" w:eastAsia="en-US" w:bidi="ar-SA"/>
        </w:rPr>
        <w:t xml:space="preserve"> is discretionary. However, once the applicant for security has shown that the plaintiff will not be able to pay costs should the claim fail, security is generally ordered unless the court is satisfied that there is no arguable defence.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decision to order security for costs is discretionary. In </w:t>
      </w:r>
      <w:r>
        <w:rPr>
          <w:rFonts w:ascii="arial" w:eastAsia="arial" w:hAnsi="arial" w:cs="arial"/>
          <w:i/>
          <w:color w:val="000000"/>
          <w:sz w:val="20"/>
          <w:lang w:val="en-US" w:eastAsia="en-US" w:bidi="ar-SA"/>
        </w:rPr>
        <w:t>Kropp v. Swaneset Bay Golf Course Ltd.</w:t>
      </w:r>
      <w:r>
        <w:rPr>
          <w:rFonts w:ascii="arial" w:eastAsia="arial" w:hAnsi="arial" w:cs="arial"/>
          <w:color w:val="000000"/>
          <w:sz w:val="20"/>
          <w:lang w:val="en-US" w:eastAsia="en-US" w:bidi="ar-SA"/>
        </w:rPr>
        <w:t xml:space="preserve"> </w:t>
      </w:r>
      <w:hyperlink r:id="rId37" w:history="1">
        <w:r>
          <w:rPr>
            <w:rFonts w:ascii="arial" w:eastAsia="arial" w:hAnsi="arial" w:cs="arial"/>
            <w:i/>
            <w:color w:val="0077CC"/>
            <w:sz w:val="20"/>
            <w:u w:val="single"/>
            <w:shd w:val="clear" w:color="auto" w:fill="FFFFFF"/>
            <w:lang w:val="en-US" w:eastAsia="en-US" w:bidi="ar-SA"/>
          </w:rPr>
          <w:t>(1997), 29 B.C.L.R. (3d) 252</w:t>
        </w:r>
      </w:hyperlink>
      <w:r>
        <w:rPr>
          <w:rFonts w:ascii="arial" w:eastAsia="arial" w:hAnsi="arial" w:cs="arial"/>
          <w:color w:val="000000"/>
          <w:sz w:val="20"/>
          <w:lang w:val="en-US" w:eastAsia="en-US" w:bidi="ar-SA"/>
        </w:rPr>
        <w:t xml:space="preserve"> at para. 17, </w:t>
      </w:r>
      <w:hyperlink r:id="rId37" w:history="1">
        <w:r>
          <w:rPr>
            <w:rFonts w:ascii="arial" w:eastAsia="arial" w:hAnsi="arial" w:cs="arial"/>
            <w:i/>
            <w:color w:val="0077CC"/>
            <w:sz w:val="20"/>
            <w:u w:val="single"/>
            <w:shd w:val="clear" w:color="auto" w:fill="FFFFFF"/>
            <w:lang w:val="en-US" w:eastAsia="en-US" w:bidi="ar-SA"/>
          </w:rPr>
          <w:t>90 B.C.A.C. 170</w:t>
        </w:r>
      </w:hyperlink>
      <w:r>
        <w:rPr>
          <w:rFonts w:ascii="arial" w:eastAsia="arial" w:hAnsi="arial" w:cs="arial"/>
          <w:color w:val="000000"/>
          <w:sz w:val="20"/>
          <w:lang w:val="en-US" w:eastAsia="en-US" w:bidi="ar-SA"/>
        </w:rPr>
        <w:t xml:space="preserve">, the Court of Appeal adopted the factors for consideration set out by the English Court of Appeal in </w:t>
      </w:r>
      <w:r>
        <w:rPr>
          <w:rFonts w:ascii="arial" w:eastAsia="arial" w:hAnsi="arial" w:cs="arial"/>
          <w:i/>
          <w:color w:val="000000"/>
          <w:sz w:val="20"/>
          <w:lang w:val="en-US" w:eastAsia="en-US" w:bidi="ar-SA"/>
        </w:rPr>
        <w:t>Keary Development v. Tarmac Construction</w:t>
      </w:r>
      <w:r>
        <w:rPr>
          <w:rFonts w:ascii="arial" w:eastAsia="arial" w:hAnsi="arial" w:cs="arial"/>
          <w:color w:val="000000"/>
          <w:sz w:val="20"/>
          <w:lang w:val="en-US" w:eastAsia="en-US" w:bidi="ar-SA"/>
        </w:rPr>
        <w:t>, [1995] 3 All E.R. 534 at 539-542: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has a complete discretion whether to order security, and will act in light of all the relevant circumstances;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possibility or probability that the plaintiff company will be deterred from pursuing its claim is not without more sufficient reason for not ordering security;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attempt to balance injustices arising from use of security as an instrument of oppression to stifle a legitimate claim on the one hand, and use of impecuniosity as a means of putting unfair pressure on a defendant on the other;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have regard to the merits of the action, but should avoid going into detail on the merits unless success or failure appears obvious;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can order any amount of security up to the full amount claimed, as long as the amount is more than nominal;</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the court refuses to order security on the grounds that it would unfairly stifle a valid claim, the court must be satisfied that, in all the circumstances, it is probable that the claim would be stifled;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lateness of the application for security is a circumstance which can properly be taken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Kropp</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Finch J.A., for the court, referred to the earlier decision in </w:t>
      </w:r>
      <w:r>
        <w:rPr>
          <w:rFonts w:ascii="arial" w:eastAsia="arial" w:hAnsi="arial" w:cs="arial"/>
          <w:i/>
          <w:color w:val="000000"/>
          <w:sz w:val="20"/>
          <w:lang w:val="en-US" w:eastAsia="en-US" w:bidi="ar-SA"/>
        </w:rPr>
        <w:t>Fat Mel's, supra</w:t>
      </w:r>
      <w:r>
        <w:rPr>
          <w:rFonts w:ascii="arial" w:eastAsia="arial" w:hAnsi="arial" w:cs="arial"/>
          <w:color w:val="000000"/>
          <w:sz w:val="20"/>
          <w:lang w:val="en-US" w:eastAsia="en-US" w:bidi="ar-SA"/>
        </w:rPr>
        <w:t>, and observed, at para. 11,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corporate plaintiff's lack of assets, the very foundation of a defendant's application for security, cannot be used to defeat its claim to security. The law does not treat corporate plaintiffs with the same generosity and flexibility as natural persons opposing an application for security.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genesis of the law of security for costs as it applies to corporate plaintiffs is identified in para. 16 of </w:t>
      </w:r>
      <w:r>
        <w:rPr>
          <w:rFonts w:ascii="arial" w:eastAsia="arial" w:hAnsi="arial" w:cs="arial"/>
          <w:i/>
          <w:color w:val="000000"/>
          <w:sz w:val="20"/>
          <w:lang w:val="en-US" w:eastAsia="en-US" w:bidi="ar-SA"/>
        </w:rPr>
        <w:t>Kropp</w:t>
      </w:r>
      <w:r>
        <w:rPr>
          <w:rFonts w:ascii="arial" w:eastAsia="arial" w:hAnsi="arial" w:cs="arial"/>
          <w:color w:val="000000"/>
          <w:sz w:val="20"/>
          <w:lang w:val="en-US" w:eastAsia="en-US" w:bidi="ar-SA"/>
        </w:rPr>
        <w:t xml:space="preserve">. There, Finch J.A. refered to the "leading English decision" of </w:t>
      </w:r>
      <w:r>
        <w:rPr>
          <w:rFonts w:ascii="arial" w:eastAsia="arial" w:hAnsi="arial" w:cs="arial"/>
          <w:i/>
          <w:color w:val="000000"/>
          <w:sz w:val="20"/>
          <w:lang w:val="en-US" w:eastAsia="en-US" w:bidi="ar-SA"/>
        </w:rPr>
        <w:t>Pearson v. Naydler,</w:t>
      </w:r>
      <w:r>
        <w:rPr>
          <w:rFonts w:ascii="arial" w:eastAsia="arial" w:hAnsi="arial" w:cs="arial"/>
          <w:color w:val="000000"/>
          <w:sz w:val="20"/>
          <w:lang w:val="en-US" w:eastAsia="en-US" w:bidi="ar-SA"/>
        </w:rPr>
        <w:t xml:space="preserve"> [1977] 3 All E.R. 531 (Ch. D.). Vice-Chancellor Megarry referred to some basic principles at pp. 533, 535: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basic rule that a natural person who sues will not be ordered to give security for costs, however poor he is, is ancient and well-established. As Bowen LJ said in </w:t>
      </w:r>
      <w:r>
        <w:rPr>
          <w:rFonts w:ascii="arial" w:eastAsia="arial" w:hAnsi="arial" w:cs="arial"/>
          <w:i/>
          <w:color w:val="000000"/>
          <w:sz w:val="20"/>
          <w:lang w:val="en-US" w:eastAsia="en-US" w:bidi="ar-SA"/>
        </w:rPr>
        <w:t>Cowell v. Taylor</w:t>
      </w:r>
      <w:r>
        <w:rPr>
          <w:rFonts w:ascii="arial" w:eastAsia="arial" w:hAnsi="arial" w:cs="arial"/>
          <w:color w:val="000000"/>
          <w:sz w:val="20"/>
          <w:lang w:val="en-US" w:eastAsia="en-US" w:bidi="ar-SA"/>
        </w:rPr>
        <w:t xml:space="preserve"> (1885), 31 Ch.D. 34 at 38, both at law and in equity 'the general rule is that poverty is no bar to a litigant'. The power to require security for costs ought not to be used so as to bar even the poorest man from the courts.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case of a limited company, there is no basic rule conferring immunity from any liability to give security for costs. The basic rule is the opposite; s. 447 applies to all limited companies, and subjects them all to the liability to give security for costs. The whole concept of the section is contrary to the rule developed by the cases that poverty is not to be made a bar to bringing an action. There is nothing in the statutory language (the substance of which goes back at least as far as the </w:t>
      </w:r>
      <w:r>
        <w:rPr>
          <w:rFonts w:ascii="arial" w:eastAsia="arial" w:hAnsi="arial" w:cs="arial"/>
          <w:i/>
          <w:color w:val="000000"/>
          <w:sz w:val="20"/>
          <w:lang w:val="en-US" w:eastAsia="en-US" w:bidi="ar-SA"/>
        </w:rPr>
        <w:t>Companies Act</w:t>
      </w:r>
      <w:r>
        <w:rPr>
          <w:rFonts w:ascii="arial" w:eastAsia="arial" w:hAnsi="arial" w:cs="arial"/>
          <w:color w:val="000000"/>
          <w:sz w:val="20"/>
          <w:lang w:val="en-US" w:eastAsia="en-US" w:bidi="ar-SA"/>
        </w:rPr>
        <w:t xml:space="preserve"> 1862 s. 69) to indicate that there are any exceptions to what is laid down as a broad and general rule for all limited companies. Nor is it surprising that there should be such a rule. </w:t>
      </w:r>
      <w:r>
        <w:rPr>
          <w:rFonts w:ascii="arial" w:eastAsia="arial" w:hAnsi="arial" w:cs="arial"/>
          <w:color w:val="000000"/>
          <w:sz w:val="20"/>
          <w:u w:val="single"/>
          <w:lang w:val="en-US" w:eastAsia="en-US" w:bidi="ar-SA"/>
        </w:rPr>
        <w:t>A man may bring into being as many limited companies as he wishes, with the privilege of limited liability; and s. 447 provides some protection for the community against litigious abuses by artificial persons manipulated by natural persons</w:t>
      </w:r>
      <w:r>
        <w:rPr>
          <w:rFonts w:ascii="arial" w:eastAsia="arial" w:hAnsi="arial" w:cs="arial"/>
          <w:color w:val="000000"/>
          <w:sz w:val="20"/>
          <w:lang w:val="en-US" w:eastAsia="en-US" w:bidi="ar-SA"/>
        </w:rPr>
        <w:t>. One should be as slow to whittle away this protection as one should be to whittle away a natural person's right to litigate despite poverty.</w:t>
      </w:r>
    </w:p>
    <w:p>
      <w:pPr>
        <w:spacing w:before="120"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the present matter, it could hardly be said that Moulton's claim falls within the category of litigious abuses by artificial persons manipulated by natural persons that concerned the court in </w:t>
      </w:r>
      <w:r>
        <w:rPr>
          <w:rFonts w:ascii="arial" w:eastAsia="arial" w:hAnsi="arial" w:cs="arial"/>
          <w:i/>
          <w:color w:val="000000"/>
          <w:sz w:val="20"/>
          <w:lang w:val="en-US" w:eastAsia="en-US" w:bidi="ar-SA"/>
        </w:rPr>
        <w:t>Pearson v. Naydler, 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assertion in </w:t>
      </w:r>
      <w:r>
        <w:rPr>
          <w:rFonts w:ascii="arial" w:eastAsia="arial" w:hAnsi="arial" w:cs="arial"/>
          <w:i/>
          <w:color w:val="000000"/>
          <w:sz w:val="20"/>
          <w:lang w:val="en-US" w:eastAsia="en-US" w:bidi="ar-SA"/>
        </w:rPr>
        <w:t>Fat Mel's</w:t>
      </w:r>
      <w:r>
        <w:rPr>
          <w:rFonts w:ascii="arial" w:eastAsia="arial" w:hAnsi="arial" w:cs="arial"/>
          <w:color w:val="000000"/>
          <w:sz w:val="20"/>
          <w:lang w:val="en-US" w:eastAsia="en-US" w:bidi="ar-SA"/>
        </w:rPr>
        <w:t xml:space="preserve"> that security is generally ordered unless the court is satisfied that there is no arguable defence is modified by the adoption by the Court of Appeal, in </w:t>
      </w:r>
      <w:r>
        <w:rPr>
          <w:rFonts w:ascii="arial" w:eastAsia="arial" w:hAnsi="arial" w:cs="arial"/>
          <w:i/>
          <w:color w:val="000000"/>
          <w:sz w:val="20"/>
          <w:lang w:val="en-US" w:eastAsia="en-US" w:bidi="ar-SA"/>
        </w:rPr>
        <w:t>Kropp,</w:t>
      </w:r>
      <w:r>
        <w:rPr>
          <w:rFonts w:ascii="arial" w:eastAsia="arial" w:hAnsi="arial" w:cs="arial"/>
          <w:color w:val="000000"/>
          <w:sz w:val="20"/>
          <w:lang w:val="en-US" w:eastAsia="en-US" w:bidi="ar-SA"/>
        </w:rPr>
        <w:t xml:space="preserve"> of the factors from </w:t>
      </w:r>
      <w:r>
        <w:rPr>
          <w:rFonts w:ascii="arial" w:eastAsia="arial" w:hAnsi="arial" w:cs="arial"/>
          <w:i/>
          <w:color w:val="000000"/>
          <w:sz w:val="20"/>
          <w:lang w:val="en-US" w:eastAsia="en-US" w:bidi="ar-SA"/>
        </w:rPr>
        <w:t>Keary Development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This includes the consideration of whether an order for security would unfairly stifle a valid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There is another consideration. A link between the defendant's actions and the plaintiff's impecuniosity has a bearing on the exercise of discretion to decline to order security for costs: see </w:t>
      </w:r>
      <w:r>
        <w:rPr>
          <w:rFonts w:ascii="arial" w:eastAsia="arial" w:hAnsi="arial" w:cs="arial"/>
          <w:i/>
          <w:color w:val="000000"/>
          <w:sz w:val="20"/>
          <w:lang w:val="en-US" w:eastAsia="en-US" w:bidi="ar-SA"/>
        </w:rPr>
        <w:t>Grant v. Henderson Development (Canada) Ltd.</w:t>
      </w:r>
      <w:r>
        <w:rPr>
          <w:rFonts w:ascii="arial" w:eastAsia="arial" w:hAnsi="arial" w:cs="arial"/>
          <w:color w:val="000000"/>
          <w:sz w:val="20"/>
          <w:lang w:val="en-US" w:eastAsia="en-US" w:bidi="ar-SA"/>
        </w:rPr>
        <w:t xml:space="preserve">, </w:t>
      </w:r>
      <w:hyperlink r:id="rId38" w:history="1">
        <w:r>
          <w:rPr>
            <w:rFonts w:ascii="arial" w:eastAsia="arial" w:hAnsi="arial" w:cs="arial"/>
            <w:i/>
            <w:color w:val="0077CC"/>
            <w:sz w:val="20"/>
            <w:u w:val="single"/>
            <w:shd w:val="clear" w:color="auto" w:fill="FFFFFF"/>
            <w:lang w:val="en-US" w:eastAsia="en-US" w:bidi="ar-SA"/>
          </w:rPr>
          <w:t>2003 BCSC 1473</w:t>
        </w:r>
      </w:hyperlink>
      <w:r>
        <w:rPr>
          <w:rFonts w:ascii="arial" w:eastAsia="arial" w:hAnsi="arial" w:cs="arial"/>
          <w:color w:val="000000"/>
          <w:sz w:val="20"/>
          <w:lang w:val="en-US" w:eastAsia="en-US" w:bidi="ar-SA"/>
        </w:rPr>
        <w:t xml:space="preserve"> at para. 19: </w:t>
      </w:r>
      <w:r>
        <w:rPr>
          <w:rFonts w:ascii="arial" w:eastAsia="arial" w:hAnsi="arial" w:cs="arial"/>
          <w:i/>
          <w:color w:val="000000"/>
          <w:sz w:val="20"/>
          <w:lang w:val="en-US" w:eastAsia="en-US" w:bidi="ar-SA"/>
        </w:rPr>
        <w:t>Scotford Electrical et al v. Blue Mountain Log Sales et al.</w:t>
      </w:r>
      <w:r>
        <w:rPr>
          <w:rFonts w:ascii="arial" w:eastAsia="arial" w:hAnsi="arial" w:cs="arial"/>
          <w:color w:val="000000"/>
          <w:sz w:val="20"/>
          <w:lang w:val="en-US" w:eastAsia="en-US" w:bidi="ar-SA"/>
        </w:rPr>
        <w:t xml:space="preserve">, </w:t>
      </w:r>
      <w:hyperlink r:id="rId39" w:history="1">
        <w:r>
          <w:rPr>
            <w:rFonts w:ascii="arial" w:eastAsia="arial" w:hAnsi="arial" w:cs="arial"/>
            <w:i/>
            <w:color w:val="0077CC"/>
            <w:sz w:val="20"/>
            <w:u w:val="single"/>
            <w:shd w:val="clear" w:color="auto" w:fill="FFFFFF"/>
            <w:lang w:val="en-US" w:eastAsia="en-US" w:bidi="ar-SA"/>
          </w:rPr>
          <w:t>2005 BCSC 538</w:t>
        </w:r>
      </w:hyperlink>
      <w:r>
        <w:rPr>
          <w:rFonts w:ascii="arial" w:eastAsia="arial" w:hAnsi="arial" w:cs="arial"/>
          <w:color w:val="000000"/>
          <w:sz w:val="20"/>
          <w:lang w:val="en-US" w:eastAsia="en-US" w:bidi="ar-SA"/>
        </w:rPr>
        <w:t xml:space="preserve"> at paras. 23-29; </w:t>
      </w:r>
      <w:r>
        <w:rPr>
          <w:rFonts w:ascii="arial" w:eastAsia="arial" w:hAnsi="arial" w:cs="arial"/>
          <w:i/>
          <w:color w:val="000000"/>
          <w:sz w:val="20"/>
          <w:lang w:val="en-US" w:eastAsia="en-US" w:bidi="ar-SA"/>
        </w:rPr>
        <w:t>Gold River Chinook Project Society v. Bowater Pulp &amp; Paper Canada Inc.</w:t>
      </w:r>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2002 BCSC 166</w:t>
        </w:r>
      </w:hyperlink>
      <w:r>
        <w:rPr>
          <w:rFonts w:ascii="arial" w:eastAsia="arial" w:hAnsi="arial" w:cs="arial"/>
          <w:color w:val="000000"/>
          <w:sz w:val="20"/>
          <w:lang w:val="en-US" w:eastAsia="en-US" w:bidi="ar-SA"/>
        </w:rPr>
        <w:t xml:space="preserve"> at paras. 32 and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Citizens for Foreign Aid Reform Inc. v. Canadian Jewish Congress</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(1999), 36 C.P.C. (4th) 266</w:t>
        </w:r>
      </w:hyperlink>
      <w:r>
        <w:rPr>
          <w:rFonts w:ascii="arial" w:eastAsia="arial" w:hAnsi="arial" w:cs="arial"/>
          <w:color w:val="000000"/>
          <w:sz w:val="20"/>
          <w:lang w:val="en-US" w:eastAsia="en-US" w:bidi="ar-SA"/>
        </w:rPr>
        <w:t xml:space="preserve"> (B.C.S.C.), Romilly J., at para. 14, set out the following criteria for consideration in an application under what is now s. 236 of the </w:t>
      </w:r>
      <w:r>
        <w:rPr>
          <w:rFonts w:ascii="arial" w:eastAsia="arial" w:hAnsi="arial" w:cs="arial"/>
          <w:i/>
          <w:color w:val="000000"/>
          <w:sz w:val="20"/>
          <w:lang w:val="en-US" w:eastAsia="en-US" w:bidi="ar-SA"/>
        </w:rPr>
        <w:t>Business Corporation 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it appear that the plaintiff company will be unable to pay the defendants' costs if the action fails?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has the plaintiff shown that it has exigible assets of sufficient value to satisfy an award for costs?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court satisfied that the defendants have an arguable defence to present?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an order for costs visit undue hardship on the plaintiff such that it would prevent the plaintiff's case from being heard?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first three factors are preconditions to the court's discretion to order security for costs, and the fourth factor arises when the court considers exercising its discretion on the basis of the factors in </w:t>
      </w:r>
      <w:r>
        <w:rPr>
          <w:rFonts w:ascii="arial" w:eastAsia="arial" w:hAnsi="arial" w:cs="arial"/>
          <w:i/>
          <w:color w:val="000000"/>
          <w:sz w:val="20"/>
          <w:lang w:val="en-US" w:eastAsia="en-US" w:bidi="ar-SA"/>
        </w:rPr>
        <w:t>Kropp</w:t>
      </w:r>
      <w:r>
        <w:rPr>
          <w:rFonts w:ascii="arial" w:eastAsia="arial" w:hAnsi="arial" w:cs="arial"/>
          <w:color w:val="000000"/>
          <w:sz w:val="20"/>
          <w:lang w:val="en-US" w:eastAsia="en-US" w:bidi="ar-SA"/>
        </w:rPr>
        <w:t>. Romilly J. went on to explain what the court should consider in deciding whether it should exercise its discretion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exercising its discretion to order security for costs, the court must consider the interests of justice between the parties and balance those interests to try to insure that the substance of their dispute ends up properly litigated. As such, once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is made out by the defendants, the court must consider whether an undue hardship would be visited upon the plaintiff if an award for security for costs was made. In other words, would the ordering of security for costs prevent justice from being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Citizens for Foreign Aid Criteria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first two criteria are met, as: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appears that Moulton will be unable to pay the defendants' costs if the action fails;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Moulton has not shown that it has exigible assets of sufficient value to satisfy an award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following criteria then fall to be considered:</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 the defendants have an arguable defence to present?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Will an order for costs visit undue hardship on Moulton such that it would prevent its case from being heard?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Behn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evidence on examination for discovery establishes that George Behn, and others associated with him, acted in a way that obstructed Moulton's exercise of rights conferred by the TSLs and road permit. It was known that this would result in financial loss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only defence available to these defendants must be based on infringement of treaty rights. While a question may arise as to whether proof of a potential for infringement is a defence to a claim for damages, it cannot be said at this stage of the proceeding that there is no arguable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There is a natural sympathy with the present circumstances of persons of Aboriginal descent who are sustained materially and culturally by hunting rights recognized and reserved by treaty. The incremental accumulation of encroachments on the exercise of such rights has been recognized as a significant infringement (</w:t>
      </w:r>
      <w:r>
        <w:rPr>
          <w:rFonts w:ascii="arial" w:eastAsia="arial" w:hAnsi="arial" w:cs="arial"/>
          <w:i/>
          <w:color w:val="000000"/>
          <w:sz w:val="20"/>
          <w:lang w:val="en-US" w:eastAsia="en-US" w:bidi="ar-SA"/>
        </w:rPr>
        <w:t>R. v. Gladstone</w:t>
      </w:r>
      <w:r>
        <w:rPr>
          <w:rFonts w:ascii="arial" w:eastAsia="arial" w:hAnsi="arial" w:cs="arial"/>
          <w:color w:val="000000"/>
          <w:sz w:val="20"/>
          <w:lang w:val="en-US" w:eastAsia="en-US" w:bidi="ar-SA"/>
        </w:rPr>
        <w:t xml:space="preserve">, </w:t>
      </w:r>
      <w:hyperlink r:id="rId42" w:history="1">
        <w:r>
          <w:rPr>
            <w:rFonts w:ascii="arial" w:eastAsia="arial" w:hAnsi="arial" w:cs="arial"/>
            <w:i/>
            <w:color w:val="0077CC"/>
            <w:sz w:val="20"/>
            <w:u w:val="single"/>
            <w:shd w:val="clear" w:color="auto" w:fill="FFFFFF"/>
            <w:lang w:val="en-US" w:eastAsia="en-US" w:bidi="ar-SA"/>
          </w:rPr>
          <w:t>[1996] 2 S.C.R. 723</w:t>
        </w:r>
      </w:hyperlink>
      <w:r>
        <w:rPr>
          <w:rFonts w:ascii="arial" w:eastAsia="arial" w:hAnsi="arial" w:cs="arial"/>
          <w:color w:val="000000"/>
          <w:sz w:val="20"/>
          <w:lang w:val="en-US" w:eastAsia="en-US" w:bidi="ar-SA"/>
        </w:rPr>
        <w:t xml:space="preserve"> at para. 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However, Aboriginal peoples are part of a community in which conflicting interests are reconciled, where discussion fails, through the process of the law. The FNFN and Mr. Behn, although dissatisfied with the consultation in relation to the Forest Development Plan, and despite their knowledge that the Ministry did not intend to consult further,, did not seek judicial review of the decision of the Ministry to grant the TSLs. Since the decision in </w:t>
      </w:r>
      <w:r>
        <w:rPr>
          <w:rFonts w:ascii="arial" w:eastAsia="arial" w:hAnsi="arial" w:cs="arial"/>
          <w:i/>
          <w:color w:val="000000"/>
          <w:sz w:val="20"/>
          <w:lang w:val="en-US" w:eastAsia="en-US" w:bidi="ar-SA"/>
        </w:rPr>
        <w:t>Haida Nation v. British Columbia (Minister of Forests),</w:t>
      </w:r>
      <w:r>
        <w:rPr>
          <w:rFonts w:ascii="arial" w:eastAsia="arial" w:hAnsi="arial" w:cs="arial"/>
          <w:color w:val="000000"/>
          <w:sz w:val="20"/>
          <w:lang w:val="en-US" w:eastAsia="en-US" w:bidi="ar-SA"/>
        </w:rPr>
        <w:t xml:space="preserve"> </w:t>
      </w:r>
      <w:hyperlink r:id="rId43" w:history="1">
        <w:r>
          <w:rPr>
            <w:rFonts w:ascii="arial" w:eastAsia="arial" w:hAnsi="arial" w:cs="arial"/>
            <w:i/>
            <w:color w:val="0077CC"/>
            <w:sz w:val="20"/>
            <w:u w:val="single"/>
            <w:shd w:val="clear" w:color="auto" w:fill="FFFFFF"/>
            <w:lang w:val="en-US" w:eastAsia="en-US" w:bidi="ar-SA"/>
          </w:rPr>
          <w:t>2004 SCC 73</w:t>
        </w:r>
      </w:hyperlink>
      <w:r>
        <w:rPr>
          <w:rFonts w:ascii="arial" w:eastAsia="arial" w:hAnsi="arial" w:cs="arial"/>
          <w:color w:val="000000"/>
          <w:sz w:val="20"/>
          <w:lang w:val="en-US" w:eastAsia="en-US" w:bidi="ar-SA"/>
        </w:rPr>
        <w:t xml:space="preserve">, </w:t>
      </w:r>
      <w:hyperlink r:id="rId43" w:history="1">
        <w:r>
          <w:rPr>
            <w:rFonts w:ascii="arial" w:eastAsia="arial" w:hAnsi="arial" w:cs="arial"/>
            <w:i/>
            <w:color w:val="0077CC"/>
            <w:sz w:val="20"/>
            <w:u w:val="single"/>
            <w:shd w:val="clear" w:color="auto" w:fill="FFFFFF"/>
            <w:lang w:val="en-US" w:eastAsia="en-US" w:bidi="ar-SA"/>
          </w:rPr>
          <w:t>[2004] 3 S.C.R. 511</w:t>
        </w:r>
      </w:hyperlink>
      <w:r>
        <w:rPr>
          <w:rFonts w:ascii="arial" w:eastAsia="arial" w:hAnsi="arial" w:cs="arial"/>
          <w:color w:val="000000"/>
          <w:sz w:val="20"/>
          <w:lang w:val="en-US" w:eastAsia="en-US" w:bidi="ar-SA"/>
        </w:rPr>
        <w:t xml:space="preserve">, judicial review has often been employed to address concerns around infringement, consultation, and accommodation. The choice to take direct action to obstruct the exercise of rights under a forest tenure in circumstances in which judicial review, which would place the issue squarely between the First Nation and the Province, is, in my opinion, a relevant consideration within the first factor in </w:t>
      </w:r>
      <w:r>
        <w:rPr>
          <w:rFonts w:ascii="arial" w:eastAsia="arial" w:hAnsi="arial" w:cs="arial"/>
          <w:i/>
          <w:color w:val="000000"/>
          <w:sz w:val="20"/>
          <w:lang w:val="en-US" w:eastAsia="en-US" w:bidi="ar-SA"/>
        </w:rPr>
        <w:t>Kropp</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George Behn's reliance on the communal rights protected by Treaty 8 expands the scope of this litigation. The Behn defendants' estimate of costs, $200,000, is driven almost entirely by their reliance on a claim of infringement of treaty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actions of George Behn and others associated with him have caused the impecuniosity of the plaintiff. An order for costs would prevent the plaintiff's case from being heard.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Behn defendants' application for security for costs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Fort Nelson First Nation (FNFN)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evidence on examination for discovery, and the documentary evidence, tends to establish the participation in the blockade of the members of the First Nation, at the instance of the First Nation's governing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Legal questions arise on the issue of whether the actions of individuals who are members of the collective, in these circumstances, establishes the liability of the collective. This issue is raised by para. 10 of the FNFN statement of defence, in which it is stated, in part,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FNFN says that it is not vicariously liability [sic] for the conduct of its members and the FNFN has no legal power or duty to control the actions of its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While this may be an arguable defence, it arises on a body of evidence that will consume very little time at trial. The time consuming defence, and the one that drives the FNFN's $200,000 estimate of costs, is the plea of infringement of treaty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FNFN, although aware of the legal avenues of injunction and judicial review, did not avail themselves of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evidence on examination for discovery and disclosure of documents reveals the involvement of the governing body of the First Nation in the obstruction of the exercise of the plaintiff's rights. Hence, the FNFN is implicated in the plaintiff's impecuniosity.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There is no question but that an award of security for costs of the magnitude sought would stifle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application of the FNFN for security for costs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Crown in Right of the Province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Moulton's claim against the Province is for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To succeed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Moulton must establish that the Province owed a duty of care to the plaintiff to consult with the FNFN, and failed to do so to a requisite standard. A determination of the standard of care may not be a simple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note, in this regard, that the Province did consult with the FNFN regarding the Forest Development Plan, but not with regard to the TSLs granted pursuant to that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As for the claim for breach of contract, the plaintiff asserts that it is an implied term of the contract that it consult with the FNFN.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As it has not been determined that the Province breached the contract or was negligent, a nexus between the acts or omissions of the Province and Moulton's impecuniosity has not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Province has an arguable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Apex Mountain Resort Ltd. v. British Columbia</w:t>
      </w:r>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[1998] B.C.J. No. 1918</w:t>
        </w:r>
      </w:hyperlink>
      <w:r>
        <w:rPr>
          <w:rFonts w:ascii="arial" w:eastAsia="arial" w:hAnsi="arial" w:cs="arial"/>
          <w:color w:val="000000"/>
          <w:sz w:val="20"/>
          <w:lang w:val="en-US" w:eastAsia="en-US" w:bidi="ar-SA"/>
        </w:rPr>
        <w:t xml:space="preserve"> (S.C.), Bauman J., as he then was,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In </w:t>
      </w:r>
      <w:r>
        <w:rPr>
          <w:rFonts w:ascii="arial" w:eastAsia="arial" w:hAnsi="arial" w:cs="arial"/>
          <w:i/>
          <w:color w:val="000000"/>
          <w:sz w:val="20"/>
          <w:lang w:val="en-US" w:eastAsia="en-US" w:bidi="ar-SA"/>
        </w:rPr>
        <w:t>Keary</w:t>
      </w:r>
      <w:r>
        <w:rPr>
          <w:rFonts w:ascii="arial" w:eastAsia="arial" w:hAnsi="arial" w:cs="arial"/>
          <w:color w:val="000000"/>
          <w:sz w:val="20"/>
          <w:lang w:val="en-US" w:eastAsia="en-US" w:bidi="ar-SA"/>
        </w:rPr>
        <w:t xml:space="preserve"> the court said this (at 540):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However, the court should consider not only whether the plaintiff company can provide security out of its own resources to continue the litigation, but also whether it can raise the amount needed from its directors, shareholders or other backers or interested persons. As this is likely to be peculiarly within the knowledge of the plaintiff company, it is for the plaintiff to satisfy the court that it would be prevented by an order for security from continuing the litigation (see </w:t>
      </w:r>
      <w:r>
        <w:rPr>
          <w:rFonts w:ascii="arial" w:eastAsia="arial" w:hAnsi="arial" w:cs="arial"/>
          <w:i/>
          <w:color w:val="000000"/>
          <w:sz w:val="20"/>
          <w:lang w:val="en-US" w:eastAsia="en-US" w:bidi="ar-SA"/>
        </w:rPr>
        <w:t>Flender Werft AG v. Aegean Maritime Ltd.</w:t>
      </w:r>
      <w:r>
        <w:rPr>
          <w:rFonts w:ascii="arial" w:eastAsia="arial" w:hAnsi="arial" w:cs="arial"/>
          <w:color w:val="000000"/>
          <w:sz w:val="20"/>
          <w:lang w:val="en-US" w:eastAsia="en-US" w:bidi="ar-SA"/>
        </w:rPr>
        <w:t xml:space="preserve">, [1990] 2 Lloyd's Rep 27). In that case Saville J. applied by way of analogy the approach adopted in another context, that of payment into court as a condition of leave to defend. In </w:t>
      </w:r>
      <w:r>
        <w:rPr>
          <w:rFonts w:ascii="arial" w:eastAsia="arial" w:hAnsi="arial" w:cs="arial"/>
          <w:i/>
          <w:color w:val="000000"/>
          <w:sz w:val="20"/>
          <w:lang w:val="en-US" w:eastAsia="en-US" w:bidi="ar-SA"/>
        </w:rPr>
        <w:t>M v. Yorke Motors (a firm) v. Edwards</w:t>
      </w:r>
      <w:r>
        <w:rPr>
          <w:rFonts w:ascii="arial" w:eastAsia="arial" w:hAnsi="arial" w:cs="arial"/>
          <w:color w:val="000000"/>
          <w:sz w:val="20"/>
          <w:lang w:val="en-US" w:eastAsia="en-US" w:bidi="ar-SA"/>
        </w:rPr>
        <w:t>, [1982] 1 All E.R. 1024 at 1028, [1982] 1 W.L.R. 444 at 449, 450. Lord Diplock approved the remarks of Brandon LJ in the Court of Appeal:</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fact that the man has no capital of his own does not mean that he cannot raise any capital; he may have friends, he may have business associates, he may have relatives, all of whom can help him in his hour of need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w:t>
      </w:r>
      <w:r>
        <w:rPr>
          <w:rFonts w:ascii="arial" w:eastAsia="arial" w:hAnsi="arial" w:cs="arial"/>
          <w:color w:val="000000"/>
          <w:sz w:val="20"/>
          <w:u w:val="single"/>
          <w:lang w:val="en-US" w:eastAsia="en-US" w:bidi="ar-SA"/>
        </w:rPr>
        <w:t>Here, the evidence has not dispelled the possibility that the companies can raise "the amount needed from its directors, shareholders and other backers or interested persons"</w:t>
      </w:r>
      <w:r>
        <w:rPr>
          <w:rFonts w:ascii="arial" w:eastAsia="arial" w:hAnsi="arial" w:cs="arial"/>
          <w:color w:val="000000"/>
          <w:sz w:val="20"/>
          <w:lang w:val="en-US" w:eastAsia="en-US" w:bidi="ar-SA"/>
        </w:rPr>
        <w:t>. Indeed there is evidence to the contrary. In the result, I cannot conclude that an order for security for costs would stifle the plaintiffs' claim.</w:t>
      </w:r>
    </w:p>
    <w:p>
      <w:pPr>
        <w:spacing w:before="120"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Kevin Moulton, Moulton's principal, has equity in some assets. An order for security for costs in an amount measured in proportion to the issues that arise between Moulton and the Province would not stifle the plaintiff's claim. I would fix security for costs in the sum of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Moulton will post security for costs in that sum within 60 days. Liberty to Moulton to apply to vary the time in which to post security. If not varied, and failing to comply, further proceedings against the Province will be stayed.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 is awarded costs against the Behn defendants, and the FNFN, in any event of the cause. These may be taxed at the conclusion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Costs in relation to the application of the Province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H.A. SLADE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3" style="position:absolute;z-index:2518630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1" w:history="1">
        <w:r>
          <w:rPr>
            <w:rFonts w:ascii="arial" w:eastAsia="arial" w:hAnsi="arial" w:cs="arial"/>
            <w:b/>
            <w:bCs/>
            <w:i/>
            <w:color w:val="0077CC"/>
            <w:kern w:val="32"/>
            <w:sz w:val="28"/>
            <w:szCs w:val="32"/>
            <w:u w:val="single"/>
            <w:shd w:val="clear" w:color="auto" w:fill="FFFFFF"/>
            <w:lang w:val="en-US" w:eastAsia="en-US" w:bidi="ar-SA"/>
          </w:rPr>
          <w:t>Mudry v. Minhas, [2010] B.C.J. No. 823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S.F. Kelleher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22-26,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5,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07-4684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823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637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189 A.C.W.S. (3d) 273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1145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Amanda Mudry, Plaintiff, and Kirpaljit Kaur Minhas and Amarjit S. Minhas,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4"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 w:name="Keywords_1"/>
      <w:bookmarkEnd w:id="13"/>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Causal connection — Action by Mudry for damages arising from a motor vehicle accident dismissed — Minhas was completely at fault for accident in which he made a sudden u-turn and was struck by Mudry's car — Mudry did not establish a causal connection between the accident and the headaches and migraines she suffered from — Nothing more than a general temporal link between her complaints and the accident.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Transportation law — Motor vehicles and highway traffic — Liability — Civil actions — Causation — Action by Mudry for damages arising from a motor vehicle accident dismissed — Minhas was completely at fault for accident in which he made a sudden u-turn and was struck by Mudry's car — Mudry did not establish a causal connection between the accident and the headaches and migraines she suffered from — Nothing more than a general temporal link between her complaints and the accident.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 w:name="Case Summary_1"/>
            <w:bookmarkEnd w:id="1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Mudry for damages arising from a motor vehicle accident. The accident occurred in the early afternoon of December 30, 2005. Mudry was travelling behind Minhas' car, in the same direction. Mudry claimed that Minhas pulled to the right, then attempted to turn left and make a u-turn without signalling. Mudry struck Minhas' car. There was not extensive damage to either vehicle. Minhas claimed he was stopped, waiting to turn left, when he was hit from behind. Mudry claimed to suffer from headaches and migraines as a result of the accident.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 w:name="Holdings of Court_1"/>
            <w:bookmarkEnd w:id="15"/>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Minhas' evidence was inconsistent. The damage to Minhas' car was to the side of the vehicle. The accident occurred as alleged by Mudry. Minhas was completely at fault for the accident. There was no evidence of injury to Mudry at the time of the accident. Mudry did not seek medical help for an extended period of time. There was nothing more than a general temporal link between some of Mudry's complaints and the accident. The evidence did not establish a causal connection between the accident and her symptoms.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 w:name="Legislation Cited_0"/>
      <w:bookmarkEnd w:id="1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5" style="position:absolute;z-index:2517114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of Court, Rule 68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 w:name="Counsel_1"/>
      <w:bookmarkEnd w:id="1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6" style="position:absolute;z-index:2517626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K.D. Priddle.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M.J.C. Smith.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 w:name="Judgment_1"/>
      <w:bookmarkEnd w:id="18"/>
      <w:r>
        <w:pict>
          <v:line id="_x0000_s1037" style="position:absolute;z-index:2518138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 w:name="S.F. KELLEHER J."/>
            <w:bookmarkEnd w:id="19"/>
            <w:r>
              <w:rPr>
                <w:rFonts w:ascii="arial" w:eastAsia="arial" w:hAnsi="arial" w:cs="arial"/>
                <w:b/>
                <w:color w:val="000000"/>
                <w:sz w:val="30"/>
                <w:lang w:val="en-US" w:eastAsia="en-US" w:bidi="ar-SA"/>
              </w:rPr>
              <w:t>S.F. KELLEHER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action for damages arising from a motor vehicle accident. It is brought under Rule 68. The plaintiff alleges the defendants were at fault and that she suffered injuries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defendants' position is that they should not be found at fault for the accident. In the alternative, they argue that there was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say that if any blame attaches to them, the evidence does not establish that the plaintiff suffered damages as a result of the collision. In the alternative, any injuries suffered were minor.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collision occurred in the early afternoon of December 30, 2005. It was raining lightly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testified that she was driving west on Fourth Street in Nanaimo. She had left her home and was proceeding to visit a friend. That portion of Fourth Street where the accident occurred is on an incline. The plaintiff was driving uphill.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front of her was the vehicle owned by the defendant Kirpaljit Kaur Minhas and driven by the defendant Amarjit S. Minhas. The defendants' vehicle was travelling in the same direction. Ms. Mudry's evidence is that after that vehicle passed Chesterley, the driver signalled a right turn and pulled off on to the right shoulder of Fourth Street. She testified that the vehicle was nearly entirely off the road, on the shoulder. As she recalled it, the driver's side wheels were on the roadway and the rest of the car was off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According to the plaintiff, Mr. Minhas then pulled into the westbound lane without signalling. He attempted to perform a U-turn.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geared down and hit her brakes. She turned slightly to the left in an attempt to avoid the vehicle but struck the vehicle with her passenger side front bumper.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There was not extensive damage to either vehicle. Both were drivable. The police were not called and did not attend.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had no recollection of and was unable to describe the force of the impact in what was essentially a side-swipe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 engaged an engineer, Jonathan Gough, P. Eng., who was qualified as an expert in motor vehicle accident reconstruction.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Gough examined the photographs of the damaged vehicles and the repair estimate. His analysis led him to conclude: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disturbance experienced by the occupants of the Mudry vehicle would have consisted of jostling in their seats. The accelerations that the vehicles would have experienced would not have been significantly different from those which could occur as a result of aggressive driving manoeuvres.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 has a very different account of the accident. Mr. Minhas testified that he was driving west on Fourth Street, returning home from shopping. He realized that he had forgotten something. He therefore decided to return from whence he came. He decided to turn left, or south, into the parking area of a fire hall. That way, he could return east on Fourth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Minhas testified that he signalled and brought his vehicle to a stop, waiting for the eastbound lane to clear. As he was waiting, his vehicle was struck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Larry Lucas was several hundred metres down the street when the accident occurred. He testified that he is not sure whether he saw the accident or simply heard the collision. He proceeded to the area of the collision and ensured that everyone was all right. His evidence as to the events leading to the accident is not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conclude that the accident occurred in the manner described by the plaintiff. I come to that conclusion for two reasons. First, Mr. Minhas's evidence is inconsistent. In a statement to the Insurance Corporation of British Columbia, the defendant stated that he had not started his turn when he was hit from behind by another vehicle. At the trial, the defendant testified that he was likely on an angle across the westbound lane when the collision occurred. That would explain the fact that the damage was to the side of his vehicle. That is an important inconsistency and affects his credibility. Second, and related to this, is the objective evidence of the damage to the vehicles. The fact the damage to the defendants' vehicle was to the left rear by the tire-well and the plaintiff's vehicle was damaged in the passenger side right front bumper, are far more consistent with the plaintiff's version of what occurred. Finally, it is noteworthy that in the statement the defendant made to ICBC, he claimed that he was struck from behind.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conclude that the defendants were 100% at fault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Plaintiff's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Mudry grew up on a horse-breeding ranch outside Saskatoon. After completing high school, she applied for and was admitted to the Arts One program at Malaspina College (now Vancouver Island University). She moved to Nanaimo in the fall of 2002 to attend this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Mudry appears to have been a successful, enthusiastic, and active student. The Arts One program focuses on First Nations topics. She was an active student in this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the summer of 2003, she worked for Saskatchewan Government Insurance. Then in her second year she was again active, representing aboriginal students in the student union, and taking part in fund raising. She obtained good marks in her courses.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the fall of 2005, she was in her fourth year. In mid-December, a long relationship came to an end, and Ms. Mudry began to live on her own. At the end of December she returned to Nanaimo from Saskatoon where she had spent the Christmas vacation. Her plan was to graduate and apply to law school. The accident happened shortly after her flight arrived in Nanaimo.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Plaintiff's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While the plaintiff had a clear recollection of the events leading up to and including the collision, she has no recollection of what happened when the vehicles collided. There is no evidence, for example, that she struck her head or injured her neck. No ambulance was called. As will be seen, the plaintiff did not seek medical help for an extensive period of time. After the accident, Ms. Mudry visited a friend. She testified that she then returned to her home, and friends came over. She felt nauseous and began vomiting.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plaintiff's evidence is that in the period following the accident, she experienced "horrible" headaches. She was sensitive to noise and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plaintiff's friend, Ashley Heyland, corroborated her evidence that she was not well. Ms. Heyland said that she knew Ms. Mudry was upset by the accident, but did not think at the time that the illness was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testified that she mainly stayed home from school for the first two weeks of January. She said that she attended once or twice but was not able to attend on a regular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Melissa Matheson is a close friend of the plaintiff. She saw her a week after the accident, and testified that the plaintiff was constantly complaining of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plaintiff's vehicle belonged to her mother and was registered in Saskatchewan. On January 11, 2006, 12 days after the accident, she met with Barrie Page. Mr. Page is an adjuster who was investigating the accident on behalf of Saskatchewan Government Insurance. He interviewed her and prepared a detailed written statement. The statement included this: "The police were not called. I was not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Page's evidence is that he drafts the statement in his own handwriting and has the client review it. He then later sends it to the client for signature.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Mudry was shown this statement in cross-examination. Her reaction was that the statement was sloppy and inaccurate. She pointed to the misspelling of her middle name. She testified that when Mr. Page asked her if she were injured, she would have said "yes." But she later agreed the statement to the adjuster was what she would have said to him. That is because it was not until "February or March" that she linked her symptoms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January 24, 2006, the plaintiff noticed blood in her vomit. She attended at the emergency ward of Nanaimo Regional General Hospital. The hospital records record her "presenting complaints." Dr. Orla MacSweeney, the emergency physician who saw her that night, testified that her notes made at the time say that the plaintiff's complaints were: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Nausea and vomiting for three weeks. States has been vomiting dark red blood for two days. Complains of back pain and rib pain for two weeks. States fever and rigors.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MacSweeney treated Ms. Mudry. She testified that Ms. Mudry made no complaint of headache, migraine, head pain, neck pain or shoulder pain. No mention was made of a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Mudry testified she received intravenous therapy to rehydrate her. Tests for mononucleosis proved negative. After this visit, Ms. Mudry testified, her pain and headaches persisted. She saw her family physician for the first time on February 17. He gave her some medication for migraine. She saw him again on February 21. He suggested perhaps her wisdom teeth were the source of her difficulties. Ms. Mudry made an appointment with an oral surgeon on February 19, and had her wisdom teeth extracted on February 24. This did not stop the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When the plaintiff saw her family doctor, Dr. Rogers, on February 17, 49 days had passed since the accident. She complained of headaches or migraines for "at least the last three weeks." It had been just over three weeks since her visit to the emergency department where there had been no complaints of headache.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Allison Anderson is a faculty member at Vancouver Island University. She said that Ms. Mudry was a first class student and as well played a leadership role in organizing events in the years preceding the accident. In the months following the accident, on the other hand, the plaintiff's work deteriorated. She did not seem the same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plaintiff's evidence is that her difficulties have persisted. Her graduation was delayed for several months because she had to drop some courses. Then in late 2006, she began working in Old Crow, Yukon. In early 2007, she moved to Whitehorse, and in June of that year began working at the Council of Yukon First Nations as an administrative assistant. She remained there until January 2009, when she obtained a position with the Yukon government. Ms. Mudry currently lives and works in Whitehorse.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key question in this case is whether the symptoms experienced by the plaintiff were caused by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James Filbey, a physiatrist, examined the plaintiff at her counsel's request. He wrote a report dated March 17, 2008. His diagnoses were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Amanda Mudry presents with a complex migraine headache diagnoses [sic] with secondary myofascial/muscular pain. The pattern is one of hemisensory dysfunction on the right. An MRI scan of the brain is pending.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Filbey said this with respect to the cause of her symptoms: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indication that she had suffered such headaches prior to the accident. It appears as though the MVA is responsible/causative of her ongoing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Filbey provided an updated report in January 2010. The wording regarding causation is almost the same: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indication that she had suffered such headaches prior to the MVA. It appears as though the MVA is responsible/causative of her ongoing symptoms (headaches and muscular pains).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Filbey's choice of words indicates that his conclusion is somewhat tentative. He confirmed in cross-examination that this was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Sir, I've - I've read - I am just editorializing. I've read tens - not hundreds - but tens - probably in excess of 50 of reports that you've - that you've authored in personal injury litigation. And in your report the language you use with respect to causation of this woman's complaints are, I'm going to suggest to you, um, you're stretching to find a cause. Did you have that in your - did you have that feeling in your gut when you were preparing these reports?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 - yah. Because I think, you know, if I could look at my wording here again. So in the first one - where are we? I agree. I put under discussion on page 4 in the first exhibit - I put there is no indication that she had suffered headaches prior to the MVA. I put it appears as though the MVA is responsible/causative of her symptoms.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not as definitive as usual is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Absolutely. No. Absolutely.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Filbey went on to 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I will often use different wording than that. And in this case, um, I would say that it is definitely possible in this instance that there are other things that could be associated with her headaches. Um, I would say my opinion though is that it's more likely than not that it is related to the car accident. Um, but whereas my wording in other reports would be more concrete, if you will.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 am saying there is that I would put that at a very high more likely than not; 75, 80, 90 percent. Okay. In this case, I'm putting this right at the 51 percent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Filbey's opinion, then, is that his level of confidence in his conclusion is at the very minimum. He thought it barely more likely than not that the accident caused the injury. And, in forming that opinion, he was not aware that the plaintiff had told the adjuster 12 days after the accident that she had not been injured in the accident. Dr. Filbey was not aware that the plaintiff did not complain of headaches when she attended at Nanaimo Regional Hospital on January 26, or that that was the first time she sought medical attention after the accident or that she did not mention the motor vehicle accident in that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assessing causation, an accurate medical and factual history is critical. The absence of an accurate history means that an expert opinion will be of limited assistance: </w:t>
      </w:r>
      <w:r>
        <w:rPr>
          <w:rFonts w:ascii="arial" w:eastAsia="arial" w:hAnsi="arial" w:cs="arial"/>
          <w:i/>
          <w:color w:val="000000"/>
          <w:sz w:val="20"/>
          <w:lang w:val="en-US" w:eastAsia="en-US" w:bidi="ar-SA"/>
        </w:rPr>
        <w:t>Butterfield v. Choufour</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2005 BCSC 179</w:t>
        </w:r>
      </w:hyperlink>
      <w:r>
        <w:rPr>
          <w:rFonts w:ascii="arial" w:eastAsia="arial" w:hAnsi="arial" w:cs="arial"/>
          <w:color w:val="000000"/>
          <w:sz w:val="20"/>
          <w:lang w:val="en-US" w:eastAsia="en-US" w:bidi="ar-SA"/>
        </w:rPr>
        <w:t xml:space="preserve">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My conclusion is that there is nothing more than a general temporal link between some of the plaintiff's complaints and the accident. There is less of a temporal link if one has regard to the fact that she did not report headaches when she attended at Nanaimo Regional Hospital and that she did not in her visit to her physician in February say that headaches started any sooner than three weeks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White v. Stonestreet</w:t>
      </w:r>
      <w:r>
        <w:rPr>
          <w:rFonts w:ascii="arial" w:eastAsia="arial" w:hAnsi="arial" w:cs="arial"/>
          <w:color w:val="000000"/>
          <w:sz w:val="20"/>
          <w:lang w:val="en-US" w:eastAsia="en-US" w:bidi="ar-SA"/>
        </w:rPr>
        <w:t xml:space="preserve">, </w:t>
      </w:r>
      <w:hyperlink r:id="rId53" w:history="1">
        <w:r>
          <w:rPr>
            <w:rFonts w:ascii="arial" w:eastAsia="arial" w:hAnsi="arial" w:cs="arial"/>
            <w:i/>
            <w:color w:val="0077CC"/>
            <w:sz w:val="20"/>
            <w:u w:val="single"/>
            <w:shd w:val="clear" w:color="auto" w:fill="FFFFFF"/>
            <w:lang w:val="en-US" w:eastAsia="en-US" w:bidi="ar-SA"/>
          </w:rPr>
          <w:t>2006 BCSC 801</w:t>
        </w:r>
      </w:hyperlink>
      <w:r>
        <w:rPr>
          <w:rFonts w:ascii="arial" w:eastAsia="arial" w:hAnsi="arial" w:cs="arial"/>
          <w:color w:val="000000"/>
          <w:sz w:val="20"/>
          <w:lang w:val="en-US" w:eastAsia="en-US" w:bidi="ar-SA"/>
        </w:rPr>
        <w:t>, Ehrcke J. discussed the possible fallacy in drawing an inference from a temporal link: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[74] The inference from a temporal sequence to a causal connection, however, is not always reliable. In fact, this form of reasoning so often results in false conclusions that logicians have given it a Latin name. It is sometimes referred to as the fallacy of </w:t>
      </w:r>
      <w:r>
        <w:rPr>
          <w:rFonts w:ascii="arial" w:eastAsia="arial" w:hAnsi="arial" w:cs="arial"/>
          <w:i/>
          <w:color w:val="000000"/>
          <w:sz w:val="20"/>
          <w:lang w:val="en-US" w:eastAsia="en-US" w:bidi="ar-SA"/>
        </w:rPr>
        <w:t>post hoc ergo propter hoc</w:t>
      </w:r>
      <w:r>
        <w:rPr>
          <w:rFonts w:ascii="arial" w:eastAsia="arial" w:hAnsi="arial" w:cs="arial"/>
          <w:color w:val="000000"/>
          <w:sz w:val="20"/>
          <w:lang w:val="en-US" w:eastAsia="en-US" w:bidi="ar-SA"/>
        </w:rPr>
        <w:t>: "after this therefore because of this."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[75] In searching for causes, a temporal connection is sometimes the only thing to go on. But if a mere temporal connection is going to form the basis for a conclusion about the cause of an event, then it is important to examine that temporal connection carefully. Just how close are the events in time? Were there other events happening around the same time, or even closer in time, that would provide an alternate, and more accurate, explanation of the true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test for causation was described by Major J.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5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Causation is established where the plaintiff proves to the civil standard on a balance of probabilities that the defendant caused or contributed to the injury: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McGhee v. National Coal Board</w:t>
      </w:r>
      <w:r>
        <w:rPr>
          <w:rFonts w:ascii="arial" w:eastAsia="arial" w:hAnsi="arial" w:cs="arial"/>
          <w:color w:val="000000"/>
          <w:sz w:val="20"/>
          <w:lang w:val="en-US" w:eastAsia="en-US" w:bidi="ar-SA"/>
        </w:rPr>
        <w:t>, [1972] 3 All E.R. 1008 (H.L.).</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w:t>
      </w:r>
      <w:r>
        <w:rPr>
          <w:rFonts w:ascii="arial" w:eastAsia="arial" w:hAnsi="arial" w:cs="arial"/>
          <w:i/>
          <w:color w:val="000000"/>
          <w:sz w:val="20"/>
          <w:lang w:val="en-US" w:eastAsia="en-US" w:bidi="ar-SA"/>
        </w:rPr>
        <w:t>Horsley v. MacLaren</w:t>
      </w:r>
      <w:r>
        <w:rPr>
          <w:rFonts w:ascii="arial" w:eastAsia="arial" w:hAnsi="arial" w:cs="arial"/>
          <w:color w:val="000000"/>
          <w:sz w:val="20"/>
          <w:lang w:val="en-US" w:eastAsia="en-US" w:bidi="ar-SA"/>
        </w:rPr>
        <w:t xml:space="preserve">, </w:t>
      </w:r>
      <w:hyperlink r:id="rId56" w:history="1">
        <w:r>
          <w:rPr>
            <w:rFonts w:ascii="arial" w:eastAsia="arial" w:hAnsi="arial" w:cs="arial"/>
            <w:i/>
            <w:color w:val="0077CC"/>
            <w:sz w:val="20"/>
            <w:u w:val="single"/>
            <w:shd w:val="clear" w:color="auto" w:fill="FFFFFF"/>
            <w:lang w:val="en-US" w:eastAsia="en-US" w:bidi="ar-SA"/>
          </w:rPr>
          <w:t>[1972] S.C.R. 441</w:t>
        </w:r>
      </w:hyperlink>
      <w:r>
        <w:rPr>
          <w:rFonts w:ascii="arial" w:eastAsia="arial" w:hAnsi="arial" w:cs="arial"/>
          <w:color w:val="000000"/>
          <w:sz w:val="20"/>
          <w:lang w:val="en-US" w:eastAsia="en-US" w:bidi="ar-SA"/>
        </w:rPr>
        <w:t>.</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"but for" test is unworkable in some circumstances, so the courts have recognized that causation is established where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the injury: </w:t>
      </w:r>
      <w:r>
        <w:rPr>
          <w:rFonts w:ascii="arial" w:eastAsia="arial" w:hAnsi="arial" w:cs="arial"/>
          <w:i/>
          <w:color w:val="000000"/>
          <w:sz w:val="20"/>
          <w:lang w:val="en-US" w:eastAsia="en-US" w:bidi="ar-SA"/>
        </w:rPr>
        <w:t>Myers v. Peel County Board of Education</w:t>
      </w:r>
      <w:r>
        <w:rPr>
          <w:rFonts w:ascii="arial" w:eastAsia="arial" w:hAnsi="arial" w:cs="arial"/>
          <w:color w:val="000000"/>
          <w:sz w:val="20"/>
          <w:lang w:val="en-US" w:eastAsia="en-US" w:bidi="ar-SA"/>
        </w:rPr>
        <w:t xml:space="preserve">; </w:t>
      </w:r>
      <w:hyperlink r:id="rId57" w:history="1">
        <w:r>
          <w:rPr>
            <w:rFonts w:ascii="arial" w:eastAsia="arial" w:hAnsi="arial" w:cs="arial"/>
            <w:i/>
            <w:color w:val="0077CC"/>
            <w:sz w:val="20"/>
            <w:u w:val="single"/>
            <w:shd w:val="clear" w:color="auto" w:fill="FFFFFF"/>
            <w:lang w:val="en-US" w:eastAsia="en-US" w:bidi="ar-SA"/>
          </w:rPr>
          <w:t>[1981] 2 S.C.R. 21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Bonnington Castings, Ltd. v. Wardlaw</w:t>
      </w:r>
      <w:r>
        <w:rPr>
          <w:rFonts w:ascii="arial" w:eastAsia="arial" w:hAnsi="arial" w:cs="arial"/>
          <w:color w:val="000000"/>
          <w:sz w:val="20"/>
          <w:lang w:val="en-US" w:eastAsia="en-US" w:bidi="ar-SA"/>
        </w:rPr>
        <w:t xml:space="preserve">, [1956] 1 All E.R. 615 (H.L.); </w:t>
      </w:r>
      <w:r>
        <w:rPr>
          <w:rFonts w:ascii="arial" w:eastAsia="arial" w:hAnsi="arial" w:cs="arial"/>
          <w:i/>
          <w:color w:val="000000"/>
          <w:sz w:val="20"/>
          <w:lang w:val="en-US" w:eastAsia="en-US" w:bidi="ar-SA"/>
        </w:rPr>
        <w:t>McGhee v. National Coal Board, supra</w:t>
      </w:r>
      <w:r>
        <w:rPr>
          <w:rFonts w:ascii="arial" w:eastAsia="arial" w:hAnsi="arial" w:cs="arial"/>
          <w:color w:val="000000"/>
          <w:sz w:val="20"/>
          <w:lang w:val="en-US" w:eastAsia="en-US" w:bidi="ar-SA"/>
        </w:rPr>
        <w:t xml:space="preserve">. A contributing factor is material if it falls outside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w:t>
      </w:r>
      <w:r>
        <w:rPr>
          <w:rFonts w:ascii="arial" w:eastAsia="arial" w:hAnsi="arial" w:cs="arial"/>
          <w:i/>
          <w:color w:val="000000"/>
          <w:sz w:val="20"/>
          <w:lang w:val="en-US" w:eastAsia="en-US" w:bidi="ar-SA"/>
        </w:rPr>
        <w:t>Bonnington Castings, Ltd. v. Wardlaw, supra</w:t>
      </w:r>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R. v. Pinske</w:t>
      </w:r>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(1988), 30 B.C.L.R. (2d) 114</w:t>
        </w:r>
      </w:hyperlink>
      <w:r>
        <w:rPr>
          <w:rFonts w:ascii="arial" w:eastAsia="arial" w:hAnsi="arial" w:cs="arial"/>
          <w:color w:val="000000"/>
          <w:sz w:val="20"/>
          <w:lang w:val="en-US" w:eastAsia="en-US" w:bidi="ar-SA"/>
        </w:rPr>
        <w:t xml:space="preserve"> (B.C.C.A.), aff'd </w:t>
      </w:r>
      <w:hyperlink r:id="rId59" w:history="1">
        <w:r>
          <w:rPr>
            <w:rFonts w:ascii="arial" w:eastAsia="arial" w:hAnsi="arial" w:cs="arial"/>
            <w:i/>
            <w:color w:val="0077CC"/>
            <w:sz w:val="20"/>
            <w:u w:val="single"/>
            <w:shd w:val="clear" w:color="auto" w:fill="FFFFFF"/>
            <w:lang w:val="en-US" w:eastAsia="en-US" w:bidi="ar-SA"/>
          </w:rPr>
          <w:t>[1989] 2 S.C.R. 979</w:t>
        </w:r>
      </w:hyperlink>
      <w:r>
        <w:rPr>
          <w:rFonts w:ascii="arial" w:eastAsia="arial" w:hAnsi="arial" w:cs="arial"/>
          <w:color w:val="000000"/>
          <w:sz w:val="20"/>
          <w:lang w:val="en-US" w:eastAsia="en-US" w:bidi="ar-SA"/>
        </w:rPr>
        <w: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Snell v. Farrell, supra</w:t>
      </w:r>
      <w:r>
        <w:rPr>
          <w:rFonts w:ascii="arial" w:eastAsia="arial" w:hAnsi="arial" w:cs="arial"/>
          <w:color w:val="000000"/>
          <w:sz w:val="20"/>
          <w:lang w:val="en-US" w:eastAsia="en-US" w:bidi="ar-SA"/>
        </w:rPr>
        <w:t xml:space="preserve">, this Court recently confirmed that the plaintiff must prove that the defendant's tortious conduct caused or contributed to the plaintiff's injury. The causation test is not to be applied too rigidly. Causation need not be determined by scientific precision; as Lord Salmon stated in </w:t>
      </w:r>
      <w:r>
        <w:rPr>
          <w:rFonts w:ascii="arial" w:eastAsia="arial" w:hAnsi="arial" w:cs="arial"/>
          <w:i/>
          <w:color w:val="000000"/>
          <w:sz w:val="20"/>
          <w:lang w:val="en-US" w:eastAsia="en-US" w:bidi="ar-SA"/>
        </w:rPr>
        <w:t>Alphacell Ltd. v. Woodward</w:t>
      </w:r>
      <w:r>
        <w:rPr>
          <w:rFonts w:ascii="arial" w:eastAsia="arial" w:hAnsi="arial" w:cs="arial"/>
          <w:color w:val="000000"/>
          <w:sz w:val="20"/>
          <w:lang w:val="en-US" w:eastAsia="en-US" w:bidi="ar-SA"/>
        </w:rPr>
        <w:t>, [1972] 2 All E.R. 475, at p. 490, and as was quoted by Sopinka J. at p. 328, it is "essentially a practical question of fact which can best be answered by ordinary common sense". Although the burden of proof remains with the plaintiff, in some circumstances an inference of causation may be drawn from the evidence without positive scientific proof.</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now necessary, nor has it ever been,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w:t>
      </w:r>
      <w:r>
        <w:rPr>
          <w:rFonts w:ascii="arial" w:eastAsia="arial" w:hAnsi="arial" w:cs="arial"/>
          <w:color w:val="000000"/>
          <w:sz w:val="20"/>
          <w:u w:val="single"/>
          <w:lang w:val="en-US" w:eastAsia="en-US" w:bidi="ar-SA"/>
        </w:rPr>
        <w:t>sole cause</w:t>
      </w:r>
      <w:r>
        <w:rPr>
          <w:rFonts w:ascii="arial" w:eastAsia="arial" w:hAnsi="arial" w:cs="arial"/>
          <w:color w:val="000000"/>
          <w:sz w:val="20"/>
          <w:lang w:val="en-US" w:eastAsia="en-US" w:bidi="ar-SA"/>
        </w:rPr>
        <w:t xml:space="preserve"> of the injury. There will frequently be a myriad of other background events which were necessary preconditions to the injury occurring. To borrow an example from Professor Fleming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xml:space="preserve"> (8th ed. 1992) at p. 193), a "fire ignited in a wastepaper basket is . . . caused not only by the dropping of a lighted match, but also by the presence of combustible material and oxygen, a failure of the cleaner to empty the basket and so forth". As long as a defendant is </w:t>
      </w:r>
      <w:r>
        <w:rPr>
          <w:rFonts w:ascii="arial" w:eastAsia="arial" w:hAnsi="arial" w:cs="arial"/>
          <w:color w:val="000000"/>
          <w:sz w:val="20"/>
          <w:u w:val="single"/>
          <w:lang w:val="en-US" w:eastAsia="en-US" w:bidi="ar-SA"/>
        </w:rPr>
        <w:t>part</w:t>
      </w:r>
      <w:r>
        <w:rPr>
          <w:rFonts w:ascii="arial" w:eastAsia="arial" w:hAnsi="arial" w:cs="arial"/>
          <w:color w:val="000000"/>
          <w:sz w:val="20"/>
          <w:lang w:val="en-US" w:eastAsia="en-US" w:bidi="ar-SA"/>
        </w:rPr>
        <w:t xml:space="preserve"> of the cause of an injury, the defendant is liable, even though his act alone was not enough to create the injury. There is no basis for a reduction of liability because of the existence of other preconditions: defendants remain liable for all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McLachlin C.J.C. noted in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60"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hyperlink r:id="rId60"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"but for" test recognizes that compensation for negligent conduct should only be made where a substantial connection between the injury and the defendant's conduct is present. It ensures that a defendant will not be held liable for the plaintiff's injuries when they "may very well be due to factors unconnected to the defendant and not the fault of anyone":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at p. 327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Sopinka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did not recall hitting or twisting her head or neck at the time of impact. She cannot recall whether her body moved on impact. The damage to the vehicles involved in the accident was minor, and no emergency services were required. Twelve days after the accident, the plaintiff herself held the opinion that she had suffered no injuries as a result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Causation does not need to be established with scientific precision. While the plaintiff does not have to show that the motor vehicle accident was the only cause, she does bear the burden of establishing on the balance of probabilities that it was a cause of her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evidence considered as a whole does not establish any causal connection between the motor vehicle accident and the plaintiff's symptoms. The plaintiff's action is therefore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S.F. KELLEHER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8"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
          <w:headerReference w:type="default" r:id="rId62"/>
          <w:footerReference w:type="even" r:id="rId63"/>
          <w:footerReference w:type="default" r:id="rId64"/>
          <w:headerReference w:type="first" r:id="rId65"/>
          <w:footerReference w:type="first" r:id="rId6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67" w:history="1">
        <w:r>
          <w:rPr>
            <w:rFonts w:ascii="arial" w:eastAsia="arial" w:hAnsi="arial" w:cs="arial"/>
            <w:b/>
            <w:bCs/>
            <w:i/>
            <w:color w:val="0077CC"/>
            <w:kern w:val="32"/>
            <w:sz w:val="28"/>
            <w:szCs w:val="32"/>
            <w:u w:val="single"/>
            <w:shd w:val="clear" w:color="auto" w:fill="FFFFFF"/>
            <w:lang w:val="en-US" w:eastAsia="en-US" w:bidi="ar-SA"/>
          </w:rPr>
          <w:t>Nadig v. Scoffield, [2003] B.C.J. No. 2089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Taylor J.</w:t>
      </w:r>
    </w:p>
    <w:p>
      <w:pPr>
        <w:spacing w:before="120" w:line="260" w:lineRule="atLeast"/>
        <w:jc w:val="center"/>
        <w:rPr>
          <w:lang w:val="en-US" w:eastAsia="en-US" w:bidi="ar-SA"/>
        </w:rPr>
      </w:pPr>
      <w:r>
        <w:rPr>
          <w:rFonts w:ascii="arial" w:eastAsia="arial" w:hAnsi="arial" w:cs="arial"/>
          <w:color w:val="000000"/>
          <w:sz w:val="20"/>
          <w:lang w:val="en-US" w:eastAsia="en-US" w:bidi="ar-SA"/>
        </w:rPr>
        <w:t>Heard: May 15 - 16, July 29 - 30, and</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August 6, 2003.</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August 6, 2003.</w:t>
      </w:r>
    </w:p>
    <w:p>
      <w:pPr>
        <w:spacing w:before="120" w:line="260" w:lineRule="atLeast"/>
        <w:jc w:val="center"/>
        <w:rPr>
          <w:lang w:val="en-US" w:eastAsia="en-US" w:bidi="ar-SA"/>
        </w:rPr>
      </w:pPr>
      <w:r>
        <w:rPr>
          <w:rFonts w:ascii="arial" w:eastAsia="arial" w:hAnsi="arial" w:cs="arial"/>
          <w:color w:val="000000"/>
          <w:sz w:val="20"/>
          <w:lang w:val="en-US" w:eastAsia="en-US" w:bidi="ar-SA"/>
        </w:rPr>
        <w:t>Nanaimo Registry No. S27946</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[2003] B.C.J. No. 2089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2003 BCSC 1218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126 A.C.W.S. (3d) 173</w:t>
      </w:r>
    </w:p>
    <w:p>
      <w:pPr>
        <w:spacing w:before="120" w:line="260" w:lineRule="atLeast"/>
        <w:rPr>
          <w:lang w:val="en-US" w:eastAsia="en-US" w:bidi="ar-SA"/>
        </w:rPr>
      </w:pPr>
      <w:r>
        <w:rPr>
          <w:rFonts w:ascii="arial" w:eastAsia="arial" w:hAnsi="arial" w:cs="arial"/>
          <w:color w:val="000000"/>
          <w:sz w:val="20"/>
          <w:lang w:val="en-US" w:eastAsia="en-US" w:bidi="ar-SA"/>
        </w:rPr>
        <w:t>Between Anton Nadig, plaintiff, and Robert Scoffield,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(106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39" style="position:absolute;z-index:25166131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0" w:name="Keywords_2"/>
      <w:bookmarkEnd w:id="20"/>
      <w:r>
        <w:rPr>
          <w:rFonts w:ascii="arial" w:eastAsia="arial" w:hAnsi="arial" w:cs="arial"/>
          <w:b/>
          <w:color w:val="000000"/>
          <w:sz w:val="20"/>
          <w:lang w:val="en-US" w:eastAsia="en-US" w:bidi="ar-SA"/>
        </w:rPr>
        <w:t>Torts — Trespass — Assault and battery — Burden of proof.</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1" w:name="Case Summary_2"/>
            <w:bookmarkEnd w:id="21"/>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Nadig for damages for assault. The defendant, Scoffield, was a lawyer engaged by Nadig to act for him in divorce proceedings. Nadig became dissatisfied with the progress of the case and with what he was being charged. The alleged assault occurred at a meeting in Scoffield's office. According to Nadig, when he reached for his file, which was on Scoffield's desk, Scoffield grabbed his wrist and twisted it. Scoffield then got out of his chair, grabbed the file, and hit him in the arm. While continuing to hold Nadig's arm, Scoffield pushed his desk toward Nadig and hit him again. According to Scoffield, he became apprehensive about Nadig's belligerence and frustrated over Nadig's lack of cooperation, and as such asked him to leave the office. When Nadig reached for his file, Scoffield put his arm on it and said that he could not have it. Nadig then leapt to his feet and pushed the desk back, forcing Scoffield's chair against the wall. Scoffield pushed the desk forward so as not to be pinned against the wall. He tried to take the file from Nadig's hands, but did not strike him. Scoffield's partner testified that he heard Scoffield asking Nadig to leave, followed by a loud bang consistent with the desk being moved. When he found the door locked, he unlocked it and encountered Nadig holding his file in his hand. A secretary had observed that Scoffield's desk was skewed in a position consistent with Scoffield's version of events. Nadig claimed that Scoffield injured his arm. Nadig initially denied that he had any other recent injury to his arm, but on cross-examination conceded that in October 1999 he suffered an elbow injury. He did not obtain a report from his general practitioner, even though he claimed to have seen the doctor 35 to 40 times after the alleged assault. An orthopedic surgeon discounted any punch causing Nadig's complaints, but suggested that the injury was more likely caused by the motion of forcibly driving an object such as the desk against an immovable object. </w:t>
            </w:r>
            <w:r>
              <w:rPr>
                <w:lang w:val="en-US" w:eastAsia="en-US" w:bidi="ar-SA"/>
              </w:rPr>
              <w:cr/>
            </w:r>
          </w:p>
          <w:p>
            <w:pPr>
              <w:spacing w:before="120" w:line="260" w:lineRule="atLeast"/>
              <w:ind w:left="240"/>
              <w:jc w:val="both"/>
              <w:rPr>
                <w:lang w:val="en-US" w:eastAsia="en-US" w:bidi="ar-SA"/>
              </w:rPr>
            </w:pPr>
            <w:bookmarkStart w:id="22" w:name="Holdings of Court_2"/>
            <w:bookmarkEnd w:id="22"/>
            <w:r>
              <w:rPr>
                <w:rFonts w:ascii="arial" w:eastAsia="arial" w:hAnsi="arial" w:cs="arial"/>
                <w:color w:val="000000"/>
                <w:sz w:val="20"/>
                <w:lang w:val="en-US" w:eastAsia="en-US" w:bidi="ar-SA"/>
              </w:rPr>
              <w:t>HELD: Action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medical evidence did not support Nadig's allegations as to how the injury occurred. Notwithstanding Scoffield's association with his partner and the secretary, both witnesses were credible and reliable, and their evidence was more consistent with Scoffield's version than with Nadig's version. Furthermore, Nadig's complaints regarding Scoffield's charges were exaggerated, which further diminished his credibility. In the absence of corroboration, he had failed to prove his allegations of assault. </w:t>
            </w:r>
            <w:r>
              <w:rPr>
                <w:lang w:val="en-US" w:eastAsia="en-US" w:bidi="ar-SA"/>
              </w:rPr>
              <w:cr/>
            </w:r>
          </w:p>
          <w:p>
            <w:pPr>
              <w:rPr>
                <w:lang w:val="en-US" w:eastAsia="en-US" w:bidi="ar-SA"/>
              </w:rPr>
            </w:pPr>
          </w:p>
        </w:tc>
      </w:tr>
    </w:tbl>
    <w:p>
      <w:pPr>
        <w:jc w:val="both"/>
        <w:rPr>
          <w:lang w:val="en-US" w:eastAsia="en-US" w:bidi="ar-SA"/>
        </w:rPr>
      </w:pPr>
      <w:bookmarkStart w:id="23" w:name="Legislation Cited_1"/>
      <w:bookmarkEnd w:id="23"/>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040" style="position:absolute;z-index:25171251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Occupiers Liability Act.</w:t>
      </w:r>
      <w:r>
        <w:rPr>
          <w:lang w:val="en-US" w:eastAsia="en-US" w:bidi="ar-SA"/>
        </w:rPr>
        <w:cr/>
      </w:r>
    </w:p>
    <w:p>
      <w:pPr>
        <w:keepNext/>
        <w:spacing w:before="240" w:line="340" w:lineRule="atLeast"/>
        <w:rPr>
          <w:lang w:val="en-US" w:eastAsia="en-US" w:bidi="ar-SA"/>
        </w:rPr>
      </w:pPr>
      <w:bookmarkStart w:id="24" w:name="Counsel_2"/>
      <w:bookmarkEnd w:id="24"/>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41" style="position:absolute;z-index:25176371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V.V. Svacek, for the plaintiff. D. McKay, for defendant.</w:t>
      </w:r>
      <w:r>
        <w:rPr>
          <w:lang w:val="en-US" w:eastAsia="en-US" w:bidi="ar-SA"/>
        </w:rPr>
        <w:cr/>
      </w:r>
    </w:p>
    <w:p>
      <w:pPr>
        <w:spacing w:after="240"/>
        <w:rPr>
          <w:lang w:val="en-US" w:eastAsia="en-US" w:bidi="ar-SA"/>
        </w:rPr>
      </w:pPr>
      <w:bookmarkStart w:id="25" w:name="Judgment_2"/>
      <w:bookmarkEnd w:id="25"/>
      <w:r>
        <w:pict>
          <v:line id="_x0000_s1042" style="position:absolute;z-index:251814912" from="0,12pt" to="512pt,12pt" strokecolor="#009ddb" strokeweight="1.5pt">
            <v:stroke linestyle="single"/>
          </v:line>
        </w:pict>
      </w:r>
    </w:p>
    <w:p>
      <w:pPr>
        <w:spacing w:before="120" w:line="240" w:lineRule="atLeast"/>
        <w:ind w:firstLine="240"/>
        <w:rPr>
          <w:lang w:val="en-US" w:eastAsia="en-US" w:bidi="ar-SA"/>
        </w:rPr>
      </w:pPr>
      <w:r>
        <w:rPr>
          <w:rFonts w:ascii="arial" w:eastAsia="arial" w:hAnsi="arial" w:cs="arial"/>
          <w:color w:val="000000"/>
          <w:sz w:val="18"/>
          <w:lang w:val="en-US" w:eastAsia="en-US" w:bidi="ar-SA"/>
        </w:rPr>
        <w:t>[Quicklaw note: A Corrigendum was released by the Court August 27, 2003. The corrections have been made to the text and the Corrigendum is appended to this document.]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6" w:name="TAYLOR J."/>
            <w:bookmarkEnd w:id="26"/>
            <w:r>
              <w:rPr>
                <w:rFonts w:ascii="arial" w:eastAsia="arial" w:hAnsi="arial" w:cs="arial"/>
                <w:b/>
                <w:color w:val="000000"/>
                <w:sz w:val="30"/>
                <w:lang w:val="en-US" w:eastAsia="en-US" w:bidi="ar-SA"/>
              </w:rPr>
              <w:t>TAYLOR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a former client of the defendant solicitor, sues for damages arising out of the defendant's alleged assault of him on March 4, 2000. The plaintiff's cause of action is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How that might be, as I will discuss further in these reasons, is not entirely clear to me. That absence of clarity is rendered redundant, however, by the concession of counsel for the defendant that I should determine this matter as if the plaintiff had also pled assault and battery. Accordingly, I shall consider this matter on the basis that such an amendment to the pleadings had been made.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By an earlier order of this court, the issues of liability and quantum have been severed. These reasons concern themselves only with the issue of 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who is 58 years of age, is a forestry worker who has spent most of the past four decades working as a mechanic or equipment operator. Since 1995, when he accepted a retirement package from his long-term employer, he has worked for a helicopter-logging firm on Vancouver Island. Shortly after March 14, 2000, he ceased this work, allegedly because of injuries he sustained on March 14, 2000.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testified that it had been his intention to work until he was 65 years of 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was married in 1961, but separated from his wife in early 2000. The reasons for the separation are not relevant to these proceedings, however, the evidence before me makes it clear that the plaintiff had a hard time accepting the separation itself, as well as the financial consequences of the separation.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Throughout his working life, the plaintiff was an industrious and hard-working person. He testified that in the post-1995 work period, he worked for long periods of time. He recalled at one point being in camp for 52 days straight.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After being served with the divorce papers and never before having had occasion to engage a lawyer, he sought out and retained the defendant to represent him. He testified at trial that he was referred to the defendant by another lawyer's office, but at his examination for discovery he said that the defendant's office was the first office he walked by.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is 6' 1" tall and, at the time of March 14, 2000, weighed 245 pounds and was in generally good health.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 has been a lawyer for slightly over four decades. He was engaged in a general practice working both as a solicitor and barrister. A portion of this practice was in family law.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is 5' 11", and on March 14, 2000, weighed 165 pounds. He suffers from arthritis and has done so for many years. His arthritis is located in his knee and ankle and more recently in his hands and neck. His arthritis affects his grip and he has at times difficulty picking up papers and turning pages.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March 24, 1999, the plaintiff retained the defendant to act for him in divorce proceedings. The plaintiff has no understanding as to why his wife of 38 years left him. He testified that he "is still trying to figure out why she left." He did not want a separation and, I conclude, did not want to face the reality of the consequences of such a separation.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his meetings with the defendant, the plaintiff repeatedly advanced the concept of mediation and was frustrated by the defendant's apparent inability to persuade his wife's counsel to engage in that process.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complains that the defendant would send him letters and that he remonstrated with him about such letters, which he called "one-line $75 letters." His complaint was that he would only see these letters when he came out of camp.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defendant's view with respect to his correspondence with the plaintiff was that it was a way of keeping him informed as to what was transpiring with respect to his matrimonial affairs.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testified that he was charged once for a three-hour phone call to his camp supervisor and when he complained to the defendant that he had to "put the money back in" the defendant replied "No God damned 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An examination of the two accounts rendered by the defendant to the plaintiff, however, show that at no time did the defendant charge any phone calls of such a length to the plaintiff. That being so, there would be no basis for the comment allegedly made by the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plaintiff's view of the relationship was that he was a busy man and on the occasions that he would come out of camp for a day or two, before returning he should be able to see the defendant on demand.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It is clear that the plaintiff felt uncomfortable in this matrimonial litigation and began to view the defendant as not supportive of his position. In his evidence he described how the defendant remonstrated with him for being late for examinations for discovery, and that the defendant treated him like "a rag" at the examination for discovery. He testified that he said to the defendant, "Whose side are you 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His view of the defendant was that he was not doing his job, and that the work he did was poor considering what he was paying him. He reiterated throughout his evidence that the defendant continued, against the plaintiff's protests, to send what he called "$75 to $100" letters that said nothing.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 review of the two accounts, dated August 12, 1999, and April 26, 2000, show that the defendant charged the plaintiff at the rate of $150, and that there were no letters billed to the plaintiff in the range of $75 to $100.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essence of the plaintiff's evidence with respect to fees charged by the defendant was that he felt "ripped off by the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Despite his complaints that he did not feel that the defendant kept him informed, he conceded that when he would get home from camp he would often not even read his mail. As he testified, "I didn't have time to read or open them before I went to see the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 said that from the first meeting on March 24, 1999, it was evident to him that the plaintiff was reluctant to pay anything to his wife and did not seem receptive to the defendant's suggestions that he deal with some immediate issues such as spousal support and the "triggering event." The defendant said that the plaintiff seemed reluctant to tell him much of anything and he did not like the concept of attempting to settle matters. Notes of the defendant taken in a meeting of April 20, 1999, record: "[h]e expects to be laid off soon. He is low in seniority."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defendant agreed that the two of them discussed the concept of mediation but that he tried to make it clear to the plaintiff that his wife would have to agree to that process and that he had been unsuccessful in persuading counsel for the plaintiff's wife to agree to mediation.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 also agreed that the plaintiff complained to him about sending letters, but that he told the plaintiff that if he didn't, then he might be accused of not keeping him informed of events.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relationship between client and lawyer was not improved over a misunderstanding of an amount paid by way of a retainer. The records of the defendant recorded that this was half of the amount actually paid, however, the defendant corrected this at a subsequent meeting.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March 14, 2000, after returning from camp at 2:00 a.m., the plaintiff appeared at the defendant's office without an appointment. Within about ten minutes of his arrival, the defendant came to the reception area and invited the plaintiff to his office. The plaintiff said the defendant complained to him about not having been at a hearing in Nanaimo, but the plaintiff also testified that he told the defendant that he had left a message on the defendant's answering machine that he had had to go out of town on an emergency job.</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defendant's office has never had an answering machine.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meeting did not go well. The plaintiff described the defendant as being hyper, speaking in a high-pitched voice. The defendant denies this. He said that he was calm.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said at one point he reached for his file with his right hand. He recalls there being a small bear-shaped, soapstone bowl with paper clips on the desk.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He said that as he reached for the file, the defendant grabbed his wrist and twisted it to the right. At that point, he said, he stood up. He said that he was holding the file with his thumb on the bottom and fingers on the top.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said that the defendant then jumped up out of his chair, grabbed the file with his left hand while the plaintiff attempted to relieve the pressure on his right arm by moving to the right. He said the defendant then hit him in the bicep muscle with what he assumed was an object, perhaps the soapstone bear or a stapler.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testified that after the defendant hit him, he put something in a drawer, slammed the drawer with his knee and then shoved the desk toward the plaintiff, at the same time still holding onto the plaintiff's arm. He said that the defendant then moved around the desk and continued to hold his arm in a twisting motion. He said the defendant then jerked the arm toward him and launched at his shoulder with his head and "coco bonked" him two or three times.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then testified that the defendant "judo-chopped him" and the file and its contents fell to the floor. The plaintiff says this encounter lasted between 20 and 25 seconds, and then he heard someone whom he later identified as Mr. Mosley yell, "let him go." At that point the defendant let go of the plaintiff's hand and stepped back.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recalled Mr. Mosley saying, "I think you had better leave." The plaintiff testified that he said "call the police."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said that the defendant then offered him a ride to the hospital, to which he responded, "you are the last guy to take me to the hospital." The plaintiff then said he turned to Mr. Mosley and said, "What do think of a guy you pay $150 per hour to and he tries to rip your arm off?"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RCMP subsequently arrived and detained the plaintiff, but released him shortly thereafter after the defendant told the police he did not want charges laid.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defendant testified to a substantially different description of events.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March 14, 2000, he said the plaintiff appeared at his office and remarked in a low voice, "do you feel safe?" He said he ushered the plaintiff in and went to get his file. As he left, he saw the plaintiff pick up a chair and slam it down on the floor. The defendant said he became apprehensive at this behaviour.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defendant returned to his office, placed the file on his desk, sat down, and asked the plaintiff where he had been, whereupon the plaintiff responded, "you ripped me off."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defendant thought that he was referring to the earlier misunderstanding about the amount of the retainer and replied, "don't you read my letters?" referring to the missed examination for discovery.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defendant said the plaintiff then said, "I don't understand all your shit words." The defendant testified that he asked, and then demanded that the plaintiff leave his office. He said he repeated this request.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defendant agrees that he was angry at these comments and that was why he had asked the plaintiff to leave his office. He said he was also frustrated by the plaintiff in part because he was hard to get together to work with and he did not respond to correspondence.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defendant said that his desk was an old wooden one and that it weighed in excess of 100 pounds. Photographs of the office, which the defendant said was the same in March, 2000, show that as one enters the office in front of the desk, there are chairs and that he has to walk around to the right to get behind the desk.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After he had asked the plaintiff to leave, the defendant said the plaintiff remained silent and then reached for the file with both of his hands. As the plaintiff did this, the defendant said that he leaned forward, put an arm on the file and said, "you are not taking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At that point, he said, the plaintiff leapt to his feet and then pushed the desk back, forcing the defendant's chair against the wall and causing his head to snap forward and his glasses to fly off. The defendant said he was pinned to the wall and so he pushed the desk forward, trying to get to his feet out of a concern that he might be struck further by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At that point, he said, the plaintiff had the file in his hands and was looking at it. The defendant said that he took steps forward to get closer into the plaintiff so as to prevent the plaintiff from striking him. He said he then reached for the file, putting his hands near the plaintiff's right hand, and then jerked the file to the right while the plaintiff jerked his arm to the left.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defendant said that at no time did he strike the plaintiff nor did he have any soap-stone carving object on his desk. He said that he had a small ceramic bowl in which he kept pens.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At that point, he said, the file fell apart and Mr. Mosley, his partner, appeared in the room. The defendant said that he heard Mr. Mosley tell the plaintiff to leave and then heard him call a secretary to call the police. He agreed that he said to the plaintiff that he was sorry and that if he was hurt that he would drive him to the hospital. He said that he said this because the plaintiff was favouring his shoulder, as opposed to in response to anything the plaintiff may have said.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defendant was pressed in cross examination as to how he may have received a small cut on his nose. The defendant did not think that if their heads did collide, it was with enough force to cause a cut, but conceded that at the examination for discovery he said that that was a possible cause.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He testified that he felt it more likely the small cut occurred when his hands went up to his face and his glasses fell off.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Mosley, the defendant's partner since 1977, also testified. His evidence was that he was alone in his office on March 14, 2000, and that his office is next to the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He said he heard the defendant's voice from his office, saying several times, "get out." As he was considering what to do, he heard what he described as a bang.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Mosley then left his office and attempted to enter the defendant's. The door was closed and locked. Mr. Mosley testified that this was not uncommon as the office doors had buttons that occasionally would not reset, causing the doors to lock when shut. He said he banged on the door and, getting no response, went to get his key so that he could enter the office.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He opened the door and as he entered he said he saw the plaintiff standing at the corner of the desk with a file in his right hand. The plaintiff then began to walk toward the door and portions of the file spilled to the floor.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He said he spoke to the plaintiff but did not recall the words he used, other than that they were to the effect that the plaintiff should put the file down and leave.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He said the plaintiff said that he would not and Mr. Mosley said that he would then call the police, to which the plaintiff responded, "go ahead."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Mosley then left to have the police called but a secretary had already done that. He returned to the office momentarily, telling both the plaintiff and the defendant to sit down. Mr. Mosley said that at no time did he see the defendant touch the plaintiff and at no time did he tell the defendant to "let him go."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He says he did not notice if the position of the desk was other than normal, but said that his focus was not on the desk but rather the file not leaving the office.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He said that when he returned to the office, the plaintiff said his shoulder was sore. The defendant said that he was sorry if it was sore, but he had done nothing.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cross examination Mr. Mosley said that the bang or noise he heard was consistent with the desk being moved or hitting something. He said it was not consistent with a desk drawer being shut forcefully or a chair being slammed onto the floor.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Thompson, a secretary in the defendant's law office but not the defendant's secretary, testified that she heard a noise that she thought at first might have been workers repairing an air-conditioning system on the roof. She then heard the defendant yell, "get out of 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Mindful of an instance of some years before in which a client shot and killed a lawyer in Nanaimo, she called 911. She then said that she saw Mr. Mosley at the defendant's office door, which seemed locked, and shortly thereafter the police arrived. She observed the plaintiff being ushered out of the building and she then went into the defendant's office. She saw the defendant sitting in a client chair and bleeding from a small scratch on his nose. She observed that his desk was in a skewed position and that this was consistent with what the defendant had told her had happened.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She said the defendant's desk had side drawers but these could not be opened unless the centre pen drawer was pulled back some 4 to 5 inches. She said the law firm had neither an answering machine nor voice mail in 1999 or 2000. She said that the sound she heard and had first thought to be associated with the roof was consistent with the desk being moved. She recalled the police officers being told by the defendant to "let it pass."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As will be apparent from this review of the evidence, there is a significant dichotomy between the descriptions of what occurred, as testified to by the plaintiff and the defendant. It is, accordingly, necessary to examine other evidence in this trial to see where there is support or detraction from either version.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As a part of that process, the assessment of credibility of each of the plaintiff and defendant is necessary. I have already reviewed the evidence of Mr. Mosley and Ms. Thompson. Dr. Cameron, an orthopaedic surgeon whose medical report was filed, testified by way of a video deposition. Although the issues of liability and quantum are severed, his evidence bears on the question of 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Cameron saw the plaintiff in October, 2000, on a referral from his general practitioner, Dr. Fraser. Dr. Cameron records in his report that the plaintiff told him that he had been assaulted on April 14, [sic].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He records the history of the alleged assault being that the plaintiff's "right wrist was grabbed and that he was punched in the right anterior arm area."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Cameron said there was a "definite reproducible shoulder pain" but he had the impression there was an exaggeration of symptoms by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his written opinion, Dr. Cameron appears to accept the plaintiff's history of the assault and accepts what he saw as a consequence of the described assault.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Cameron notes at page 5 that the assault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 .consisted essentially of his right arm being grabbed and the arm being twisted and the interior arm being punched. Such a blunt blow would not in and of itself cause inflammation of the rotator cuff, but any involuntary jerking response in response to the impact could have occurred and that could result in such an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his deposition, Dr. Cameron heard, for the first time, the defendant's version of what occurred. Dr. Cameron at page 10, line 41 and following said that a straining injury results in damage to the tendon, and damage to the tendon results in pain with movement of the shoulder. That, he opined, is what created the tenderness involved the plaintiff's entire shoulder girdle.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At page 8, line 17 of the transcript, Dr. Cameron opined that the more likely mechanism of the plaintiff's injury was the motion of forcibly driving an object such as the defendant's desk against an immoveable object and having it come to a sudden stop. He agreed at page 8, line 34 that a so-described tug-of-war with the file, with pulling on both sides in an effort to grab hold of the file was less likely a cause of such injury. He discounted any punch causing the plaintiff's complaints.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 both in his evidence and in his examination for discovery, denied that he had any recent injury to his arm, only to concede in cross examination that in October, 1999, he suffered an injury to his right elbow which occurred when he lifted a heavy tool box into a float plane. He testified that he made no WCB claim, only to later agree that at his request, his physician completed a W.C.B. claim form that recorded the injury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Lifting a 75-pound tool box out of an aircraft as he set it down, felt something pull in his right elbow, felt immediate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 said he disagreed with what his physician wrote down and commented that "Dr. Fraser does not write down what he thinks."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 notwithstanding this evidence, testified that he went to physiotherapy for a few days and that all was fine after that.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 report was not received from Dr. Fraser, even though the plaintiff testified that he saw him 35 to 40 times following the alleged assault by the defendant. Plaintiff's counsel informed me that whilst a report was requested, one was not received. That may be so, but in light of the plaintiff's comments about his physicians, a subpoena might have been a wise avenue to take.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There is further evidence that touches upon the credibility of the plaintiff. The plaintiff testified that the defendant had charged him for a three-hour phone call and had habitually written him letters for which he was charged $75. In examination Exhibits 5 and 6, the two invoices of the defendant to the plaintiff reveal that there was no three-hour phone call and there are no $75 letters. The only exception with respect to that is a letter which was written on February 28, 2000, for which, in addition to a phone call and file review, the defendant charged the plaintiff for 1.5 hours.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That letter was filed as Exhibit 8 and the defendant testified that the letter was written after a review of the plaintiff's file, and after much thought about his view of the plaintiff's state of denial with respect to the matrimonial affairs.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 referred earlier in these reasons to the state of the pleadings. Although framed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they allege what is actually an assault. Counsel for the plaintiff argued that it was appropriate to plead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there was "a duty of care of a lawyer to protect a client." At one point, he sought to argue the Occupiers Liability Act, although that too was not pled. I simply do not understand, if the plaintiff's evidence is accepted in any measure, how an intentional application of force can convert itself to an act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Quite apart from that, the Occupier's Liability Act has no application to this matter, even with respect to the plaintiff's version of events.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It does not matter whether the defendant intended to hurt the plaintiff by doing what the defendant allegedly did. A simple assault is an act of general, not specific intention. The form of pleading does not change what is alleged.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According to the plaintiff's description, what occurred was not a negligent act but rather a purposeful application of force to the plaintiff's person. That being so, what is being alleged is, in essence, the criminal act of assault. Yet, these are civil proceedings and the civil burden of proof is imposed upon the plaintiff to establish his case on "a balance of probabilities."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As observed by Laskin J., as he then was, in Continental Insurance Company v. Dalton Cartage Co., </w:t>
      </w:r>
      <w:hyperlink r:id="rId68" w:history="1">
        <w:r>
          <w:rPr>
            <w:rFonts w:ascii="arial" w:eastAsia="arial" w:hAnsi="arial" w:cs="arial"/>
            <w:i/>
            <w:color w:val="0077CC"/>
            <w:sz w:val="20"/>
            <w:u w:val="single"/>
            <w:shd w:val="clear" w:color="auto" w:fill="FFFFFF"/>
            <w:lang w:val="en-US" w:eastAsia="en-US" w:bidi="ar-SA"/>
          </w:rPr>
          <w:t>[1982] 1 S.C.R. 164</w:t>
        </w:r>
      </w:hyperlink>
      <w:r>
        <w:rPr>
          <w:rFonts w:ascii="arial" w:eastAsia="arial" w:hAnsi="arial" w:cs="arial"/>
          <w:color w:val="000000"/>
          <w:sz w:val="20"/>
          <w:lang w:val="en-US" w:eastAsia="en-US" w:bidi="ar-SA"/>
        </w:rPr>
        <w:t xml:space="preserve"> at p. 4:</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Where there is an allegation of conduct that is morally blameworthy or that could have a criminal or penal aspect and the allegation is made in civil litigation, the relevant burden of proof remains proof on a balance of probabilities. So this Court decided in Hanes v. Wawanesa Mutual Insurance Co., </w:t>
      </w:r>
      <w:hyperlink r:id="rId69" w:history="1">
        <w:r>
          <w:rPr>
            <w:rFonts w:ascii="arial" w:eastAsia="arial" w:hAnsi="arial" w:cs="arial"/>
            <w:i/>
            <w:color w:val="0077CC"/>
            <w:sz w:val="20"/>
            <w:u w:val="single"/>
            <w:shd w:val="clear" w:color="auto" w:fill="FFFFFF"/>
            <w:lang w:val="en-US" w:eastAsia="en-US" w:bidi="ar-SA"/>
          </w:rPr>
          <w:t>[1963] S.C.R. 154</w:t>
        </w:r>
      </w:hyperlink>
      <w:r>
        <w:rPr>
          <w:rFonts w:ascii="arial" w:eastAsia="arial" w:hAnsi="arial" w:cs="arial"/>
          <w:color w:val="000000"/>
          <w:sz w:val="20"/>
          <w:lang w:val="en-US" w:eastAsia="en-US" w:bidi="ar-SA"/>
        </w:rPr>
        <w:t xml:space="preserve">. There Richie J. canvassed the then existing authorities including especially the judgment of Lord Dening in Bater v. Bater, [1950] 2 All E.R. 458 at p. 459; and the judgment of Cartwright J. as he then was in Smith v. Smith and Smedman, </w:t>
      </w:r>
      <w:hyperlink r:id="rId70" w:history="1">
        <w:r>
          <w:rPr>
            <w:rFonts w:ascii="arial" w:eastAsia="arial" w:hAnsi="arial" w:cs="arial"/>
            <w:i/>
            <w:color w:val="0077CC"/>
            <w:sz w:val="20"/>
            <w:u w:val="single"/>
            <w:shd w:val="clear" w:color="auto" w:fill="FFFFFF"/>
            <w:lang w:val="en-US" w:eastAsia="en-US" w:bidi="ar-SA"/>
          </w:rPr>
          <w:t>[1952] 2 S.C.R. 312</w:t>
        </w:r>
      </w:hyperlink>
      <w:r>
        <w:rPr>
          <w:rFonts w:ascii="arial" w:eastAsia="arial" w:hAnsi="arial" w:cs="arial"/>
          <w:color w:val="000000"/>
          <w:sz w:val="20"/>
          <w:lang w:val="en-US" w:eastAsia="en-US" w:bidi="ar-SA"/>
        </w:rPr>
        <w:t xml:space="preserve"> at p. 331 and he concluded as follows (at p. 164):</w:t>
      </w:r>
    </w:p>
    <w:p>
      <w:pPr>
        <w:spacing w:before="120" w:line="260" w:lineRule="atLeast"/>
        <w:ind w:left="1080"/>
        <w:rPr>
          <w:lang w:val="en-US" w:eastAsia="en-US" w:bidi="ar-SA"/>
        </w:rPr>
      </w:pPr>
      <w:r>
        <w:rPr>
          <w:rFonts w:ascii="arial" w:eastAsia="arial" w:hAnsi="arial" w:cs="arial"/>
          <w:color w:val="000000"/>
          <w:sz w:val="20"/>
          <w:lang w:val="en-US" w:eastAsia="en-US" w:bidi="ar-SA"/>
        </w:rPr>
        <w:t>Having regard to the above authorities, I am of the opinion that the learned trial judge applied the wrong standard of proof in the present case. At the question of whether or not the appellant was in a state of intoxication at the time of the accident is a question which ought to have been determined according the "balance of probabilities."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At p. 5, Laskin J. continued his observation as to the standard of proof and the degree of scrutiny which must be applied when the claim is founded upon an act that involves behaviour that is criminal in nature: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There is necessarily a matter of judgment involved in weighing evidence that goes to the burden of proof, and a trial judge is justified in scrutinizing evidence with a greater care if there are serious allegations to be established by the proof that is offered. I put the matter in the words used by Lord Dening in Bater v. Bater, supra, at p. 459 as follows:</w:t>
      </w:r>
    </w:p>
    <w:p>
      <w:pPr>
        <w:spacing w:before="120" w:line="260" w:lineRule="atLeast"/>
        <w:ind w:left="1080"/>
        <w:rPr>
          <w:lang w:val="en-US" w:eastAsia="en-US" w:bidi="ar-SA"/>
        </w:rPr>
      </w:pPr>
      <w:r>
        <w:rPr>
          <w:rFonts w:ascii="arial" w:eastAsia="arial" w:hAnsi="arial" w:cs="arial"/>
          <w:color w:val="000000"/>
          <w:sz w:val="20"/>
          <w:lang w:val="en-US" w:eastAsia="en-US" w:bidi="ar-SA"/>
        </w:rPr>
        <w:t xml:space="preserve">It is true that by our law there is a higher standard of proof in criminal cases than in civil cases, but this is subject to the qualification that there is no absolute standard in either case. In criminal cases the charge must be proved beyond a reasonable doubt, but there may be degrees of proof within that standard. Many great judges have said that, in proportion as the crime is enormous, so ought the proof to be clear. So also in civil cases. The case may be proved by a preponderance of probability, but there may be degrees of probability within that standard. The degree depends upon the subject-matter. A civil court, when considering a charge of fraud, will naturally require a higher degree of probability than that which it would require if considering whether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established. It does not adopt so high a degree as a criminal court, even when it is considering a charge of a criminal nature, but still it does require a degree of probability which commensurate with the occasion.</w:t>
      </w:r>
    </w:p>
    <w:p>
      <w:pPr>
        <w:spacing w:before="120" w:line="260" w:lineRule="atLeast"/>
        <w:ind w:left="720"/>
        <w:rPr>
          <w:lang w:val="en-US" w:eastAsia="en-US" w:bidi="ar-SA"/>
        </w:rPr>
      </w:pPr>
      <w:r>
        <w:rPr>
          <w:rFonts w:ascii="arial" w:eastAsia="arial" w:hAnsi="arial" w:cs="arial"/>
          <w:color w:val="000000"/>
          <w:sz w:val="20"/>
          <w:lang w:val="en-US" w:eastAsia="en-US" w:bidi="ar-SA"/>
        </w:rPr>
        <w:t>I do not regard such an approach as a departure from a standard of proof based on the balance of probabilities nor is supporting a shifting standard. The question in all civil cases is what evidence with what weight that is accorded to it will move the court to conclude that proof on a balance of probabilities has been established.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More recently, the British Columbia Court of Appeal in J.R.I.G. v. Tyhurst, </w:t>
      </w:r>
      <w:hyperlink r:id="rId71" w:history="1">
        <w:r>
          <w:rPr>
            <w:rFonts w:ascii="arial" w:eastAsia="arial" w:hAnsi="arial" w:cs="arial"/>
            <w:i/>
            <w:color w:val="0077CC"/>
            <w:sz w:val="20"/>
            <w:u w:val="single"/>
            <w:shd w:val="clear" w:color="auto" w:fill="FFFFFF"/>
            <w:lang w:val="en-US" w:eastAsia="en-US" w:bidi="ar-SA"/>
          </w:rPr>
          <w:t>2003 BCCA 224</w:t>
        </w:r>
      </w:hyperlink>
      <w:r>
        <w:rPr>
          <w:rFonts w:ascii="arial" w:eastAsia="arial" w:hAnsi="arial" w:cs="arial"/>
          <w:color w:val="000000"/>
          <w:sz w:val="20"/>
          <w:lang w:val="en-US" w:eastAsia="en-US" w:bidi="ar-SA"/>
        </w:rPr>
        <w:t xml:space="preserve">, </w:t>
      </w:r>
      <w:hyperlink r:id="rId71" w:history="1">
        <w:r>
          <w:rPr>
            <w:rFonts w:ascii="arial" w:eastAsia="arial" w:hAnsi="arial" w:cs="arial"/>
            <w:i/>
            <w:color w:val="0077CC"/>
            <w:sz w:val="20"/>
            <w:u w:val="single"/>
            <w:shd w:val="clear" w:color="auto" w:fill="FFFFFF"/>
            <w:lang w:val="en-US" w:eastAsia="en-US" w:bidi="ar-SA"/>
          </w:rPr>
          <w:t>[2003] B.C.J. No. 846</w:t>
        </w:r>
      </w:hyperlink>
      <w:r>
        <w:rPr>
          <w:rFonts w:ascii="arial" w:eastAsia="arial" w:hAnsi="arial" w:cs="arial"/>
          <w:color w:val="000000"/>
          <w:sz w:val="20"/>
          <w:lang w:val="en-US" w:eastAsia="en-US" w:bidi="ar-SA"/>
        </w:rPr>
        <w:t xml:space="preserve"> considered how a court should approach the question of the standard of proof when the cause of action is criminal in nature.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Huddart J.A. noted at para. 6 that the common law recognizes these and other difficulties in cases where morally blameworthy conduct is alleged, and the consequences are grave by demanding an exacting analysis of the evidence and a standard of proof based on a balance of probabilities, as would be commensurate with the occasion. One of the authorities to which Her Ladyship referred was the decision of Continental Insurance Company. v. Dalton Cartage, supra.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conclude, therefore, that when the basis of the plaintiff's claim is essentially one of criminal conduct on the part of the defendant, close scrutiny must be brought to bear with respect to the plaintiff's assertions.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Applying these principles to the plaintiff's assertions against the defendant, can it be said that he has established on a balance of probabilities that he was assaulted by the defendant? As is clear from my review of the evidence, there were no witnesses to this assault. The defendant gives a very different version from that of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have touched upon the independent evidence and I wish now to specifically review that evidence in the context of the law as I have enunciated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evidence of Dr. Cameron does not support the plaintiff's assertion as to how this injury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his deposition transcript at page 8, he said that the more likely cause of injury was the driving of an object like a desk up against an immovable object and having it come to a sudden stop. In his deposition at page 7 he justified this opinion as follows: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512"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All right. Now, would - I gather from your - your report it is not your opinion that the injury that he had to his shoulder - it's your opinion that that could not have been as a result of the grabbing, twisting of the arm, and a punch.</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512"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 don't think that that - those, either of those things would have caused directly an injury to the rotator cuff, no.</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 gather that what your opinion does say is that if, if there was an injury to the rotator cuff from this incident it may have occurred as a result of his involuntarily jerking away from being held, and that would have somehow - may have caused an injury?</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71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These two answers, in my opinion, contradict the plaintiff's version of how he became injured. Furthermore, as seen in his report at page 5, Dr. Cameron's opinion concerning the cause of the plaintiff's injury was formed before he had the defendant's version placed before him.</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Mr. Nadig's description of the assault consisted essentially of his right wrist being grabbed and the arm being twisted, and the anterior arm area being punched. Such a blunt blow would not in and of itself cause inflammation of the rotator cuff, but an involuntary jerking response in response to the impact could have occurred and that could result in such an injury.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In my view, that view is consistent with the defence's version of how this injury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plaintiff asserted that Mr. Mosley told the defendant to "let go of him." Mr. Mosley denies any such statement.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plaintiff says that on earlier occasions he had left messages on the defendant's answering machine. The defendant had no answering machine.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Both Mr. Mosley and Ms. Thompson testified that the sound they heard was consistent with the sound of the desk being moved.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plaintiff denies that the desk was moved other than when the defendant at one point pushed the desk forward, which is entirely consistent with the defendant's version of extricating himself from behind the desk which was pinning him against the wall. The evidence of Ms. Thompson is that the desk was askew with the front right being pushed back. That is consistent with the defendant's version and inconsistent with the plaintiff's version.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find that Mr. Mosley and Ms. Thompson, notwithstanding their long association with the defendant, were credible and reliable witnesses.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Although the plaintiff attended upon his general practitioner shortly after the events at the defendant's office and 35 to 40 times thereafter, there is no evidence from that doctor with respect to the cause of injury or the effect of the earlier injury from lifting the tool box. The plaintiff denied there had been a W.C.B. claim pertaining to this earlier injury prior to March 14, yet, some four months before this incident occurred, Dr. Fraser's report, in which the plaintiff claimed something was pulled in his right elbow, was forwarded to W.C.B.</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plaintiff's answer to this report was he "disagreed with what Dr. Fraser wrote." Dr. Fraser did not testify.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have already referred to the exaggerations of the plaintiff with respect to the three-hour phone call and the $75 to $100 letters.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my view, these exaggerations, while perhaps minor in isolation, when added to the other evidence inconsistent with the plaintiff's version, cause me to have reservations with respect to the credibility of the plaintiff's version of what happened on March 14, and just how his injury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plaintiff, in my view, is not a reliable witness. Quite apart from the direct contradictions of his evidence to which I have referred throughout these reasons, his demeanour as a witness was one of exaggeration, a trait observed by Dr. Cameron.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Without corroboration I am not prepared to accept the plaintiff's assertions of assault. There is no basis to find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contrast, I found the defendant to be not only a credible witness, but one whose evidence finds support in the other evidence to which I have referred, including that of Mr. Mosley, Ms. Thompson and Dr. Cameron. I find no inconsistencies in the evidence that detract from the defendant's version of events.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In the result, I am not satisfied the plaintiff has established liability of the defendant, whether pled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as it should have been more properly pled, in assault and battery.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Accordingly, the plaintiff's claim is dismissed. The defendant is entitled to costs on Scale 3.</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TAYLOR J.</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 * * * *</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CORRIGENDUM</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Released: August 27, 2003</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[1] This is a corrigendum to my Reasons for Judgment August 6, 2003. Errors have been noted on page 19 at paragraph 78 and page 20 at paragraph 79.</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[2] The second sentence of paragraph 78 now reads: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plaintiff testified that the plaintiff had charged him for a three-hour phone call and had habitually written him letters for which he was charged $75.</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[3] That sentence should read: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plaintiff testified that the defendant had charged him for a three-hour phone call and had habitually written him letters for which he was charged $75.</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[4] Paragraph 79 now read: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That letter was filed as Exhibit 8 and the defendant testified that the letter was written after a review of the defendant's file, and after much thought about his view of the plaintiff's state of denial with respect to the matrimonial affairs.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[5] The paragraph should read: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That letter was filed as Exhibit 8 and the defendant testified that the letter was written after a review of the plaintiff's file, and after much thought about his view of the plaintiff's state of denial with respect to the matrimonial affairs.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TAYLOR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8650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2"/>
          <w:headerReference w:type="default" r:id="rId73"/>
          <w:footerReference w:type="even" r:id="rId74"/>
          <w:footerReference w:type="default" r:id="rId75"/>
          <w:headerReference w:type="first" r:id="rId76"/>
          <w:footerReference w:type="first" r:id="rId7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8" w:history="1">
        <w:r>
          <w:rPr>
            <w:rFonts w:ascii="arial" w:eastAsia="arial" w:hAnsi="arial" w:cs="arial"/>
            <w:b/>
            <w:bCs/>
            <w:i/>
            <w:color w:val="0077CC"/>
            <w:kern w:val="32"/>
            <w:sz w:val="28"/>
            <w:szCs w:val="32"/>
            <w:u w:val="single"/>
            <w:shd w:val="clear" w:color="auto" w:fill="FFFFFF"/>
            <w:lang w:val="en-US" w:eastAsia="en-US" w:bidi="ar-SA"/>
          </w:rPr>
          <w:t>Nagra v. Cruz, [2017] B.C.J. No. 404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 Abrioux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20,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January 30,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M132298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404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347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Harjinderpal "Paul" Nagra, Plaintiff, and Edin J. Contarero Cruz, Jonathan R. Liwag and Satver K. Gill,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4"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 w:name="Keywords_3"/>
      <w:bookmarkEnd w:id="27"/>
      <w:r>
        <w:rPr>
          <w:rFonts w:ascii="arial" w:eastAsia="arial" w:hAnsi="arial" w:cs="arial"/>
          <w:b/>
          <w:color w:val="000000"/>
          <w:sz w:val="20"/>
          <w:lang w:val="en-US" w:eastAsia="en-US" w:bidi="ar-SA"/>
        </w:rPr>
        <w:t>Civil litigation — Civil procedure — Pleadings — Amendment of — Statement of defence — Leave to amend — Appeal by plaintiff from Master's order granting defendant Liwag leave to amend s defence to withdraw admission of consent dismissed — Liwag's brother lent Liwag's vehicle to Cruz when Liwag was out of country — Cruz involved in accident with plaintiff and admitted liability — Liwag's insurer issued joint defence admitting Liwag consented to Cruz's driving — Liwag contacted counsel when discovering plaintiff's claim exceeded policy limits — Master was not clearly wrong — There was clearly triable issue pertaining to Liwag's consent — Any potential prejudice to plaintiff could likely be remedied by costs order made.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 w:name="Case Summary_3"/>
            <w:bookmarkEnd w:id="2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Appeal by the plaintiff from a Master's order granting the defendant Liwag leave to amend his defence to withdraw an admission. The plaintiff sued for injuries suffered in a 2011 motor vehicle accident. The defendant Cruz admitted liability. Liwag, the owner of the vehicle driven by Cruz, was out of the country at the time of the accident. Liwag's brother had lent the vehicle to Cruz. The admission that Liwag consented to Cruz's driving was made without there being any direct contact between the insurer or its former counsel with Liwag to confirm he consent issues prior to the joint response admitting consent being filed. Liwag's brother informed Liwag upon his return that the accident had been taken care of. When Liwag was advised that the claim might well exceed his policy limits, he contacted counsel and the insurer. The issue of alleged lack of consent first arose at this time. Nearly three years following service of the notice of civil claim, Liwag's new appointed counsel advised plaintiff's counsel of his instructions to apply to withdraw the admission of consent, and to amend the joint response which had been filed on Liwag's behalf.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 w:name="Holdings of Court_3"/>
            <w:bookmarkEnd w:id="29"/>
            <w:r>
              <w:rPr>
                <w:rFonts w:ascii="arial" w:eastAsia="arial" w:hAnsi="arial" w:cs="arial"/>
                <w:color w:val="000000"/>
                <w:sz w:val="20"/>
                <w:lang w:val="en-US" w:eastAsia="en-US" w:bidi="ar-SA"/>
              </w:rPr>
              <w:t>HELD: Appeal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had not established the Master was clearly wrong. The Master reviewed each of the relevant factors and provided a reasoned basis for her conclusions. She recognized that the admission was deliberate in the sense that it was made by the insurer's former counsel on instructions from the insurer. But the Master also took into account that, viewed from Liwag's perspective, it was inadvertent or a mistake. While prejudice might be presumed by the passage of time, there was no evidence of actual prejudice before the Master. Both Cruz and Liwag had been examined for discovery and there was no evidence that the brother's evidence could not be obtained. The Master was not clearly wrong in concluding that a balancing of potential prejudices favoured Liwag. There was clearly a triable issue pertaining to Liwag's alleged consent and if the admission was not withdrawn, then he was conclusively vicariously liable for Cruz's admitted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might well face personal exposure for an amount well in excess of his $1 million third party policy limits. Any potential prejudice to the plaintiff could likely be remedied by the costs order which was made.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spacing w:before="120" w:line="260" w:lineRule="atLeast"/>
              <w:ind w:left="240"/>
              <w:rPr>
                <w:rFonts w:ascii="arial" w:eastAsia="arial" w:hAnsi="arial" w:cs="arial"/>
                <w:sz w:val="20"/>
                <w:lang w:val="en-US" w:eastAsia="en-US" w:bidi="ar-SA"/>
              </w:rPr>
            </w:pPr>
            <w:r>
              <w:rPr>
                <w:rFonts w:ascii="arial" w:eastAsia="arial" w:hAnsi="arial" w:cs="arial"/>
                <w:b/>
                <w:color w:val="000000"/>
                <w:sz w:val="20"/>
                <w:lang w:val="en-US" w:eastAsia="en-US" w:bidi="ar-SA"/>
              </w:rPr>
              <w:t>Appeal From:</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On appeal from a decision of the Master of the Supreme Court of British Columbia dated December 13, 2016 (</w:t>
            </w:r>
            <w:hyperlink r:id="rId79" w:history="1">
              <w:r>
                <w:rPr>
                  <w:rFonts w:ascii="arial" w:eastAsia="arial" w:hAnsi="arial" w:cs="arial"/>
                  <w:i/>
                  <w:color w:val="0077CC"/>
                  <w:sz w:val="20"/>
                  <w:u w:val="single"/>
                  <w:shd w:val="clear" w:color="auto" w:fill="FFFFFF"/>
                  <w:lang w:val="en-US" w:eastAsia="en-US" w:bidi="ar-SA"/>
                </w:rPr>
                <w:t>2016 BCSC 2469</w:t>
              </w:r>
            </w:hyperlink>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 w:name="Counsel_3"/>
      <w:bookmarkEnd w:id="3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5" style="position:absolute;z-index:2517135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Plaintiff/Applicant: S. Kovacs, G. Mackoff, 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Cruz: P. Bruce, E. Fung, 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Liwag: A. Mersey, Q.C., B. Stewart.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 w:name="Judgment_3"/>
      <w:bookmarkEnd w:id="31"/>
      <w:r>
        <w:pict>
          <v:line id="_x0000_s1046" style="position:absolute;z-index:2517647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II: BACKGROUND</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III: THE TEST TO BE APPLIED</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IV: DISCUSSION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 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2" w:name="P. ABRIOUX J. (orally)"/>
            <w:bookmarkEnd w:id="32"/>
            <w:r>
              <w:rPr>
                <w:rFonts w:ascii="arial" w:eastAsia="arial" w:hAnsi="arial" w:cs="arial"/>
                <w:b/>
                <w:color w:val="000000"/>
                <w:sz w:val="30"/>
                <w:lang w:val="en-US" w:eastAsia="en-US" w:bidi="ar-SA"/>
              </w:rPr>
              <w:t>P. ABRIOUX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84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w:t>
            </w:r>
          </w:p>
        </w:tc>
        <w:tc>
          <w:tcPr>
            <w:tcW w:w="82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INTRODUCTION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 am providing oral reasons for judgment at this time since the trial of this action is scheduled to commence on March 13, 2017. I intend to issue these reasons in writing and when I do there may be some editorial changes, but the substance of the decision shall not be 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proceeding arises from a motor vehicle accident which occurred on June 4, 2011 (the "Accident"). The plaintiff alleges that he sustained serious injuries when he was struck from the rear by a motor vehicle owned by the defendant, Liwag, and operated by the defendant, Cruz. Liwag was out of the country at the time of the Accident and it is alleged that Cruz was operating the vehicle with his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Cruz admits that the Accident was caused solely by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plaintiff, supported by Cruz, appeals from the decision of a Master of the Supreme Court of British Columbia, pronounced December 9, 2016 and which is indexed at </w:t>
      </w:r>
      <w:hyperlink r:id="rId79" w:history="1">
        <w:r>
          <w:rPr>
            <w:rFonts w:ascii="arial" w:eastAsia="arial" w:hAnsi="arial" w:cs="arial"/>
            <w:i/>
            <w:color w:val="0077CC"/>
            <w:sz w:val="20"/>
            <w:u w:val="single"/>
            <w:shd w:val="clear" w:color="auto" w:fill="FFFFFF"/>
            <w:lang w:val="en-US" w:eastAsia="en-US" w:bidi="ar-SA"/>
          </w:rPr>
          <w:t>2016 BCSC 2469</w:t>
        </w:r>
      </w:hyperlink>
      <w:r>
        <w:rPr>
          <w:rFonts w:ascii="arial" w:eastAsia="arial" w:hAnsi="arial" w:cs="arial"/>
          <w:color w:val="000000"/>
          <w:sz w:val="20"/>
          <w:lang w:val="en-US" w:eastAsia="en-US" w:bidi="ar-SA"/>
        </w:rPr>
        <w:t>, granting leave to Liwag to withdraw the admission of consent and to file an amended response to civil claim to reflect his plea of no consent. Liwag's amended response to civil claim withdrawing the admission of consent was filed on December 30,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An issue raised in this application is whether the appropriate standard to apply on appeal from a decision of a Master to allow a party to withdraw an earlier admission is the "clearly wrong" standard or a "rehearing".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For the reasons that follow, I have concluded that the "clearly wrong" standard of review applies in this case, and that the plaintiff has not established the Master was clearly wrong. Accordingly, the appeal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the alternative, should the appropriate procedure on appeal be a rehearing, I would reach the same conclusion as did the Master and the appeal would also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836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819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BACKGROUND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 summary of certain of the salient facts is contained in the Master's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The accident occurred on June 4, 2011 in Surrey, B.C. The plaintiff alleges that he sustained serious injuries. His claim for damages as currently presented exceeds $3 million.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The notice of civil claim was filed April 12, 2013. The plaintiff alleges in the notice of civil claim that Cruz operated the vehicle with the express or implied consent of Liwag.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The plaintiff discontinued the action against another defendant, Satver K. Gill. The response to civil claim was filed August 1, 2013 on behalf of the two remaining defendants. In the response to civil claim, Liwag admits that Cruz had the possession of the vehicle with his consent. As stated earlier, Cruz admits that the accident was caused solely by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Liwag's brother, Ian Liwag, lent Liwag's vehicle to his co-worker Cruz. Liwag also worked at the same workplace as Cruz.</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At the time of the accident, Liwag was in the Philippines. The keys to the vehicle were at the family home, where Liwag lived with his parents and siblings. Liwag says he did not discuss with Ian that either he or Cruz could use his vehicle while he was away.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The initial contact on Liwag's behalf with the Insurance Corporation of British Columbia ("ICBC") after the accident was from Ian. Details of contacts with ICBC are kept in notes called CWMS notes.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The first CWMS note is dated June 4, 2011. It says: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Registered owner's brother Ian Liwag reporting. Ian advised registered owner in Philippines and lent vehicle to Ian and then Ian lent to friend Edin.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"Edin" is the defendant Cruz.</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A further CWMS note of June 6, 2011 says: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Phoned RO's [registered owner's] brother Ian. We discussed claim. He [meaning Ian] advised his brother is out of the country right now, and Ian let his friend Edin borrow the vehicle.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The notes go on to reflect efforts made by ICBC to reach Liwag but with no success. Liwag says letters sent to him did not reach him...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There was contact between the ICBC adjuster and Liwag eventually, but it had nothing to do with exploring the consent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following is either also relevant to the issues on this appeal or warrants some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plaintiff's discontinuance against Gill occurred on August 1, 2012. This was the same day as the </w:t>
      </w:r>
      <w:r>
        <w:rPr>
          <w:rFonts w:ascii="arial" w:eastAsia="arial" w:hAnsi="arial" w:cs="arial"/>
          <w:color w:val="000000"/>
          <w:sz w:val="20"/>
          <w:u w:val="single"/>
          <w:lang w:val="en-US" w:eastAsia="en-US" w:bidi="ar-SA"/>
        </w:rPr>
        <w:t>joint</w:t>
      </w:r>
      <w:r>
        <w:rPr>
          <w:rFonts w:ascii="arial" w:eastAsia="arial" w:hAnsi="arial" w:cs="arial"/>
          <w:color w:val="000000"/>
          <w:sz w:val="20"/>
          <w:lang w:val="en-US" w:eastAsia="en-US" w:bidi="ar-SA"/>
        </w:rPr>
        <w:t xml:space="preserve"> response to civil claim was filed on behalf of the defendants, Cruz and Liwag (the "Joint Response"), by former defence counsel for Liwag and Cruz who had been appointed by ICBC (ICBC's former counsel). In the Joint Response the defendants expressly admit liability by stating that the Accident was caused wholly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Cruz. The Joint Response also provides that at all material times Cruz had possession of the vehicle owned by Liwag, with the latter's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Neither the ICBC adjuster nor ICBC's former counsel had personal contact with Liwag prior to the Joint Response being filed, and so they did not confirm the issue of consent with him before filing the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September 19, 2013 a comprehensive letter was sent from ICBC's former counsel to Liwag, which he admits to receiving. The letter enclosed the notice of civil claim and the filed Joint Response. It also advised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alleges that he was injured as a result of the accident and has experienced financial loss...Your maximum ICBC coverage is $1,000,000. At this stage of the action it is impossible for us to know with certainty whether the total amount of the Plaintiff's claim will or will not exceed the limits of your ICBC coverage. If at any point we become of the opinion that the Plaintiff's claim will likely exceed the limit of your available insurance coverage, we will notify you in writing...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Based on the investigation of the accident to date, it is likely that you will be found at fault for the accident for being involved in a rear end collision of the Plaintiff. We have filed a Response to Civil Claim </w:t>
      </w:r>
      <w:r>
        <w:rPr>
          <w:rFonts w:ascii="arial" w:eastAsia="arial" w:hAnsi="arial" w:cs="arial"/>
          <w:color w:val="000000"/>
          <w:sz w:val="20"/>
          <w:u w:val="single"/>
          <w:lang w:val="en-US" w:eastAsia="en-US" w:bidi="ar-SA"/>
        </w:rPr>
        <w:t>denying</w:t>
      </w:r>
      <w:r>
        <w:rPr>
          <w:rFonts w:ascii="arial" w:eastAsia="arial" w:hAnsi="arial" w:cs="arial"/>
          <w:color w:val="000000"/>
          <w:sz w:val="20"/>
          <w:lang w:val="en-US" w:eastAsia="en-US" w:bidi="ar-SA"/>
        </w:rPr>
        <w:t xml:space="preserve"> admitting that you were to blame for the accident, a copy of which is enclosed...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the litigation process takes time, you may not hear from us for lengthy periods of time, Please do not worry about this, as it is not unusual.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For the next two and a half years, there was no contact between Liwag and ICBC or its former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early February 2016, Liwag received another letter from ICBC's former counsel which advised him that the plaintiff's claim may exceed his policy limits with ICBC. Liwag says he was "extremely surprised and concerned" on receipt of this news.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February 10, 2016, Liwag received another letter from ICBC's former counsel asking him to contact a paralegal to discuss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February 15, 2016, Cruz attended an examination for discovery during which he testified that he had driven the vehicle with Liwag's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February 17, 2016, ICBC's former counsel sent a letter to Liwag advising him of the upcoming trial date being April 4,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February 18, 2016, Liwag contacted ICBC's former counsel and reported for the first time that he did not consent to Cruz driving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ICBC then appointed separate counsel for Cruz and Liwag.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March 4, 2016, nearly three years following service of the notice of civil claim, Liwag's new ICBC appointed counsel advised plaintiff's counsel of his instructions to apply to withdraw the admission of consent, and to amend the Joint Response which had been filed on Liwag's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April 2016 trial date was adjourned by consent in order to address Liwag's anticipated application to withdraw the admission. It took several months for the application to be heard, but the parties agree that any issues relating to alleged delay are to be considered as of February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 notice of trial was served on May 24, 2016, resetting the trial for March 13,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October 7, 2016, Liwag attended an examination for discovery. He denied Cruz had his consent to drive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Plaintiff's counsel estimates her client's damages to be in the range of $3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his detailed affidavit, sworn October 28, 2016, in support of the application to withdraw the admission of consent, Liwag states,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that he is originally from the Philippines and he attended high school, graduating there in 2001. In 2007, he moved to Canada with his family and, since August 2007, he has worked as a production worker at the CSL Plastic factory in Langley,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At the time of the Accident he resided with his parents and four brothers at 14625-80A Avenue, in the City of Surrey,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 was the registered owner of a dodge vehicle, which was insured through ICBC and which was involved in the Accident (the "Dodge").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keys to the Dodge were kept in the living room of the family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Each member of the household (except the youngest brother, John-Paul, who was not yet old enough to drive) had his/her own vehicle in or around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His brother, Ian Liwag ("Ian"), and Cruz worked at the same CSL Plastic factory as Liwag. Liwag generally worked the day-shift, while Ian and Cruz worked on the night-shift.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Cruz did not live at the family residence and had his own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May 20, 2011, Liwag travelled to the Philippines for a month-long vacation. He returned to Canada on June 19,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At no time before he left for this vacation did he discuss with Ian or Cruz that either of them could use the Dodge while he was abroad.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Cruz was closer to Ian because they worked the night-shift together. Liwag knew that Cruz had his own vehicle and assumed that he must have had a driver's licence, although he never discussed this with him as he had no reason to do so. Liwag had never driven with Cruz in his own vehicle or in any vehicle operated by him. Consequently, he had no idea of the manner in which Cruz drove or what his driving skills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As well, Cruz had never borrowed or asked to borrow the Dodge from Liwag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the circumstances, according to Liwag, he had absolutely no expectation or willingness that Ian or Cruz would use the Dodge during his absence. While the keys to the Dodge remained at the house, he did not give up possession of the Dodge to Ian or Cruz. He simply left the keys at home because he obviously did not require them on his vacation.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Neither Ian nor Cruz called to advise Liwag that the Accident had occurred. He did not find out about the Accident until after he had returned from vacation on June 19, 2011. Shortly after that time, Ian showed him a picture of the Dodge on his phone and told him that the vehicle's hood had been replaced due to damage caused in the Accident. Ian advised him that Cruz had been driving at the time and informed him that the Accident had been minor and that there had been no significant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Ian advised him that Cruz had already paid for the repairs to the Dodge himself. When Liwag asked Ian how it came about that Cruz had been driving the Dodge, Ian advised that Cruz had required use of a vehicle so Ian had let him use the Dodge. Cruz wanted to drive a vehicle that had a manual transmission, such as the Dodge. Ian said that this was why he did not lend Cruz his own car, which had an automatic transmission.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Liwag believed that the incident had been taken care of, and he believed he did not need to concern himself with the matter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During or about late September 2013, Liwag received a letter from ICBC's former counsel to which I have referred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He immediately contacted Cruz to ask him what this letter was about. Cruz advised at the time that the case was closed and the September 2013 letter could therefore be ignored.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At the time, Liwag had no idea that, as the registered owner of the Dodge, he might be vicariously liable for any damages arising from the accident. He was an immigrant to Canada with a limited education. He had been overseas at the time of the Accident and he had not been involved in the Accident at all. He therefore accepted Cruz's advice that the claim had been taken care of and thus followed his suggestion that he should ignore the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From Liwag's perspective, nothing then transpired on this matter until February 2016, almost two and a half years later, when he received a further letter from ICBC's former counsel. At that time, he immediately telephoned counsel to discuss the case and was advised of the mediation and trial, then set for April 4, 2016. This was the first conversation Liwag had ever had with somebody at ICBC's former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He then followed up with a call to ICBC and explained that he had never consented to anyone else driving the Dodge and was out of the country when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According to Liwag, he is concerned that if the admission is not withdrawn, he will be held liable to the plaintiff for any injuries he claims to have sustained in an Accident that Liwag was not involved in. While Liwag had insurance with ICBC, the plaintiff has issued a demand for damages that exceeds the limits of the third party insurance coverage, meaning that Liwag could be personally liable for a portion of his damages. All of this occurred in circumstances where an admission was made on his behalf that should never have been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III:</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TEST TO BE APPLIED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accepted leading authority on the question of the applicable standard of review on appeal from a decision of a Master is </w:t>
      </w:r>
      <w:r>
        <w:rPr>
          <w:rFonts w:ascii="arial" w:eastAsia="arial" w:hAnsi="arial" w:cs="arial"/>
          <w:i/>
          <w:color w:val="000000"/>
          <w:sz w:val="20"/>
          <w:lang w:val="en-US" w:eastAsia="en-US" w:bidi="ar-SA"/>
        </w:rPr>
        <w:t>Abermin Corp v. Granges Exploration Ltd.</w:t>
      </w:r>
      <w:r>
        <w:rPr>
          <w:rFonts w:ascii="arial" w:eastAsia="arial" w:hAnsi="arial" w:cs="arial"/>
          <w:color w:val="000000"/>
          <w:sz w:val="20"/>
          <w:lang w:val="en-US" w:eastAsia="en-US" w:bidi="ar-SA"/>
        </w:rPr>
        <w:t xml:space="preserve">, </w:t>
      </w:r>
      <w:hyperlink r:id="rId80" w:history="1">
        <w:r>
          <w:rPr>
            <w:rFonts w:ascii="arial" w:eastAsia="arial" w:hAnsi="arial" w:cs="arial"/>
            <w:i/>
            <w:color w:val="0077CC"/>
            <w:sz w:val="20"/>
            <w:u w:val="single"/>
            <w:shd w:val="clear" w:color="auto" w:fill="FFFFFF"/>
            <w:lang w:val="en-US" w:eastAsia="en-US" w:bidi="ar-SA"/>
          </w:rPr>
          <w:t>(1990) 45 BCLR (2d) 188</w:t>
        </w:r>
      </w:hyperlink>
      <w:r>
        <w:rPr>
          <w:rFonts w:ascii="arial" w:eastAsia="arial" w:hAnsi="arial" w:cs="arial"/>
          <w:color w:val="000000"/>
          <w:sz w:val="20"/>
          <w:lang w:val="en-US" w:eastAsia="en-US" w:bidi="ar-SA"/>
        </w:rPr>
        <w:t xml:space="preserve">; </w:t>
      </w:r>
      <w:hyperlink r:id="rId80" w:history="1">
        <w:r>
          <w:rPr>
            <w:rFonts w:ascii="arial" w:eastAsia="arial" w:hAnsi="arial" w:cs="arial"/>
            <w:i/>
            <w:color w:val="0077CC"/>
            <w:sz w:val="20"/>
            <w:u w:val="single"/>
            <w:shd w:val="clear" w:color="auto" w:fill="FFFFFF"/>
            <w:lang w:val="en-US" w:eastAsia="en-US" w:bidi="ar-SA"/>
          </w:rPr>
          <w:t>1990 CanLII 1352</w:t>
        </w:r>
      </w:hyperlink>
      <w:r>
        <w:rPr>
          <w:rFonts w:ascii="arial" w:eastAsia="arial" w:hAnsi="arial" w:cs="arial"/>
          <w:color w:val="000000"/>
          <w:sz w:val="20"/>
          <w:lang w:val="en-US" w:eastAsia="en-US" w:bidi="ar-SA"/>
        </w:rPr>
        <w:t xml:space="preserve"> (BCSC) at page 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appeal from a Master's order in a purely interlocutory matter should not be entertained unless the order was clearly wrong. However, where the ruling of the Master raises questions which are vital to the final issue in the case, or results in one of those final orders which a Master is permitted to make, a rehearing is the appropriate form of appeal. Unless an order for the production of fresh evidence is made, the rehearing will proceed on the basis of the material which was before the Master. In those latter situations, even where the exercise of discretion is involved, the judge appealed to may quite properly substitute his own view for that of the Master.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As Justice Cohen noted in </w:t>
      </w:r>
      <w:r>
        <w:rPr>
          <w:rFonts w:ascii="arial" w:eastAsia="arial" w:hAnsi="arial" w:cs="arial"/>
          <w:i/>
          <w:color w:val="000000"/>
          <w:sz w:val="20"/>
          <w:lang w:val="en-US" w:eastAsia="en-US" w:bidi="ar-SA"/>
        </w:rPr>
        <w:t>Chiu v. Yee</w:t>
      </w:r>
      <w:r>
        <w:rPr>
          <w:rFonts w:ascii="arial" w:eastAsia="arial" w:hAnsi="arial" w:cs="arial"/>
          <w:color w:val="000000"/>
          <w:sz w:val="20"/>
          <w:lang w:val="en-US" w:eastAsia="en-US" w:bidi="ar-SA"/>
        </w:rPr>
        <w:t xml:space="preserve">, </w:t>
      </w:r>
      <w:hyperlink r:id="rId81" w:history="1">
        <w:r>
          <w:rPr>
            <w:rFonts w:ascii="arial" w:eastAsia="arial" w:hAnsi="arial" w:cs="arial"/>
            <w:i/>
            <w:color w:val="0077CC"/>
            <w:sz w:val="20"/>
            <w:u w:val="single"/>
            <w:shd w:val="clear" w:color="auto" w:fill="FFFFFF"/>
            <w:lang w:val="en-US" w:eastAsia="en-US" w:bidi="ar-SA"/>
          </w:rPr>
          <w:t>2014 BCSC 742</w:t>
        </w:r>
      </w:hyperlink>
      <w:r>
        <w:rPr>
          <w:rFonts w:ascii="arial" w:eastAsia="arial" w:hAnsi="arial" w:cs="arial"/>
          <w:color w:val="000000"/>
          <w:sz w:val="20"/>
          <w:lang w:val="en-US" w:eastAsia="en-US" w:bidi="ar-SA"/>
        </w:rPr>
        <w:t xml:space="preserve">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"clearly wrong" test limits appellate intervention to instances where the Master was wrong in principle or wrong in her findings of fact: </w:t>
      </w:r>
      <w:r>
        <w:rPr>
          <w:rFonts w:ascii="arial" w:eastAsia="arial" w:hAnsi="arial" w:cs="arial"/>
          <w:i/>
          <w:color w:val="000000"/>
          <w:sz w:val="20"/>
          <w:lang w:val="en-US" w:eastAsia="en-US" w:bidi="ar-SA"/>
        </w:rPr>
        <w:t>Stephen v. McGillivray</w:t>
      </w:r>
      <w:r>
        <w:rPr>
          <w:rFonts w:ascii="arial" w:eastAsia="arial" w:hAnsi="arial" w:cs="arial"/>
          <w:color w:val="000000"/>
          <w:sz w:val="20"/>
          <w:lang w:val="en-US" w:eastAsia="en-US" w:bidi="ar-SA"/>
        </w:rPr>
        <w:t xml:space="preserve">, </w:t>
      </w:r>
      <w:hyperlink r:id="rId82" w:history="1">
        <w:r>
          <w:rPr>
            <w:rFonts w:ascii="arial" w:eastAsia="arial" w:hAnsi="arial" w:cs="arial"/>
            <w:i/>
            <w:color w:val="0077CC"/>
            <w:sz w:val="20"/>
            <w:u w:val="single"/>
            <w:shd w:val="clear" w:color="auto" w:fill="FFFFFF"/>
            <w:lang w:val="en-US" w:eastAsia="en-US" w:bidi="ar-SA"/>
          </w:rPr>
          <w:t>2008 BCCA 472</w:t>
        </w:r>
      </w:hyperlink>
      <w:r>
        <w:rPr>
          <w:rFonts w:ascii="arial" w:eastAsia="arial" w:hAnsi="arial" w:cs="arial"/>
          <w:color w:val="000000"/>
          <w:sz w:val="20"/>
          <w:lang w:val="en-US" w:eastAsia="en-US" w:bidi="ar-SA"/>
        </w:rPr>
        <w:t xml:space="preserve">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Relying in part on </w:t>
      </w:r>
      <w:r>
        <w:rPr>
          <w:rFonts w:ascii="arial" w:eastAsia="arial" w:hAnsi="arial" w:cs="arial"/>
          <w:i/>
          <w:color w:val="000000"/>
          <w:sz w:val="20"/>
          <w:lang w:val="en-US" w:eastAsia="en-US" w:bidi="ar-SA"/>
        </w:rPr>
        <w:t>Nesbitt v. Miramar Mining Corp.</w:t>
      </w:r>
      <w:r>
        <w:rPr>
          <w:rFonts w:ascii="arial" w:eastAsia="arial" w:hAnsi="arial" w:cs="arial"/>
          <w:color w:val="000000"/>
          <w:sz w:val="20"/>
          <w:lang w:val="en-US" w:eastAsia="en-US" w:bidi="ar-SA"/>
        </w:rPr>
        <w:t xml:space="preserve">, </w:t>
      </w:r>
      <w:hyperlink r:id="rId83" w:history="1">
        <w:r>
          <w:rPr>
            <w:rFonts w:ascii="arial" w:eastAsia="arial" w:hAnsi="arial" w:cs="arial"/>
            <w:i/>
            <w:color w:val="0077CC"/>
            <w:sz w:val="20"/>
            <w:u w:val="single"/>
            <w:shd w:val="clear" w:color="auto" w:fill="FFFFFF"/>
            <w:lang w:val="en-US" w:eastAsia="en-US" w:bidi="ar-SA"/>
          </w:rPr>
          <w:t>2000 BCSC 187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Nesbitt</w:t>
      </w:r>
      <w:r>
        <w:rPr>
          <w:rFonts w:ascii="arial" w:eastAsia="arial" w:hAnsi="arial" w:cs="arial"/>
          <w:color w:val="000000"/>
          <w:sz w:val="20"/>
          <w:lang w:val="en-US" w:eastAsia="en-US" w:bidi="ar-SA"/>
        </w:rPr>
        <w:t>), the plaintiff's position is that the "clearly wrong" test is appropriate only where a Master has exercised discretion on an interlocutory ruling, such as a change of venue, a jury notice, or a routine amendment to a pleading. Withdrawal of a long-standing admission made in a pleading, particularly an admission conceding the defendant registered owner's vicarious liability such that his policy of liability insurance is accessible to the plaintiff, is not a "routine" pleading amendment. It is an admission that goes to the heart of Liwag's liability. Accordingly, it is irrelevant whether that liability is direct or vicarious; the issue of Liwag's liability is a matter vital to the final determination of this case at trial. Accordingly, the plaintiff asserts there should be a rehearing on this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Liwag's position is that the decision of the Master was purely interlocutory. The granting of leave to withdraw Liwag's admission is not a final determination of Liwag's liability, and in no way limits the court's discretion in determining any issue regarding his liability at trial. The issue of consent can and should be considered on its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Nesbitt</w:t>
      </w:r>
      <w:r>
        <w:rPr>
          <w:rFonts w:ascii="arial" w:eastAsia="arial" w:hAnsi="arial" w:cs="arial"/>
          <w:color w:val="000000"/>
          <w:sz w:val="20"/>
          <w:lang w:val="en-US" w:eastAsia="en-US" w:bidi="ar-SA"/>
        </w:rPr>
        <w:t xml:space="preserve">, the defendant made a judicial admission in its pleadings admitting it had exercised an option to issue shares at a later date. The defendant later took the position that this was not true. At that time the defendant only advised the plaintiff that they may apply for leave to amend pleadings to withdraw the admission. A further four years passed and less than a month before trial, the defendant filed a motion for leave to amend its pleading. That motion was granted by a Master who found there was no prejudice to the plaintiff and permitted the withdrawal in the interests of justice, to allow the trial judge "to get to the bottom of the transaction between the parties": </w:t>
      </w:r>
      <w:r>
        <w:rPr>
          <w:rFonts w:ascii="arial" w:eastAsia="arial" w:hAnsi="arial" w:cs="arial"/>
          <w:i/>
          <w:color w:val="000000"/>
          <w:sz w:val="20"/>
          <w:lang w:val="en-US" w:eastAsia="en-US" w:bidi="ar-SA"/>
        </w:rPr>
        <w:t>Nesbitt</w:t>
      </w:r>
      <w:r>
        <w:rPr>
          <w:rFonts w:ascii="arial" w:eastAsia="arial" w:hAnsi="arial" w:cs="arial"/>
          <w:color w:val="000000"/>
          <w:sz w:val="20"/>
          <w:lang w:val="en-US" w:eastAsia="en-US" w:bidi="ar-SA"/>
        </w:rPr>
        <w:t xml:space="preserve"> at para.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his consideration of the appeal, Justice Drossos addressed the appropriate standard of review of the Master's decision this way at para 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judicial admission in the case at bar is significant in that it is essentially an admission of liability by the defendant... Without this admission, the trial would be of a substantially different nature: the primary issue would be different and the duration of the trial prolonged. A finding on the issue in the defendant's favour would be determinative of the action in its entirety. Therefore, this matter is vital to the final issue in the case, and can be reviewed by a judge of this court without the necessity of the Master's decision being clearly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On reviewing the application on its merits, that is a rehearing, Justice Drossos then determined the Master was in error in concluding the plaintiff had not suffered prejudice because of the defendant's delay in pursuing the withdrawal. Justice Drossos found the plaintiff had been "lulled and, as a result, suffered prejudice": </w:t>
      </w:r>
      <w:r>
        <w:rPr>
          <w:rFonts w:ascii="arial" w:eastAsia="arial" w:hAnsi="arial" w:cs="arial"/>
          <w:i/>
          <w:color w:val="000000"/>
          <w:sz w:val="20"/>
          <w:lang w:val="en-US" w:eastAsia="en-US" w:bidi="ar-SA"/>
        </w:rPr>
        <w:t>Nesbitt</w:t>
      </w:r>
      <w:r>
        <w:rPr>
          <w:rFonts w:ascii="arial" w:eastAsia="arial" w:hAnsi="arial" w:cs="arial"/>
          <w:color w:val="000000"/>
          <w:sz w:val="20"/>
          <w:lang w:val="en-US" w:eastAsia="en-US" w:bidi="ar-SA"/>
        </w:rPr>
        <w:t xml:space="preserve"> at para. 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 agree with Liwag that the fact there was only one defendant in </w:t>
      </w:r>
      <w:r>
        <w:rPr>
          <w:rFonts w:ascii="arial" w:eastAsia="arial" w:hAnsi="arial" w:cs="arial"/>
          <w:i/>
          <w:color w:val="000000"/>
          <w:sz w:val="20"/>
          <w:lang w:val="en-US" w:eastAsia="en-US" w:bidi="ar-SA"/>
        </w:rPr>
        <w:t>Nesbitt</w:t>
      </w:r>
      <w:r>
        <w:rPr>
          <w:rFonts w:ascii="arial" w:eastAsia="arial" w:hAnsi="arial" w:cs="arial"/>
          <w:color w:val="000000"/>
          <w:sz w:val="20"/>
          <w:lang w:val="en-US" w:eastAsia="en-US" w:bidi="ar-SA"/>
        </w:rPr>
        <w:t xml:space="preserve"> is a significant distinguishing factor from the circumstances of this case. That appears to be the basis for the court's conclusion in </w:t>
      </w:r>
      <w:r>
        <w:rPr>
          <w:rFonts w:ascii="arial" w:eastAsia="arial" w:hAnsi="arial" w:cs="arial"/>
          <w:i/>
          <w:color w:val="000000"/>
          <w:sz w:val="20"/>
          <w:lang w:val="en-US" w:eastAsia="en-US" w:bidi="ar-SA"/>
        </w:rPr>
        <w:t>Nesbitt</w:t>
      </w:r>
      <w:r>
        <w:rPr>
          <w:rFonts w:ascii="arial" w:eastAsia="arial" w:hAnsi="arial" w:cs="arial"/>
          <w:color w:val="000000"/>
          <w:sz w:val="20"/>
          <w:lang w:val="en-US" w:eastAsia="en-US" w:bidi="ar-SA"/>
        </w:rPr>
        <w:t xml:space="preserve"> that the matter was vital to the final issue and could be reviewed by a judge of this court without the necessity of the Master's decision being clearly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number of defendants involved is relevant both to the standard to be applied on appeal and to the ultimate disposition of this application. Here the circumstances involve seeking leave to withdraw the admission of consent of the registered owner of the vehicle that was involved in the Accident. In the event that admission is withdrawn, the plaintiff still has his claim against Cruz, the driver of the car, who has admitted liability and can call evidence in an attempt to prove Liwag's consent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my view the order permitting the withdrawal of the admission of consent is purely interlocutory in nature and the "clearly wrong" test should be applied. The withdrawal of the admission results in the plaintiff being required to canvass evidence on the consent issue and to prove Liwag's vicarious liability at trial. The Master's decision does not limit a judge's ability in determining or disposing of this issue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My conclusion would have been different had the application been denied with Liwag's admission of consent remaining. In light of Cruz's admission of liability, this would have resulted in a final determination against Liwag rendering him vicariously liable for Cruz's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those circumstances the order would have been vital to the outcome in so far as Liwag's liability was concerned and the appeal would have proceeded on the basis of a rehearing.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my view an analogy can also be drawn to the situation where an appeal is taken to the Court of Appeal from an order made in Supreme Court chambers, an example being from a summary trial. If the application is dismissed such that the action proceeds to a trial proper, then the order is interlocutory in nature and the appellant would require leave from the Court of Appeal. If the application were successful such that a final order was made against a party, which finally determined the rights as between the parties, then that party could appeal as of right: see </w:t>
      </w:r>
      <w:r>
        <w:rPr>
          <w:rFonts w:ascii="arial" w:eastAsia="arial" w:hAnsi="arial" w:cs="arial"/>
          <w:i/>
          <w:color w:val="000000"/>
          <w:sz w:val="20"/>
          <w:lang w:val="en-US" w:eastAsia="en-US" w:bidi="ar-SA"/>
        </w:rPr>
        <w:t>Yaremy v. Insurance Corporation of British Colombia</w:t>
      </w:r>
      <w:r>
        <w:rPr>
          <w:rFonts w:ascii="arial" w:eastAsia="arial" w:hAnsi="arial" w:cs="arial"/>
          <w:color w:val="000000"/>
          <w:sz w:val="20"/>
          <w:lang w:val="en-US" w:eastAsia="en-US" w:bidi="ar-SA"/>
        </w:rPr>
        <w:t xml:space="preserve">, </w:t>
      </w:r>
      <w:hyperlink r:id="rId84" w:history="1">
        <w:r>
          <w:rPr>
            <w:rFonts w:ascii="arial" w:eastAsia="arial" w:hAnsi="arial" w:cs="arial"/>
            <w:i/>
            <w:color w:val="0077CC"/>
            <w:sz w:val="20"/>
            <w:u w:val="single"/>
            <w:shd w:val="clear" w:color="auto" w:fill="FFFFFF"/>
            <w:lang w:val="en-US" w:eastAsia="en-US" w:bidi="ar-SA"/>
          </w:rPr>
          <w:t>2008 BCCA 235</w:t>
        </w:r>
      </w:hyperlink>
      <w:r>
        <w:rPr>
          <w:rFonts w:ascii="arial" w:eastAsia="arial" w:hAnsi="arial" w:cs="arial"/>
          <w:color w:val="000000"/>
          <w:sz w:val="20"/>
          <w:lang w:val="en-US" w:eastAsia="en-US" w:bidi="ar-SA"/>
        </w:rPr>
        <w:t xml:space="preserve"> at paras. 7-18; </w:t>
      </w:r>
      <w:r>
        <w:rPr>
          <w:rFonts w:ascii="arial" w:eastAsia="arial" w:hAnsi="arial" w:cs="arial"/>
          <w:i/>
          <w:color w:val="000000"/>
          <w:sz w:val="20"/>
          <w:lang w:val="en-US" w:eastAsia="en-US" w:bidi="ar-SA"/>
        </w:rPr>
        <w:t>Hayes Forest Services Limited v. Weyerhaeuser Company Limited</w:t>
      </w:r>
      <w:r>
        <w:rPr>
          <w:rFonts w:ascii="arial" w:eastAsia="arial" w:hAnsi="arial" w:cs="arial"/>
          <w:color w:val="000000"/>
          <w:sz w:val="20"/>
          <w:lang w:val="en-US" w:eastAsia="en-US" w:bidi="ar-SA"/>
        </w:rPr>
        <w:t xml:space="preserve">, </w:t>
      </w:r>
      <w:hyperlink r:id="rId85" w:history="1">
        <w:r>
          <w:rPr>
            <w:rFonts w:ascii="arial" w:eastAsia="arial" w:hAnsi="arial" w:cs="arial"/>
            <w:i/>
            <w:color w:val="0077CC"/>
            <w:sz w:val="20"/>
            <w:u w:val="single"/>
            <w:shd w:val="clear" w:color="auto" w:fill="FFFFFF"/>
            <w:lang w:val="en-US" w:eastAsia="en-US" w:bidi="ar-SA"/>
          </w:rPr>
          <w:t>2008 BCCA 120</w:t>
        </w:r>
      </w:hyperlink>
      <w:r>
        <w:rPr>
          <w:rFonts w:ascii="arial" w:eastAsia="arial" w:hAnsi="arial" w:cs="arial"/>
          <w:color w:val="000000"/>
          <w:sz w:val="20"/>
          <w:lang w:val="en-US" w:eastAsia="en-US" w:bidi="ar-SA"/>
        </w:rPr>
        <w:t xml:space="preserve"> at paras. 15, 45,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836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IV:</w:t>
            </w:r>
          </w:p>
        </w:tc>
        <w:tc>
          <w:tcPr>
            <w:tcW w:w="819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DISCUSSION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parties agree that the Master articulated the correct test in considering the question as to whether the admission could be withdrawn: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The legal test to be applied where leave is sought to withdraw an admission is whether there is a triable issue which should be determined on the merits and not disposed of by an admission of fact. The parties agree that consent is a triable issue, but the analysis does not end there. The overriding factor is whether the interests of justice justify the withdrawal of the admission. The discretion to grant leave to withdraw an admission is broad and unfettered, subject to the discretion being exercised judicially. To that end, the court is required to balance the prejudice that would flow from either refusing or granting leave to withdraw the admission. The exercise of discretion on such an application is highly fact-specific.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The factors that should be considered by the court in determining what result is in the interests of justice are: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admission was made inadvertently, hastily or without knowledge of the facts;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fact admitted was or was not within the knowledge of the party making the admission;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admission is one of fact, whether it is or may be untrue;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and to what extent the withdrawal of the admission would prejudice a party;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has been delay in the application to withdraw the admission and any reason offered for such delay.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Sidhu v. Hothi</w:t>
      </w:r>
      <w:r>
        <w:rPr>
          <w:rFonts w:ascii="arial" w:eastAsia="arial" w:hAnsi="arial" w:cs="arial"/>
          <w:color w:val="000000"/>
          <w:sz w:val="20"/>
          <w:lang w:val="en-US" w:eastAsia="en-US" w:bidi="ar-SA"/>
        </w:rPr>
        <w:t xml:space="preserve">, </w:t>
      </w:r>
      <w:hyperlink r:id="rId86" w:history="1">
        <w:r>
          <w:rPr>
            <w:rFonts w:ascii="arial" w:eastAsia="arial" w:hAnsi="arial" w:cs="arial"/>
            <w:i/>
            <w:color w:val="0077CC"/>
            <w:sz w:val="20"/>
            <w:u w:val="single"/>
            <w:shd w:val="clear" w:color="auto" w:fill="FFFFFF"/>
            <w:lang w:val="en-US" w:eastAsia="en-US" w:bidi="ar-SA"/>
          </w:rPr>
          <w:t>2014 BCCA 510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will not repeat the Master's analysis of the various factors to be applied which are set out at paragraphs 19-32 of her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plaintiff's allegations of alleged error by the Master are numerous and include:</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"critically erred" in the assessment of a key factor, namely whether the admission was made inadvertently or by mistake;</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clearly wrong to differentiate between a mistake being made from Liwag's personal perspective and a deliberate admission being made on his behalf by ICBC's former counsel, that counsel also being Liwag's counsel in the action;</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failed to give proper consideration to the fact that Liwag "deliberately ignored countless communications from ICBC in respect of this litigation" and "had he cooperated in his defence as he was required to do by his contract of insurance the issue of consent would have been dealt with long ago";</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erred in weighing too heavily the question of whether there was a triable issue;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an unreasonable delay between the time the Joint Response was filed and Liwag's replacement counsel advising in February 2016 of the intention to apply to withdraw the admission;</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all the circumstances the Master erred in finding that the prejudice to Liwag outweighed the plaintiff's, and that the interests of justice militated in favour of allowing the withdrawal of the admission; and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interests of justice did not militate in favour of the withdrawal of the admission.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When I review the Master's decision in the context of the record before the Court on the hearing of the application, I do not accept that the Master was clearly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She reviewed each of the relevant factors and provided a reasoned basis for her conclusions. She recognized that the admission was deliberate in the sense that it was made by ICBC's former counsel on instructions from ICBC. But the Master also took into account that, viewed from Liwag's perspective, it was inadvertent or a mistake. After all, the admission was made without there being any direct contact between ICBC or its former counsel with Liwag prior to the Joint Response being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As far as the issue of delay is concerned, the plaintiff points to Liwag denying he was served with the notice of civil claim and the fact he did receive a copy of the Joint Response in September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While it is true that that Liwag was provided with the Joint Response at that time, I accept his present counsel's submission that the covering letter was confusing in that the letter mentioned that counsel was "denying admitting that you were to blame for the accident". It also referred to the fact that he may not hear from counsel for lengthy periods of time which is exactly what transpired. It would appear that when Liwag was advised that the claim may well exceed his policy limits, he then contacted counsel and/or ICBC and it was within this context that the issue of alleged lack of consent first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When I consider Liwag's affidavit and his description of his interaction with Cruz in the time frame after Liwag returned from the Philippines, and in particular that "things had been taken care of", I cannot conclude that the Master was clearly wrong in the weight she gave to the alleged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plaintiff is correct that prejudice may be presumed by the passage of time but there was no evidence of actual prejudice before the Master. Both Cruz and Liwag have been examined for discovery and there is no evidence that Ian Liwag's evidence cannot be obtained. The plaintiff argues that there may be difficulty in securing evidence from individuals who may have had dealings with Liwag prior to the Accident and his propensity to lend his vehicle, but that is pure speculation, there being nothing specific in that regard in the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do disagree with the Master placing emphasis on the fact there was no affidavit from Cruz but this is of little, if any, significance. That is because by the time the application was heard in December 2016, Cruz had been examined for discovery and excerpts of the transcript of his examination formed part of the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Master also considered any potential prejudice to Cruz in her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my view, the Master was not clearly wrong in concluding that a balancing of potential prejudices favoured Liwag. There is clearly a triable issue pertaining to Liwag's alleged consent and if the admission is not withdrawn, then he is conclusively vicariously liable for Cruz's admitted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may well face personal exposure for an amount well in excess of his $1 million third party policy limits.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Any potential prejudice to the plaintiff can likely be remedied by the costs order which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overriding factor is whether, taking the interests of justice into account, there is a triable issue which should be determined on the merits, and not disposed of by an admission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For the reasons I have described, the Master was not clearly wrong in reaching her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fact, in my view, the Master was clearly correct. That being the case it follows that if I were to consider the appeal on the basis of a rehearing, I would also allow the withdrawal of the admission.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84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w:t>
            </w:r>
          </w:p>
        </w:tc>
        <w:tc>
          <w:tcPr>
            <w:tcW w:w="82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CONCLUSION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appeal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would add that counsel for both the plaintiff and Liwag made submissions that the Master ought not to have made the costs order payable by ICBC, as opposed to Liwag, on the basis that ICBC was not a party to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Master's entered order formed part of the record on this appeal, and it provides that the costs are payable by Liwag, not ICBC. Accordingly, I need not consider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[Submissions 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Costs of this appeal are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 ABRIOUX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7" style="position:absolute;z-index:2518159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7"/>
          <w:headerReference w:type="default" r:id="rId88"/>
          <w:footerReference w:type="even" r:id="rId89"/>
          <w:footerReference w:type="default" r:id="rId90"/>
          <w:headerReference w:type="first" r:id="rId91"/>
          <w:footerReference w:type="first" r:id="rId9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3" w:history="1">
        <w:r>
          <w:rPr>
            <w:rFonts w:ascii="arial" w:eastAsia="arial" w:hAnsi="arial" w:cs="arial"/>
            <w:b/>
            <w:bCs/>
            <w:i/>
            <w:color w:val="0077CC"/>
            <w:kern w:val="32"/>
            <w:sz w:val="28"/>
            <w:szCs w:val="32"/>
            <w:u w:val="single"/>
            <w:shd w:val="clear" w:color="auto" w:fill="FFFFFF"/>
            <w:lang w:val="en-US" w:eastAsia="en-US" w:bidi="ar-SA"/>
          </w:rPr>
          <w:t>Naidu v. Zhong, [2019] B.C.J. No. 1219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A.D. Francis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30, May 1-2,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May 7,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M143666, M166230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1219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1064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Wasanthi Naidu, Plaintiff, and Xu Xia Zhong, Defendant And between Xu Xia Zhong, Plaintiff, and Wasanthi Naidu,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8"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3" w:name="Keywords_4"/>
      <w:bookmarkEnd w:id="33"/>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Motor vehicles — Rules of the road — Z's action for damages suffered in motor vehicle accident allowed — Each testified the other driver crossed the centre line of road into lane of oncoming vehicle, causing a head-on collision — N solely liable for the accident — Expert report left little room for doubt that only car to cross the centre line was N's vehicle — Given narrow roadway and the ditches on either side of the road, limited options available to Z.</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4" w:name="Case Summary_4"/>
            <w:bookmarkEnd w:id="3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Actions for damages suffered in a motor vehicle accident. Each testified that the other driver crossed the centre line of the road into the lane of the oncoming vehicle, causing a head-on collision. The road was a narrow paved road that had very little shoulder and dropped off on both sides into ditches. The force of the collision caused both vehicles to rotate and move some distance, and both vehicles ended up in the ditch. N was driving east and Z was travelling west. Shortly before the collision, Z had made a right-hand turn onto the road. N claimed Z made an extra-wide right turn, placing her on the wrong side of the centre line of the road. Z testified that when she turned right onto the road, she did not cross the centre line. An expert report opined that at impact N's vehicle was about three-quarters into the oncoming lane, facing mostly east, and Z's vehicle was approximately centred in the westbound lane. The expert also concluded that Z's car was stopped or almost stopped at the time of collision.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5" w:name="Holdings of Court_4"/>
            <w:bookmarkEnd w:id="35"/>
            <w:r>
              <w:rPr>
                <w:rFonts w:ascii="arial" w:eastAsia="arial" w:hAnsi="arial" w:cs="arial"/>
                <w:color w:val="000000"/>
                <w:sz w:val="20"/>
                <w:lang w:val="en-US" w:eastAsia="en-US" w:bidi="ar-SA"/>
              </w:rPr>
              <w:t>HELD: Z's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 was solely liable for the accident. The expert report, and particularly the illustration in his report of the vehicle positions at impact, left little room for doubt that the only car to cross the centre line was N's vehicle. N negligently caused the collision at issue in this proceeding. Given the narrow roadway and the ditches on either side of the road, there were very limited options available to a reasonably competent driver faced with an oncoming vehicle in her lane in the circumstances that faced Z.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6" w:name="Legislation Cited_2"/>
      <w:bookmarkEnd w:id="3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9" style="position:absolute;z-index:2517145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94" w:history="1">
        <w:r>
          <w:rPr>
            <w:rFonts w:ascii="arial" w:eastAsia="arial" w:hAnsi="arial" w:cs="arial"/>
            <w:i/>
            <w:color w:val="0077CC"/>
            <w:sz w:val="20"/>
            <w:u w:val="single"/>
            <w:shd w:val="clear" w:color="auto" w:fill="FFFFFF"/>
            <w:lang w:val="en-US" w:eastAsia="en-US" w:bidi="ar-SA"/>
          </w:rPr>
          <w:t>R.S.B.C. 1996, c. 318, s. 150</w:t>
        </w:r>
      </w:hyperlink>
      <w:r>
        <w:rPr>
          <w:rFonts w:ascii="arial" w:eastAsia="arial" w:hAnsi="arial" w:cs="arial"/>
          <w:color w:val="000000"/>
          <w:sz w:val="20"/>
          <w:lang w:val="en-US" w:eastAsia="en-US" w:bidi="ar-SA"/>
        </w:rPr>
        <w:t>, s. 154, s. 155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7" w:name="Counsel_4"/>
      <w:bookmarkEnd w:id="3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0" style="position:absolute;z-index:2517657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Wasanthi Naidu on M143666: W.D. MacLeod.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Xu Xia Zhong on M143666: H.J. Harlow, F. Lin.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Plaintiff, Xu Xia Zhong on M166230: K. Barron.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Wasanthi Naidu on M166230: T.J. McKinnon.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8" w:name="Judgment_4"/>
      <w:bookmarkEnd w:id="38"/>
      <w:r>
        <w:pict>
          <v:line id="_x0000_s1051" style="position:absolute;z-index:2518169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7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9" w:name="A.D. FRANCIS J. (orally)"/>
            <w:bookmarkEnd w:id="39"/>
            <w:r>
              <w:rPr>
                <w:rFonts w:ascii="arial" w:eastAsia="arial" w:hAnsi="arial" w:cs="arial"/>
                <w:b/>
                <w:color w:val="000000"/>
                <w:sz w:val="30"/>
                <w:lang w:val="en-US" w:eastAsia="en-US" w:bidi="ar-SA"/>
              </w:rPr>
              <w:t>A.D. FRANCIS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are my reasons for judgment. If a transcript of these reasons is ordered, I may edit the reasons for style and grammar, but the substance will not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was the concurrent trial as to liability only of two actions for damages arising from a motor vehicle collision that took place on September 13, 2013, at approximately 5:00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Wasanthi Naidu, plaintiff in the Vancouver action (defendant in the New Westminster action), was driving a Chevrolet Malibu. Xu Xia Zhong, defendant in the Vancouver action (plaintiff in the New Westminster action), was driving a Mazda 3. Each has testified that the other driver crossed the centre line of Blundell Road into the lane of the oncoming vehicle, causing a head-on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Blundell Road is a relatively narrow paved road in Richmond that runs in an east/west direction. It has very little shoulder and drops off on both sides into ditches. In this case, the force of the collision caused both vehicles to rotate and move some distance, and the two vehicles ended up in the ditch on the north side of Blundell Road, having suffered significant damage. I understand that both parties were injured, but evidence about their injuries was not tendered at this trial, which was restricted to the matter of liability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Some facts are uncontested. Ms. Naidu's vehicle was travelling east at the time of collision, with her two children in the back seat of her car. Ms. Zhong's vehicle had made a right-hand turn onto Blundell Road from No. 6 Road and was travelling west at the time of the collision. Apart from the drivers and Ms. Naidu's passengers, there were no witnesses to the accident and the only lay witnesses at trial were Ms. Naidu and Ms. Zhong. A number of photographs were put into evidence, and the expert report of Craig Brown was filed by counsel for Ms. Zhong. Mr. Brown testified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Evidence of Ms. Naidu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Naidu was driving with her two children to her son's hockey practice at the time of the collision. She was driving eastbound along Blundell Road between Sidaway and No. 6 Road when the accident occurred. She had driven that particular stretch of Blundell Road many times before as it was the route she took to take her son to hockey, something she did four to five times a week. She testified that just prior to the accident she and her children were listening to a song on the radio and singing along. As she went through the intersection of Blundell and Sidaway, she recalled that there was a silver car in front of her and a black SUV behind her. Prior to reaching No. 6 Road, the car in front of her signalled to turn right into a driveway. She slowed down to let the car turn and then she accelerated. She testified that the SUV behind her was approaching quickly.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Naidu testified that prior to the car in front of her turning right, she noticed Ms. Zhong's car make a right-hand turn from No. 6 Road onto Blundell Road, travelling westbound. She testified that she noticed a glint of light as sunlight hit Ms. Zhong's car and that is why she noticed the vehicle as it was turning. Ms. Naidu testified that Ms. Zhong made an extra-wide right turn, placing her on the wrong side of the centre line of Blundell Road. While she did not observe Ms. Zhong's vehicle the entire time it was on Blundell Road, she did testify that immediately before the accident she saw Ms. Zhong's car again and it continued to be straddling the centre line of the road. Ms. Naidu testified that Ms. Zhong's vehicle was at that point more on the side of the eastbound lane than it was on the side of the westbound lane, or, as Ms. Naidu put it, "She was more in my lane than in her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Naidu testified that she turned her car to the left in an attempt to get around Ms. Zhong's car. She said that she made the decision to try to go to the left of Ms. Zhong's car rather than to the right because there was water in the ditch on the south side of the road but not on the north side and she was worried about her children's safety if they went into a water-filled ditch. Ms. Naidu had angled her car left and started to move left around Ms. Zhong's vehicle when the vehicles collided.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Naidu testified that she did not recall many details of the collision in the first weeks after the accident. Both at the scene of the accident and later at the hospital, officers attempted to interview Ms. Naidu, but she was not prepared to speak to them at that point. When Ms. Naidu contacted ICBC to report the accident, she told them she did not know how the accident occurred. After she retained counsel, she prepared a statement, dated October 21, 2013, that was tendered into evidence. That statement omits a number of facts about the accident that formed part of Ms. Naidu's testimony at trial, including the fact that she had seen Ms. Zhong's car make a wide right turn onto Blundell Road from No. 6 Road and cross the centre line upon turning. Indeed, the statement from October 21, 2013, states that Ms. Naidu had no explanation for why Ms. Zhong allegedly crossed the centre line, causing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her testimony, Ms. Naidu described an incident that took place some time after the accident, in which her husband drove her along the same stretch of Blundell Road, with the same song they listened to on the day of the accident playing, and certain memories of the accident came to her recollection. The evidence about the timing of this incident, which was sometimes referred to at trial as "the </w:t>
      </w:r>
      <w:r>
        <w:rPr>
          <w:rFonts w:ascii="arial" w:eastAsia="arial" w:hAnsi="arial" w:cs="arial"/>
          <w:i/>
          <w:color w:val="000000"/>
          <w:sz w:val="20"/>
          <w:lang w:val="en-US" w:eastAsia="en-US" w:bidi="ar-SA"/>
        </w:rPr>
        <w:t>déjà vu</w:t>
      </w:r>
      <w:r>
        <w:rPr>
          <w:rFonts w:ascii="arial" w:eastAsia="arial" w:hAnsi="arial" w:cs="arial"/>
          <w:color w:val="000000"/>
          <w:sz w:val="20"/>
          <w:lang w:val="en-US" w:eastAsia="en-US" w:bidi="ar-SA"/>
        </w:rPr>
        <w:t xml:space="preserve"> incident", was not entirely clear. On direct examination, Ms. Naidu testified that this incident happened a few months after the accident, but then said it was in October or November 2013. On cross-examination, she was confronted with her discovery evidence in which she had testified that the incident happened in late November or early December 2013, but at trial she maintained that the incident was in late October or early November 2013. Irrespective of the date on which this incident occurred, it is clear that it was some time after the accident, after she had retained counsel and after she had given a statement that Ms. Naidu was able to recall a number of highly relevant facts about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Evidence of Ms. Zhong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Zhong's testimony about the accident was in direct conflict with that of Ms. Naidu. Ms. Zhong testified that she also drove through the intersection of No. 6 Road and Blundell Road regularly, as she picked her daughter up from school every day and this was the route she took about half the time. Ms. Zhong testified that when she turned right from No. 6 Road onto Blundell Road she did not cross the centre line. Further, she said that she did not ever remember having crossed the yellow line on the many occasions that she made a right turn from No. 6 Road onto Blundell.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Zhong testified that she noticed Ms. Naidu's vehicle after she made her turn onto Blundell, and when she first saw it, the vehicle was in the correct lane. However, she later noticed that Ms. Naidu's car had turned and was facing at an angle, with its left front wheel in the westbound lane. She testified that before she could think of what to do, the vehicles collided. She testified that she thought she was travelling at about 50 kilometres an hour once she got onto Blundell Road, after having slowed down to about 20 kilometres an hour to make the right-hand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Zhong repeatedly stated she was not good at estimating distances, and this made it difficult to evaluate some of her evidence, as she could not testify as to where Ms. Naidu's car was when she first noticed it, the location of other vehicles in the area, or how far away Ms. Naidu's car was from her when she realized they were going to crash.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Evidence of Mr. Brown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Craig Brown was qualified as a mechanical engineer with expertise in motor vehicle accident reconstruction. He was the only expert to give opinion evidence at trial. His expert report concludes that the two vehicles collided in the westbound lane of Blundell. The primary point of contact for both vehicles was the front left wheel area. Mr. Brown was able to opine on the location of the crash primarily on the basis of scuff marks left on the road after the accident. The scuff marks, he testified, put the left front wheels of the two vehicles in the westbound lane at the time of the collision, with Ms. Zhong's vehicle situated in the centre or slightly to the right in the westbound lane, and Ms. Naidu's vehicle about three-quarters into the westbound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Based on the data he reviewed, which included photographs of the accident scene and photographs of the vehicles post-crash, he opined that on impact the vehicles rotated counterclockwise by about 25 degrees and travelled northeastward into the ditch, where they came to a rest. He also opined that Ms. Naidu's vehicle was likely travelling at about 50 kilometres per hour at impact and Ms. Zhong's vehicle was likely stopped or close to stopped at the time of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cross-examination, Mr. Brown admitted that he would have been better able to determine a number of facts about the crash, including the crash severity, had he been able to physically inspect the vehicles. He also testified that if he had access to the event data recorder in Ms. Naidu's car, it may have given him further information relevant to his report. However, when it was put to him that the tire scuff marks on which he primarily based his conclusions about the location of the accident could have been from another vehicle, he testified that this was unlikely because tire marks tend to fade rapidly, particularly ones in the wheel track of where cars drive on the road, which was where the scuff marks in this case were located. Counsel for Ms. Naidu cross-examined Mr. Brown at some length about the rotation of the cars in light of their final resting positions, but Mr. Brown stood by his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 and Reliability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factors to be considered when assessing credibility were discussed by Madam Justice Dillon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[186] 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96"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97"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(Ont.H.C.); </w:t>
      </w:r>
      <w:r>
        <w:rPr>
          <w:rFonts w:ascii="arial" w:eastAsia="arial" w:hAnsi="arial" w:cs="arial"/>
          <w:i/>
          <w:color w:val="000000"/>
          <w:sz w:val="20"/>
          <w:lang w:val="en-US" w:eastAsia="en-US" w:bidi="ar-SA"/>
        </w:rPr>
        <w:t>Farnya v. Chorny</w:t>
      </w:r>
      <w:r>
        <w:rPr>
          <w:rFonts w:ascii="arial" w:eastAsia="arial" w:hAnsi="arial" w:cs="arial"/>
          <w:color w:val="000000"/>
          <w:sz w:val="20"/>
          <w:lang w:val="en-US" w:eastAsia="en-US" w:bidi="ar-SA"/>
        </w:rPr>
        <w:t xml:space="preserve">, </w:t>
      </w:r>
      <w:hyperlink r:id="rId99"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100"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at para. 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While I am satisfied that both Ms. Naidu and Ms. Zhong genuinely and sincerely did their best to recall this collision that happened almost six years ago, there are issues with respect to the reliability of each of their testimony about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With respect to Ms. Naidu, she initially said she could not remember anything about the collision. She was unable to recall significant details about the accident until well over a month after the accident when she discussed the case with her lawyer. Some memories were only recalled six weeks or more after the accident when she visited the accident site. This raises significant concerns about the reliability of her recollections.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To be clear, credibility is not the same thing as reliability and I do not doubt that Ms. Naidu sincerely believes that the accident was as she described it at trial. However, the reliability of her evidence is called into question by the fact that she was only able to create a coherent timeline of events after a significant amount of time had passed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There are also issues with respect to the reliability of Ms. Zhong's evidence. Ms. Zhong appeared to have difficulty providing detailed evidence of the event and repeatedly refused to estimate distances on the basis that she had trouble with estimates. She was pressed on cross-examination as to whether she could recall making the right turn onto Blundell on the day of the accident, or whether, when she said she never crossed the yellow line when making a right turn from No. 6 onto Blundell, she was simply referring to her normal practice. It is not clear to me from her evidence that she does in fact have a clear recollection of making the right-hand turn immediately before the accident, and I find it is more likely that she has reconstructed a memory of that particular turn based on her usual practice, and the reliability of her testimony about what happened that particular day is questionable.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Counsel for Ms. Naidu made much of the fact that Ms. Zhong gave inconsistent evidence about whether she braked before impact. I do not think much turns on this, as Mr. Brown's report concludes that Ms. Zhong's vehicle was stopped or almost stopped at impact. To the extent that Ms. Zhong does not remember whether or not she braked prior to impact, it is not surprising to me that someone would not remember whether they braked in the panic of the moment before collision. I have no reason to think that Mr. Brown's conclusion is not correct and, to the extent it is relevant, I find that Ms. Zhong did brake immediately before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Because there are issues with respect to the reliability of the evidence of each of the parties, I must consider which version of events is most consistent with the probabilities affecting the case as a whole and shown to be in existence at the time. I am helped in this regard by the report of Mr. Brown. While Ms. Naidu's counsel cross-examined Mr. Brown about his report, in submissions counsel did not ultimately challenge Mr. Brown's findings about the location of impact or the position of the vehicles at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Brown's report opined, among other things, that at impact Ms. Naidu's vehicle was about three-quarters into the oncoming lane, facing mostly east, and Ms. Zhong's vehicle was approximately centred in the westbound lane. He further opined that the point of impact was centred at about the left front wheels of the two vehicles and that the vehicles rotated counterclockwise by about 25 degrees and travelled northeast, where they both reached a final rest position in the ditch to the north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find that Mr. Brown's report is correct about the location of impact and the position of the vehicles at impact. As such, I must consider which version of events of the two parties is most consistent with this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Naidu's evidence was that the cause of the collision was Ms. Zhong's vehicle being in Ms. Naidu's lane. She testified that she first saw Ms. Zhong's vehicle when it made a wide turn onto Blundell, crossed the centre line, that moments later she again saw Ms. Zhong's vehicle coming towards her, still over the line, the vehicle more in the eastbound lane than in the westbound lane, and that Ms. Naidu swerved left to get around Ms. Zhong's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When asked in submissions how it could be that Ms. Zhong's vehicle could be straddling the yellow line before impact but centred in its own lane at the time of collision, Ms. Naidu's counsel posited that Ms. Zhong must have corrected at the last instant, such that her car was in the correct lane at the point of impact. The problem with this theory is that it is inconsistent with Ms. Naidu's evidence, which was that immediately before the crash she saw Ms. Zhong's vehicle coming towards her, with the vehicle mostly in Ms. Naidu's lane. Ms. Naidu did not testify that she saw Ms. Zhong correct her path and get into the correct lane immediately before impact. There is simply no evidence of this happening.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find it unlikely that in the short time between the moment Ms. Naidu noticed that Ms. Zhong's vehicle was still in her lane and about to crash into her and the moment of impact, Ms. Zhong could have maneuvered her car from being, as Ms. Naidu testified, more in the eastbound lane than in the westbound lane, to being centred and straight in the westbound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find the more plausible version of events is that Ms. Naidu, who testified that she was listening to music, singing, and paying attention both to a car that had just turned right in front of her, for which she had to slow down, and a car that was moving up fast behind her, for which she had to speed up, was sufficiently distracted by these other factors that she did not notice that her car had moved over the centre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Brown's report, and particularly the illustration in his report of the vehicle positions at impact, leave little room for doubt that the only car to cross the centre line was Ms. Naidu's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 am required in this case to consider the following sections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hyperlink r:id="rId94" w:history="1">
        <w:r>
          <w:rPr>
            <w:rFonts w:ascii="arial" w:eastAsia="arial" w:hAnsi="arial" w:cs="arial"/>
            <w:i/>
            <w:color w:val="0077CC"/>
            <w:sz w:val="20"/>
            <w:u w:val="single"/>
            <w:shd w:val="clear" w:color="auto" w:fill="FFFFFF"/>
            <w:lang w:val="en-US" w:eastAsia="en-US" w:bidi="ar-SA"/>
          </w:rPr>
          <w:t>R.S.B.C. 1996, c. 318, ss. 150</w:t>
        </w:r>
      </w:hyperlink>
      <w:r>
        <w:rPr>
          <w:rFonts w:ascii="arial" w:eastAsia="arial" w:hAnsi="arial" w:cs="arial"/>
          <w:color w:val="000000"/>
          <w:sz w:val="20"/>
          <w:lang w:val="en-US" w:eastAsia="en-US" w:bidi="ar-SA"/>
        </w:rPr>
        <w:t xml:space="preserve"> and 154-155: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Driver on right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150 (1) The driver of a vehicle must confine the course of the vehicle to the right hand half of the roadway if the roadway is of sufficient width and it is practicable to do so, except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overtaking and passing a vehicle proceeding in the same direction,</w:t>
      </w:r>
    </w:p>
    <w:p>
      <w:pPr>
        <w:numPr>
          <w:numId w:val="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right hand half of the roadway is closed to traffic while under construction or repair,</w:t>
      </w:r>
    </w:p>
    <w:p>
      <w:pPr>
        <w:numPr>
          <w:numId w:val="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on a highway designated and marked by signs for one way traffic,</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necessary when operating snow removing equipment, or</w:t>
      </w:r>
    </w:p>
    <w:p>
      <w:pPr>
        <w:numPr>
          <w:numId w:val="6"/>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if</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movement of a vehicle, or combination of vehicles, is permitted by and is done in conformity with the terms of the oversize permit issued under the Commercial Transport Act, and</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width of a vehicle, or combination of vehicles, or the width of a load on the vehicle makes the operation of the vehicle or combination of vehicles on the right hand half of the roadway unsafe.</w:t>
      </w:r>
    </w:p>
    <w:p>
      <w:pPr>
        <w:numPr>
          <w:numId w:val="10"/>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proceeding at less than normal speed of traffic at the time and place and under existing conditions must drive the vehicle in the right hand lane available for traffic, or as closely as practicable to the right hand curb or edge of the roadway, except when</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overtaking and passing another vehicle,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preparing for a left hand turn at an intersection or into an exit, a private road or a driveway, or</w:t>
      </w:r>
    </w:p>
    <w:p>
      <w:pPr>
        <w:numPr>
          <w:numId w:val="1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passing an official vehicle stopped on the side of or on the roadway.</w:t>
      </w:r>
    </w:p>
    <w:p>
      <w:pPr>
        <w:numPr>
          <w:numId w:val="1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passing around a rotary traffic island must drive the vehicle to the right of the island.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Passing when meeting vehicle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154 (1) The driver of a vehicle must drive the vehicle on the right hand side of the roadway when meeting another vehicle that is moving.</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on a highway that has a width for only one line of traffic in each direction must, when meeting another vehicle that is moving, drive the vehicle so that the other vehicle is able to travel in at least 1/2 of the main travelled portion of the highway as nearly as possible.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Highway lines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155 (1) Despite anything in this Part, if a highway is marked with</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solid double line, the driver of a vehicle must drive it to the right of the line only,</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double line consisting of a broken line and a solid line,</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proceeding along the highway on the side of the broken line must drive the vehicle to the right of the double line, except when passing an overtaken vehicle, and</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proceeding along the highway on the side of the solid line must drive the vehicle to the right of the double line, except only when finishing the passing of an overtaken vehicle, and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one single line, broken or solid, the driver of a vehicle must drive the vehicle to the right of the line, except only when passing an overtaken vehicle.</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(1) (b) (i) and (c) do not apply if a driver is avoiding an obstruction on the highway and first ascertains that the movement can be made with safety and without affecting the travel of any other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effect of these sections is that drivers are required to stay on the right side of the roadway, to the right of the yellow centre line. There is no controversy about these provisions, and having found that only Ms. Naidu's vehicle crossed the centre line, I find that she was in contravention of ss. 150, 154, and 155. The violation of these provisions is informative but not determinative of negligent conduct. However, based on the facts set out above, I find that Ms. Naidu negligently caused the collision at issue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Having found that Ms. Naidu caused the accident, it is not necessary for me to consider her counsel's submission about the "agony of collision" and why Ms. Naidu should not be contributorily negligent in the circumstances. However, Ms. Naidu's counsel also argued that, if I were to find that Ms. Naidu caused the collision, Ms. Zhong should be held to be contributorily negligent under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because she took no steps to avert the accident. In submissions, counsel asked me to find that Ms. Zhong simply drove into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cannot accede to this submission. As I have noted, Mr. Brown opined in his report that Ms. Zhong did in fact brake immediately before the accident. While Ms. Zhong did not testify that she could remember applying her brakes, Mr. Brown's conclusion that her car was stopped or almost stopped at the time of collision has not been challenged by any party, and, therefore, I find that she did in fact apply her brakes. I further find that, given the narrow roadway and the ditches on either side of the road, there were very limited options available to a reasonably competent driver faced with an oncoming vehicle in her lane in the circumstances that faced Ms. Zhong.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This Court discussed the doctrine of "agony of collision" in </w:t>
      </w:r>
      <w:r>
        <w:rPr>
          <w:rFonts w:ascii="arial" w:eastAsia="arial" w:hAnsi="arial" w:cs="arial"/>
          <w:i/>
          <w:color w:val="000000"/>
          <w:sz w:val="20"/>
          <w:lang w:val="en-US" w:eastAsia="en-US" w:bidi="ar-SA"/>
        </w:rPr>
        <w:t>Masztalar v. Wiens</w:t>
      </w:r>
      <w:r>
        <w:rPr>
          <w:rFonts w:ascii="arial" w:eastAsia="arial" w:hAnsi="arial" w:cs="arial"/>
          <w:color w:val="000000"/>
          <w:sz w:val="20"/>
          <w:lang w:val="en-US" w:eastAsia="en-US" w:bidi="ar-SA"/>
        </w:rPr>
        <w:t xml:space="preserve">, </w:t>
      </w:r>
      <w:hyperlink r:id="rId101" w:history="1">
        <w:r>
          <w:rPr>
            <w:rFonts w:ascii="arial" w:eastAsia="arial" w:hAnsi="arial" w:cs="arial"/>
            <w:i/>
            <w:color w:val="0077CC"/>
            <w:sz w:val="20"/>
            <w:u w:val="single"/>
            <w:shd w:val="clear" w:color="auto" w:fill="FFFFFF"/>
            <w:lang w:val="en-US" w:eastAsia="en-US" w:bidi="ar-SA"/>
          </w:rPr>
          <w:t>[1994] B.C.J. No. 744</w:t>
        </w:r>
      </w:hyperlink>
      <w:r>
        <w:rPr>
          <w:rFonts w:ascii="arial" w:eastAsia="arial" w:hAnsi="arial" w:cs="arial"/>
          <w:color w:val="000000"/>
          <w:sz w:val="20"/>
          <w:lang w:val="en-US" w:eastAsia="en-US" w:bidi="ar-SA"/>
        </w:rPr>
        <w:t>, at paras. 31-32: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The defendant relies on the Doctrine of Agony of Collision. That doctrine is succinctly stated in Horsley and Foster's Manual of Motor Vehicle Law, (2nd ed.) at p. 464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 number of cases, concerning what is commonly called "agony of collision," it has been pointed out that a driver acting in an emergency created by another vehicle or by some extraneous fact cannot be expected to exercise nice judgment and prompt decision, and mere errors of judgment in such circumstances may often be excusable.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In </w:t>
      </w:r>
      <w:r>
        <w:rPr>
          <w:rFonts w:ascii="arial" w:eastAsia="arial" w:hAnsi="arial" w:cs="arial"/>
          <w:i/>
          <w:color w:val="000000"/>
          <w:sz w:val="20"/>
          <w:lang w:val="en-US" w:eastAsia="en-US" w:bidi="ar-SA"/>
        </w:rPr>
        <w:t>Manhas v. Froese</w:t>
      </w:r>
      <w:r>
        <w:rPr>
          <w:rFonts w:ascii="arial" w:eastAsia="arial" w:hAnsi="arial" w:cs="arial"/>
          <w:color w:val="000000"/>
          <w:sz w:val="20"/>
          <w:lang w:val="en-US" w:eastAsia="en-US" w:bidi="ar-SA"/>
        </w:rPr>
        <w:t>, (27 August 1980), Vancouver B771636 (B.C.S.C.), at 6, Gould J. explained: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an emergency arises it is not necessary for a driver to possess extraordinary skill, presence of mind, poise or self-control, and his failure to act as an ordinary person in an emergency is not held to be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He is not necessarily required to adopt the most prudent course and is entitled to a reasonable time, depending upon the circumstances, to exercise his judgment as to what steps should be taken to avoid a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As Mr. Justice Macintosh noted in </w:t>
      </w:r>
      <w:r>
        <w:rPr>
          <w:rFonts w:ascii="arial" w:eastAsia="arial" w:hAnsi="arial" w:cs="arial"/>
          <w:i/>
          <w:color w:val="000000"/>
          <w:sz w:val="20"/>
          <w:lang w:val="en-US" w:eastAsia="en-US" w:bidi="ar-SA"/>
        </w:rPr>
        <w:t>Graham v. Carson</w:t>
      </w:r>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2014 BCSC 726</w:t>
        </w:r>
      </w:hyperlink>
      <w:r>
        <w:rPr>
          <w:rFonts w:ascii="arial" w:eastAsia="arial" w:hAnsi="arial" w:cs="arial"/>
          <w:color w:val="000000"/>
          <w:sz w:val="20"/>
          <w:lang w:val="en-US" w:eastAsia="en-US" w:bidi="ar-SA"/>
        </w:rPr>
        <w:t xml:space="preserve">, acting in an emergency caused by another driver's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 party cannot be expected to exercise her judgment perfectly.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 find that Ms. Zhong met the standard of a reasonably competent driver in the action she took, which is the standard she must meet in order to avoid a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Therefore I do not find Ms. Zhong contributorily negligent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Accordingly, Ms. Naidu's claim in the Vancouver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With respect to the New Westminster action, I find that Ms. Zhong has proven that Ms. Naidu was liable for the collision and the proceeding may continue for the purposes of determining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With respect to costs, if the parties are unable to come to an agreement, they may contact Supreme Court scheduling to arrange a time to come back before me to make submissions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A.D. FRANCIS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2"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3"/>
          <w:headerReference w:type="default" r:id="rId104"/>
          <w:footerReference w:type="even" r:id="rId105"/>
          <w:footerReference w:type="default" r:id="rId106"/>
          <w:headerReference w:type="first" r:id="rId107"/>
          <w:footerReference w:type="first" r:id="rId10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09" w:history="1">
        <w:r>
          <w:rPr>
            <w:rFonts w:ascii="arial" w:eastAsia="arial" w:hAnsi="arial" w:cs="arial"/>
            <w:b/>
            <w:bCs/>
            <w:i/>
            <w:color w:val="0077CC"/>
            <w:kern w:val="32"/>
            <w:sz w:val="28"/>
            <w:szCs w:val="32"/>
            <w:u w:val="single"/>
            <w:shd w:val="clear" w:color="auto" w:fill="FFFFFF"/>
            <w:lang w:val="en-US" w:eastAsia="en-US" w:bidi="ar-SA"/>
          </w:rPr>
          <w:t>Oddy v. Annalise Official Number 827055 (The), [2017] B.C.J. No. 2086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Vernon,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K.N. Affleck J.</w:t>
      </w:r>
    </w:p>
    <w:p>
      <w:pPr>
        <w:spacing w:before="120" w:line="260" w:lineRule="atLeast"/>
        <w:jc w:val="center"/>
        <w:rPr>
          <w:lang w:val="en-US" w:eastAsia="en-US" w:bidi="ar-SA"/>
        </w:rPr>
      </w:pPr>
      <w:r>
        <w:rPr>
          <w:rFonts w:ascii="arial" w:eastAsia="arial" w:hAnsi="arial" w:cs="arial"/>
          <w:color w:val="000000"/>
          <w:sz w:val="20"/>
          <w:lang w:val="en-US" w:eastAsia="en-US" w:bidi="ar-SA"/>
        </w:rPr>
        <w:t>Heard: August 29-31, September 1, and 5-7, 2017.</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October 20, 2017.</w:t>
      </w:r>
    </w:p>
    <w:p>
      <w:pPr>
        <w:spacing w:before="120" w:line="260" w:lineRule="atLeast"/>
        <w:jc w:val="center"/>
        <w:rPr>
          <w:lang w:val="en-US" w:eastAsia="en-US" w:bidi="ar-SA"/>
        </w:rPr>
      </w:pPr>
      <w:r>
        <w:rPr>
          <w:rFonts w:ascii="arial" w:eastAsia="arial" w:hAnsi="arial" w:cs="arial"/>
          <w:color w:val="000000"/>
          <w:sz w:val="20"/>
          <w:lang w:val="en-US" w:eastAsia="en-US" w:bidi="ar-SA"/>
        </w:rPr>
        <w:t>Docket: S51759</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Vernon</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[2017] B.C.J. No. 2086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2017 BCSC 1879</w:t>
      </w:r>
    </w:p>
    <w:p>
      <w:pPr>
        <w:spacing w:before="120" w:line="260" w:lineRule="atLeast"/>
        <w:rPr>
          <w:lang w:val="en-US" w:eastAsia="en-US" w:bidi="ar-SA"/>
        </w:rPr>
      </w:pPr>
      <w:r>
        <w:rPr>
          <w:rFonts w:ascii="arial" w:eastAsia="arial" w:hAnsi="arial" w:cs="arial"/>
          <w:color w:val="000000"/>
          <w:sz w:val="20"/>
          <w:lang w:val="en-US" w:eastAsia="en-US" w:bidi="ar-SA"/>
        </w:rPr>
        <w:t>Between Kornella Oddy, Plaintiff, and The Owners and all Others Interested in the Ship (and/or other property), "Annalise Official Number 827055, and Waterway Partnership Equities Inc., and Waterway Houseboat Builders Ltd., and John Doe, and Jane Doe, and ABC Corporation and Brian Oddy, and David Oddy,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(25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53" style="position:absolute;z-index:25166438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40" w:name="Keywords_5"/>
      <w:bookmarkEnd w:id="40"/>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Causation — Foreseeability and remoteness — Action by plaintiff for damages for personal injuries sustained in houseboat accident dismissed — Plaintiff was struck by mooring line that catapulted toward houseboat after beaching stake became loose, shattering windshield behind which plaintiff was standing — Defendant owner purchased mooring line on recommendation of marine equipment supplier — Defendant reasonably relied on advice of supplier — No evidence defendant knew or ought to have known mooring line was not suitable — It had no knowledge mooring line's elastic properties posed risk — Defendant met standard of care — Sudden release of stake and propulsion of mooring line was unforeseeable.</w:t>
      </w:r>
    </w:p>
    <w:p>
      <w:pPr>
        <w:jc w:val="both"/>
        <w:rPr>
          <w:lang w:val="en-US" w:eastAsia="en-US" w:bidi="ar-SA"/>
        </w:rPr>
      </w:pPr>
      <w:bookmarkStart w:id="41" w:name="Counsel_5"/>
      <w:bookmarkEnd w:id="41"/>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54" style="position:absolute;z-index:25171558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M.J. Yawney,Q.C., C. Hart.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Waterway Partnership Equities Inc. and Waterway Houseboat Builders Ltd.: J. Kostyniuk, S. Carey.</w:t>
      </w:r>
      <w:r>
        <w:rPr>
          <w:lang w:val="en-US" w:eastAsia="en-US" w:bidi="ar-SA"/>
        </w:rPr>
        <w:cr/>
      </w:r>
    </w:p>
    <w:p>
      <w:pPr>
        <w:spacing w:after="240"/>
        <w:rPr>
          <w:lang w:val="en-US" w:eastAsia="en-US" w:bidi="ar-SA"/>
        </w:rPr>
      </w:pPr>
      <w:bookmarkStart w:id="42" w:name="Judgment_5"/>
      <w:bookmarkEnd w:id="42"/>
      <w:r>
        <w:pict>
          <v:line id="_x0000_s1055" style="position:absolute;z-index:251766784"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43" w:name="K.N. AFFLECK J."/>
            <w:bookmarkEnd w:id="43"/>
            <w:r>
              <w:rPr>
                <w:rFonts w:ascii="arial" w:eastAsia="arial" w:hAnsi="arial" w:cs="arial"/>
                <w:b/>
                <w:color w:val="000000"/>
                <w:sz w:val="30"/>
                <w:lang w:val="en-US" w:eastAsia="en-US" w:bidi="ar-SA"/>
              </w:rPr>
              <w:t>K.N. AFFLECK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 common law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for damages arising out of an accident on September 12, 2012 on Shuswap Lake which caused injuries to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that date the plaintiff, along with her husband the defendant Brian Oddy and his brother the defendant David Oddy as well as a number of other persons were on a houseboat known as the Annalise which had been hired from the defendant Waterway Partnership Equities Inc. The claim against Brian Oddy and David Oddy was abandoned. Waterway Partnership Equities Inc. accepts that for the purposes of this action it is the appropriate defendant. I will refer to it in these reasons as "the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September 12, 2012 the plaintiff and her party of relations and friends boarded the Annalise for what was intended to be a five day vacation on Shuswap Lake. Brian Oddy was the designated "captain". He had experience with houseboats such as the Annalise.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Annalise is a substantial vessel of about 60 gross tons with overnight accommodation and other facilities for numerous passengers.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Annalise left its dock with the plaintiff's party on board in the early afternoon of September 12, 2012. I need not describe in detail the instructions given to Brian Oddy. It is clear that the defendant informed Mr. Oddy of the best practices in respect of the houseboat and that Mr. Oddy assured the defendant's representative that he was familiar with the operation of a houseboat such as the Annalise.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Part of what Mr. Oddy was instructed was to moor the vessel at night by driving it bow-first onto the beach and then use mooring lines from either side of the stern of the houseboat secured to "beaching stakes" well up on the beach so that each line was at about a 45 degree angle away from the sides of the vessel. The beaching stakes were provided by the defendant along with a sledgehammer and the persons in charge of the vessel were to drive the stakes deep into the beach and attach the mooring lines to them. The lines on both sides were intended to be taut.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the afternoon of September 12, 2012 the Annalise was moored in that fashion for a brief time before a wind arose which blew it sideways. It appears the starboard beaching stake had come loose because the beach soil was "very unstable".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As Brian Oddy was attempting to manoeuvre the Annalise a group of men came along in another boat and offered to tow the Annalise off the beach. That was done and the mooring lines and beaching stakes were retrieved. There was no sign that they had been damaged.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Annalise followed the other boat to a different location on Shuswap Lake where it was again beached bow-first and moored with the taut lines and beaching stakes in the prescribed fashion. This time it was possible to drive the beaching stakes into "solid ground". There is no evidence the Annalise was improperly moored.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about 11:00 in the evening those persons on the Annalise went to bed. At about 5:00 or 5:30 the next morning the plaintiff and her husband Brian Oddy, who had been sleeping on the port side of the Annalise, were awoken by the sound of wind and saw that the port side mooring line had become slack. They realized the Annalise was drifting to that side.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had long familiarity with boats on Shuswap Lake. While her husband was dressing she moved as quickly as possible to the helm and engine controls of the Annalise. Her intention was to start the engine and turn the Annalise so that it was again bow-first to the beach. Before the plaintiff could start the engine, as she put it, "the world just blew up".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starboard beaching stake had been pulled loose by tension on the starboard mooring line and both the mooring line and beaching stake had been catapulted at high speed back towards the Annalise, shattering the windshield behind which the plaintiff was standing. The mooring line struck the plaintiff on her left side causing significant injuries. It is unknown if the plaintiff was struck by the beaching stake. A lengthy section of mooring line and the beaching stake came to rest near the plaintiff inside the Annalise. The forces applied to the beaching stake had caused it to be bent in the middle at an angle which the photographs in evidence indicate was about 15 to 20 degrees.</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The Plaintiff's Position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alleges the catapulting of the mooring line and beaching stake was caused by the defendant's failure to take reasonable care to equip the Annalise with the appropriate type of mooring line. The line used on the Annalise is alleged to have been too elastic. It was a nylon double braided line which expert evidence indicated could store energy which, when the beaching stake came loose propelled it and the mooring line rapidly towards the Annalise.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complaint of the plaintiff in essence is that the defendant ought to have used a mooring line of a type that had less elasticity. Its failure to do so was a breach of the standard of care it owed the plaintiff and the resultant accident and her injuries were reasonably foreseeable.</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The Defendant's Position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Colleen Anderson has been the operations manager of the defendant since 2011. The defendant had about 60 houseboats in operation in 2012. She testified that the defendant employs a welder who makes the beaching stakes. There is no evidence that the beaching stake on the starboard side was unfit for its intended purpose. Ms. Anderson testified the defendant began to use Nova Braid Mooring Line on its houseboats for the purpose of mooring to beaches in 2010. It purchased the mooring line from a company known as Western Marine which specializes in providing marine equipment. Ms. Anderson understood Nova Braid to be both stronger and more durable than mooring lines previously used by the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James Baldwin has been an employee of Western Marine for about 19 years. Among many other products, it is a wholesaler of rope and lines for the marine industry. Double braided nylon is widely used for mooring lines and Mr. Baldwin described Nova Braid as an "excellent all around rope".</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The Law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Lawrence v. Prince Rupert (City) and B.C. Hydro &amp; Power Authority</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2005 BCCA 567</w:t>
        </w:r>
      </w:hyperlink>
      <w:r>
        <w:rPr>
          <w:rFonts w:ascii="arial" w:eastAsia="arial" w:hAnsi="arial" w:cs="arial"/>
          <w:color w:val="000000"/>
          <w:sz w:val="20"/>
          <w:lang w:val="en-US" w:eastAsia="en-US" w:bidi="ar-SA"/>
        </w:rPr>
        <w:t xml:space="preserve">, Finch C.J.B.C. at para. 39 quoted Fridman, </w:t>
      </w:r>
      <w:r>
        <w:rPr>
          <w:rFonts w:ascii="arial" w:eastAsia="arial" w:hAnsi="arial" w:cs="arial"/>
          <w:i/>
          <w:color w:val="000000"/>
          <w:sz w:val="20"/>
          <w:lang w:val="en-US" w:eastAsia="en-US" w:bidi="ar-SA"/>
        </w:rPr>
        <w:t>The Law of Torts in Canada</w:t>
      </w:r>
      <w:r>
        <w:rPr>
          <w:rFonts w:ascii="arial" w:eastAsia="arial" w:hAnsi="arial" w:cs="arial"/>
          <w:color w:val="000000"/>
          <w:sz w:val="20"/>
          <w:lang w:val="en-US" w:eastAsia="en-US" w:bidi="ar-SA"/>
        </w:rPr>
        <w:t>, 2nd ed. at page 317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been "simply" defined as breach of a legal duty to take care which results in damage, undesired by the defendant, to the plaintiff. ...To establish such liability, </w:t>
      </w:r>
      <w:r>
        <w:rPr>
          <w:rFonts w:ascii="arial" w:eastAsia="arial" w:hAnsi="arial" w:cs="arial"/>
          <w:color w:val="000000"/>
          <w:sz w:val="20"/>
          <w:u w:val="single"/>
          <w:lang w:val="en-US" w:eastAsia="en-US" w:bidi="ar-SA"/>
        </w:rPr>
        <w:t>it is necessary for the plaintiff to show: (i) that he was owed a duty of care by the defendant</w:t>
      </w:r>
      <w:r>
        <w:rPr>
          <w:rFonts w:ascii="arial" w:eastAsia="arial" w:hAnsi="arial" w:cs="arial"/>
          <w:color w:val="000000"/>
          <w:sz w:val="20"/>
          <w:lang w:val="en-US" w:eastAsia="en-US" w:bidi="ar-SA"/>
        </w:rPr>
        <w:t xml:space="preserve">; (ii) that </w:t>
      </w:r>
      <w:r>
        <w:rPr>
          <w:rFonts w:ascii="arial" w:eastAsia="arial" w:hAnsi="arial" w:cs="arial"/>
          <w:color w:val="000000"/>
          <w:sz w:val="20"/>
          <w:u w:val="single"/>
          <w:lang w:val="en-US" w:eastAsia="en-US" w:bidi="ar-SA"/>
        </w:rPr>
        <w:t>the defendant should have observed a particular standard of care</w:t>
      </w:r>
      <w:r>
        <w:rPr>
          <w:rFonts w:ascii="arial" w:eastAsia="arial" w:hAnsi="arial" w:cs="arial"/>
          <w:color w:val="000000"/>
          <w:sz w:val="20"/>
          <w:lang w:val="en-US" w:eastAsia="en-US" w:bidi="ar-SA"/>
        </w:rPr>
        <w:t xml:space="preserve"> in order to perform or fulfill that duty; (iii) </w:t>
      </w:r>
      <w:r>
        <w:rPr>
          <w:rFonts w:ascii="arial" w:eastAsia="arial" w:hAnsi="arial" w:cs="arial"/>
          <w:color w:val="000000"/>
          <w:sz w:val="20"/>
          <w:u w:val="single"/>
          <w:lang w:val="en-US" w:eastAsia="en-US" w:bidi="ar-SA"/>
        </w:rPr>
        <w:t>that he broke his duty of care</w:t>
      </w:r>
      <w:r>
        <w:rPr>
          <w:rFonts w:ascii="arial" w:eastAsia="arial" w:hAnsi="arial" w:cs="arial"/>
          <w:color w:val="000000"/>
          <w:sz w:val="20"/>
          <w:lang w:val="en-US" w:eastAsia="en-US" w:bidi="ar-SA"/>
        </w:rPr>
        <w:t xml:space="preserve"> by failing to fulfill or observe the relevant standard of care; (iv) that </w:t>
      </w:r>
      <w:r>
        <w:rPr>
          <w:rFonts w:ascii="arial" w:eastAsia="arial" w:hAnsi="arial" w:cs="arial"/>
          <w:color w:val="000000"/>
          <w:sz w:val="20"/>
          <w:u w:val="single"/>
          <w:lang w:val="en-US" w:eastAsia="en-US" w:bidi="ar-SA"/>
        </w:rPr>
        <w:t>such breach of duty caused damage</w:t>
      </w:r>
      <w:r>
        <w:rPr>
          <w:rFonts w:ascii="arial" w:eastAsia="arial" w:hAnsi="arial" w:cs="arial"/>
          <w:color w:val="000000"/>
          <w:sz w:val="20"/>
          <w:lang w:val="en-US" w:eastAsia="en-US" w:bidi="ar-SA"/>
        </w:rPr>
        <w:t xml:space="preserve"> or loss to the plaintiff; (v) that </w:t>
      </w:r>
      <w:r>
        <w:rPr>
          <w:rFonts w:ascii="arial" w:eastAsia="arial" w:hAnsi="arial" w:cs="arial"/>
          <w:color w:val="000000"/>
          <w:sz w:val="20"/>
          <w:u w:val="single"/>
          <w:lang w:val="en-US" w:eastAsia="en-US" w:bidi="ar-SA"/>
        </w:rPr>
        <w:t>such damage was not too remote</w:t>
      </w:r>
      <w:r>
        <w:rPr>
          <w:rFonts w:ascii="arial" w:eastAsia="arial" w:hAnsi="arial" w:cs="arial"/>
          <w:color w:val="000000"/>
          <w:sz w:val="20"/>
          <w:lang w:val="en-US" w:eastAsia="en-US" w:bidi="ar-SA"/>
        </w:rPr>
        <w:t xml:space="preserve"> a consequence of the breach so as to render the defendant not liable for its occurrence. [Emphasis added.]</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have no reason to conclude the defendant did not rely on the advice of Western Marine and that it was reasonable to do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Several witnesses testified that they were not aware of any other incident in which a mooring line attached to a beaching stake in the manner required by the defendant for its houseboats had come loose and been propelled towards a houseboat.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heard considerable expert evidence about the properties of various types of mooring lines. That evidence explained why the mooring line and beaching stake were catapulted towards the Annalise of this action. That told me nothing about the defendant's knowledge of that risk at the time the mooring line was purchased.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defendant owed a duty of care to the plaintiff but the balance of the test to demonstrate actionable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not been met. The standard of care required of the defendant was to provide the Annalise with a mooring system that was reasonably fit to perform its intended purpose. The defendant purchased a mooring line from a recognized and reputable dealer in that product. I have no evidence that the defendant knew or ought to have known that Nova Braid of the type it purchased for the mooring system of the Annalise was not suitable for that purpose. In particular it had no knowledge that the mooring lines' elastic properties posed a risk. It had no duty to consult an engineer or other marine expert prior to purchasing the mooring line and no duty to warn the plaintiff of a risk that the mooring line and beaching stake could be catapulted toward the Annalise. The standard of care the law imposed on the defendant was met.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Even if there had been a breach of the appropriate duty of care the damage caused was too remote. It was not "reasonably foreseeable" as that expression is known in the law of torts. In </w:t>
      </w:r>
      <w:r>
        <w:rPr>
          <w:rFonts w:ascii="arial" w:eastAsia="arial" w:hAnsi="arial" w:cs="arial"/>
          <w:i/>
          <w:color w:val="000000"/>
          <w:sz w:val="20"/>
          <w:lang w:val="en-US" w:eastAsia="en-US" w:bidi="ar-SA"/>
        </w:rPr>
        <w:t>Mustapha v. Culligan</w:t>
      </w:r>
      <w:r>
        <w:rPr>
          <w:rFonts w:ascii="arial" w:eastAsia="arial" w:hAnsi="arial" w:cs="arial"/>
          <w:color w:val="000000"/>
          <w:sz w:val="20"/>
          <w:lang w:val="en-US" w:eastAsia="en-US" w:bidi="ar-SA"/>
        </w:rPr>
        <w:t xml:space="preserve"> of Canada Ltd., </w:t>
      </w:r>
      <w:hyperlink r:id="rId111"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at para. 13 Chief Justice McLachlin wrote:</w:t>
      </w:r>
      <w:r>
        <w:rPr>
          <w:lang w:val="en-US" w:eastAsia="en-US" w:bidi="ar-SA"/>
        </w:rPr>
        <w:cr/>
      </w:r>
    </w:p>
    <w:p>
      <w:pPr>
        <w:spacing w:line="260" w:lineRule="atLeast"/>
        <w:ind w:left="720"/>
        <w:rPr>
          <w:lang w:val="en-US" w:eastAsia="en-US" w:bidi="ar-SA"/>
        </w:rPr>
      </w:pPr>
      <w:r>
        <w:rPr>
          <w:rFonts w:ascii="arial" w:eastAsia="arial" w:hAnsi="arial" w:cs="arial"/>
          <w:color w:val="000000"/>
          <w:sz w:val="20"/>
          <w:u w:val="single"/>
          <w:lang w:val="en-US" w:eastAsia="en-US" w:bidi="ar-SA"/>
        </w:rPr>
        <w:t>Much has been written on how probable or likely a harm needs to be in order to be considered reasonably foreseeable</w:t>
      </w:r>
      <w:r>
        <w:rPr>
          <w:rFonts w:ascii="arial" w:eastAsia="arial" w:hAnsi="arial" w:cs="arial"/>
          <w:color w:val="000000"/>
          <w:sz w:val="20"/>
          <w:lang w:val="en-US" w:eastAsia="en-US" w:bidi="ar-SA"/>
        </w:rPr>
        <w:t xml:space="preserve">. The parties raise the question of whether a reasonably foreseeable harm is one whose occurrence is </w:t>
      </w:r>
      <w:r>
        <w:rPr>
          <w:rFonts w:ascii="arial" w:eastAsia="arial" w:hAnsi="arial" w:cs="arial"/>
          <w:i/>
          <w:color w:val="000000"/>
          <w:sz w:val="20"/>
          <w:lang w:val="en-US" w:eastAsia="en-US" w:bidi="ar-SA"/>
        </w:rPr>
        <w:t>probable</w:t>
      </w:r>
      <w:r>
        <w:rPr>
          <w:rFonts w:ascii="arial" w:eastAsia="arial" w:hAnsi="arial" w:cs="arial"/>
          <w:color w:val="000000"/>
          <w:sz w:val="20"/>
          <w:lang w:val="en-US" w:eastAsia="en-US" w:bidi="ar-SA"/>
        </w:rPr>
        <w:t xml:space="preserve"> or merely </w:t>
      </w:r>
      <w:r>
        <w:rPr>
          <w:rFonts w:ascii="arial" w:eastAsia="arial" w:hAnsi="arial" w:cs="arial"/>
          <w:i/>
          <w:color w:val="000000"/>
          <w:sz w:val="20"/>
          <w:lang w:val="en-US" w:eastAsia="en-US" w:bidi="ar-SA"/>
        </w:rPr>
        <w:t>possible</w:t>
      </w:r>
      <w:r>
        <w:rPr>
          <w:rFonts w:ascii="arial" w:eastAsia="arial" w:hAnsi="arial" w:cs="arial"/>
          <w:color w:val="000000"/>
          <w:sz w:val="20"/>
          <w:lang w:val="en-US" w:eastAsia="en-US" w:bidi="ar-SA"/>
        </w:rPr>
        <w:t xml:space="preserve">. In my view, these terms are misleading. Any harm which has actually occurred is "possible"; it is therefore clear that possibility alone does not provide a meaningful standard for the application of reasonable foreseeability. </w:t>
      </w:r>
      <w:r>
        <w:rPr>
          <w:rFonts w:ascii="arial" w:eastAsia="arial" w:hAnsi="arial" w:cs="arial"/>
          <w:color w:val="000000"/>
          <w:sz w:val="20"/>
          <w:u w:val="single"/>
          <w:lang w:val="en-US" w:eastAsia="en-US" w:bidi="ar-SA"/>
        </w:rPr>
        <w:t>The degree of probability that would satisfy the reasonable foreseeability requirement was described</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The Wagon Mound (No. 2)</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as a "real risk", i.e. "one which would occur to the mind of a reasonable man in the position of the defendant</w:t>
      </w:r>
      <w:r>
        <w:rPr>
          <w:rFonts w:ascii="arial" w:eastAsia="arial" w:hAnsi="arial" w:cs="arial"/>
          <w:color w:val="000000"/>
          <w:sz w:val="20"/>
          <w:lang w:val="en-US" w:eastAsia="en-US" w:bidi="ar-SA"/>
        </w:rPr>
        <w:t xml:space="preserve"> ... </w:t>
      </w:r>
      <w:r>
        <w:rPr>
          <w:rFonts w:ascii="arial" w:eastAsia="arial" w:hAnsi="arial" w:cs="arial"/>
          <w:color w:val="000000"/>
          <w:sz w:val="20"/>
          <w:u w:val="single"/>
          <w:lang w:val="en-US" w:eastAsia="en-US" w:bidi="ar-SA"/>
        </w:rPr>
        <w:t>and which he would not brush aside as far-fetched</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Overseas Tankship (U.K.) Ltd. v. Miller Steamship Co. Pty.</w:t>
      </w:r>
      <w:r>
        <w:rPr>
          <w:rFonts w:ascii="arial" w:eastAsia="arial" w:hAnsi="arial" w:cs="arial"/>
          <w:color w:val="000000"/>
          <w:sz w:val="20"/>
          <w:lang w:val="en-US" w:eastAsia="en-US" w:bidi="ar-SA"/>
        </w:rPr>
        <w:t>, [1967] A.C. 617, at p. 643). [Emphasis added.]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Staley v. Hazell</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[1990] B.C.J. No. 930</w:t>
        </w:r>
      </w:hyperlink>
      <w:r>
        <w:rPr>
          <w:rFonts w:ascii="arial" w:eastAsia="arial" w:hAnsi="arial" w:cs="arial"/>
          <w:color w:val="000000"/>
          <w:sz w:val="20"/>
          <w:lang w:val="en-US" w:eastAsia="en-US" w:bidi="ar-SA"/>
        </w:rPr>
        <w:t xml:space="preserve"> McKenzie J. dismissed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in the circumstance where a tow rope on a waterskiing boat broke and "went back across the plaintiff's face" causing injury. At page 7 of his reasons McKenzie J. wrote: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I do not believe that this was a foreseeable event. Mr. Carpentir in his 25 years of water skiing had only heard of one similar injury. No other witnesses knew of another. In my view it was a freak accident unforeseeable by the reasonable person. It follows that the defendant had no duty to warn the plaintiff of this potential danger.</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my opinion the sudden release of the beaching stake and its propulsion through the windshield of the Annalise was unforeseeable. It "would not have occurred to the mind of a reasonable man in the position of the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action must be dismissed.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K.N. AFFLECK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8179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3"/>
          <w:headerReference w:type="default" r:id="rId114"/>
          <w:footerReference w:type="even" r:id="rId115"/>
          <w:footerReference w:type="default" r:id="rId116"/>
          <w:headerReference w:type="first" r:id="rId117"/>
          <w:footerReference w:type="first" r:id="rId11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9" w:history="1">
        <w:r>
          <w:rPr>
            <w:rFonts w:ascii="arial" w:eastAsia="arial" w:hAnsi="arial" w:cs="arial"/>
            <w:b/>
            <w:bCs/>
            <w:i/>
            <w:color w:val="0077CC"/>
            <w:kern w:val="32"/>
            <w:sz w:val="28"/>
            <w:szCs w:val="32"/>
            <w:u w:val="single"/>
            <w:shd w:val="clear" w:color="auto" w:fill="FFFFFF"/>
            <w:lang w:val="en-US" w:eastAsia="en-US" w:bidi="ar-SA"/>
          </w:rPr>
          <w:t>Parmar v. Blenz the Canadian Coffee Company Ltd., [2008] B.C.J. No. 1891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J.M. Gropper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8,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7,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S041926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1891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1338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69 C.C.E.L. (3d) 103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CarswellBC 2102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171 A.C.W.S. (3d) 814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Jaspal Parmar, Mya Enterprises Corporation, Elme Wadi, Wadi Coffee Limited, Peggy Lemaire, Xavier Lemaire and Mekvent Enterprises Limited, Plaintiffs, and Blenz the Canadian Coffee Company Ltd., Kad Coffee Co. Ltd., Blenz Coffee Ltd., Michael Golden, Michael Golden Law Corporation,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7"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4" w:name="Keywords_6"/>
      <w:bookmarkEnd w:id="44"/>
      <w:r>
        <w:rPr>
          <w:rFonts w:ascii="arial" w:eastAsia="arial" w:hAnsi="arial" w:cs="arial"/>
          <w:b/>
          <w:color w:val="000000"/>
          <w:sz w:val="20"/>
          <w:lang w:val="en-US" w:eastAsia="en-US" w:bidi="ar-SA"/>
        </w:rPr>
        <w:t>Civil litigation — Civil procedure — Trials — Jury trials — Jury notice — Setting aside or striking out — Application by the Blenz defendants and the lawyer defendants to set aside the jury notice dismissed — The principal issues involved whether there was negligent misrepresentation and whether the franchise agreements had been breached — Thus, the application of the agreements was the central issue to be determined, not their construction or interpretation — Furthermore, the Court was not convinced that the matter was too complex or too intricate for a jury to consider — Rules of Court, Rule 10(1) (b), Rule 39(25)(j), Rule 39(27).</w:t>
      </w:r>
    </w:p>
    <w:p>
      <w:pPr>
        <w:jc w:val="both"/>
        <w:rPr>
          <w:rFonts w:ascii="arial" w:eastAsia="arial" w:hAnsi="arial" w:cs="arial"/>
          <w:sz w:val="20"/>
          <w:lang w:val="en-US" w:eastAsia="en-US" w:bidi="ar-SA"/>
        </w:rPr>
      </w:pPr>
      <w:bookmarkStart w:id="45" w:name="Legislation Cited_3"/>
      <w:bookmarkEnd w:id="4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8" style="position:absolute;z-index:2517166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of Court, B.C. Reg. 221/90, Rule 10(1)(b), Rule 39(25) (j), Rule 39(27)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6" w:name="Counsel_6"/>
      <w:bookmarkEnd w:id="4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9" style="position:absolute;z-index:2517678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Jaspal Parmar and Mya Enterprises Corporation: D.W. Lahay.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Blenz the Canadian Coffee Company Ltd. and Blenz Coffee Ltd.: J.D. Shields.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Michael Golden and Michael Golden Law Corporation: N.J. Hopewell.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7" w:name="Judgment_6"/>
      <w:bookmarkEnd w:id="47"/>
      <w:r>
        <w:pict>
          <v:line id="_x0000_s1060" style="position:absolute;z-index:2518190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Ruling on Application to set aside Jury Notice</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8" w:name="J.M. GROPPER J."/>
            <w:bookmarkEnd w:id="48"/>
            <w:r>
              <w:rPr>
                <w:rFonts w:ascii="arial" w:eastAsia="arial" w:hAnsi="arial" w:cs="arial"/>
                <w:b/>
                <w:color w:val="000000"/>
                <w:sz w:val="30"/>
                <w:lang w:val="en-US" w:eastAsia="en-US" w:bidi="ar-SA"/>
              </w:rPr>
              <w:t>J.M. GROPPER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July 6, 2007 the plaintiffs, Jaspal Parmar and Mya Enterprises Corporation, filed a notice requiring a trial by jury. The defendants Blenz the Canadian Coffee Company Ltd. and Blenz Coffee Ltd. (the "Blenz defendants") and defendants Michael Golden and Michael Golden Law Corporation (the "lawyer defendants") apply, pursuant to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 to set aside the jury notice on two bases:</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principal question at issue is the construction of oral and written contracts; and</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are too complex for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Nature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filed their further amended statement of claim on April 18,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describe their claim as "simple" as against the Blenz defendants. Mr. Parmar says that he was induced by the Blenz defendants' misrepresentations to purchase one of its coffee franchises in September 2001 to operate a store in Coquitlam. He was charged approximately $250,000 by the Blenz defendants. The store failed. He alleges that the Blenz defendants are liable for negligent misrepresentation and breach of duty of good faith. Particularly, he relied on the representations contained on a Blenz document called "pro-forma" which projected the future sales for a Blenz franchise in as $655,000 in the first year; $800,000 in the second year; and $880,000 in the third year. The document projected net operating profit for those three years. The pro-forma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Projected Annual Sales, Gross Profits and Operating Costs are estimates only, but are based on the actual performance and financial statements of similar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Parmar says that he has uncovered a document called a "sales report" listing 28 Blenz franchise stores. It contains columns for "Annualized Sales" and for "Sales Projections." None of the 28 Blenz stores listed had actual sales of $800,000 in any year. The plaintiffs say that on average, the sales report demonstrates that the sales are "hundreds of thousands of dollars lower than the projections for the Coquitlam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Parmar is an officer and director of Mya Enterprises. Mya Enterprises carried on the business of the franchise at the Coquitlam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say that the actual sales figures for the Coquitlam store never came close to the sales projections referred to in the pro forma. The store failed after losing money for two years. Blenz then revoked the franchise.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also claim that the Blenz defendants agreed to build the store and that the plaintiffs would pay what it cost the Blenz defendants. While Blenz charged the cost of construction to the plaintiffs, the Blenz defendants did not show the plaintiffs what it paid for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plaintiffs claim against the lawyer defendants for damages based on an allegation of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General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There is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right to a jury. The onus of persuasion is on the party seeking to set aside the jury notice and it is not easily satisfied: </w:t>
      </w:r>
      <w:r>
        <w:rPr>
          <w:rFonts w:ascii="arial" w:eastAsia="arial" w:hAnsi="arial" w:cs="arial"/>
          <w:b/>
          <w:i/>
          <w:color w:val="000000"/>
          <w:sz w:val="20"/>
          <w:lang w:val="en-US" w:eastAsia="en-US" w:bidi="ar-SA"/>
        </w:rPr>
        <w:t>MacPherson v. Czaban</w:t>
      </w:r>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2002 BCCA 518</w:t>
        </w:r>
      </w:hyperlink>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218 D.L.R. (4th) 363</w:t>
        </w:r>
      </w:hyperlink>
      <w:r>
        <w:rPr>
          <w:rFonts w:ascii="arial" w:eastAsia="arial" w:hAnsi="arial" w:cs="arial"/>
          <w:color w:val="000000"/>
          <w:sz w:val="20"/>
          <w:lang w:val="en-US" w:eastAsia="en-US" w:bidi="ar-SA"/>
        </w:rPr>
        <w:t>, at para. 17 per MacKenzie J.A. and para. 25 per Newbury J.A.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A litigant should not be deprived of the right to a jury. It must be clearly exempted by law. It is only where such an exemption applies that the right should be refused: </w:t>
      </w:r>
      <w:r>
        <w:rPr>
          <w:rFonts w:ascii="arial" w:eastAsia="arial" w:hAnsi="arial" w:cs="arial"/>
          <w:b/>
          <w:i/>
          <w:color w:val="000000"/>
          <w:sz w:val="20"/>
          <w:lang w:val="en-US" w:eastAsia="en-US" w:bidi="ar-SA"/>
        </w:rPr>
        <w:t>McDonald v. Inland Natural Gas Co.</w:t>
      </w:r>
      <w:r>
        <w:rPr>
          <w:rFonts w:ascii="arial" w:eastAsia="arial" w:hAnsi="arial" w:cs="arial"/>
          <w:color w:val="000000"/>
          <w:sz w:val="20"/>
          <w:lang w:val="en-US" w:eastAsia="en-US" w:bidi="ar-SA"/>
        </w:rPr>
        <w:t xml:space="preserve"> (1996), 57 W.W.R. 87 (BCCA) at p. 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Rules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Rule 39(25)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trial shall be heard by the court without a jury where it relates to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matter referred to in Rule 10(1)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Rule 10(1) provides: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application, other than an interlocutory application or an application in the nature of an appeal, may be made by originating application where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sole or principal question at issue is alleged to be one of construction of an ... oral or written contract, or other document,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Rule 39(27)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Except in cases of defamation, false imprisonment and malicious prosecution, a party to whom a notice under subrule (26) has been delivered may apply</w:t>
      </w:r>
    </w:p>
    <w:p>
      <w:pPr>
        <w:numPr>
          <w:numId w:val="6"/>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7 days for an order that the trial or part of it be heard by the court without a jury on the ground that</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require prolonged examination of documents or accounts or a scientific or local investigation which cannot be made conveniently with a jury, or</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are of an intricate or complex character, or</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time for an order that the trial be heard by the court without a jury on the ground that it relates to one of the matters referred to subrule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 the principal issue the construction of oral or written contracts (Rule 29(25) and Rule 10(1))?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Blenz defendants rely on </w:t>
      </w:r>
      <w:r>
        <w:rPr>
          <w:rFonts w:ascii="arial" w:eastAsia="arial" w:hAnsi="arial" w:cs="arial"/>
          <w:b/>
          <w:i/>
          <w:color w:val="000000"/>
          <w:sz w:val="20"/>
          <w:lang w:val="en-US" w:eastAsia="en-US" w:bidi="ar-SA"/>
        </w:rPr>
        <w:t>Salem v. Priority Building Services Ltd.</w:t>
      </w:r>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2003 BCSC 159</w:t>
        </w:r>
      </w:hyperlink>
      <w:r>
        <w:rPr>
          <w:rFonts w:ascii="arial" w:eastAsia="arial" w:hAnsi="arial" w:cs="arial"/>
          <w:color w:val="000000"/>
          <w:sz w:val="20"/>
          <w:lang w:val="en-US" w:eastAsia="en-US" w:bidi="ar-SA"/>
        </w:rPr>
        <w:t xml:space="preserve"> in asserting that "the current state of the law in British Columbia, particularly in regard to complicated issues between franchisor and franchisee, is that a jury trial is not permitted."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Blenz defendants assert that the interpretation of documents is a primary issue. The question for the trier of fact will be whether there was a breach of terms of several contractual documents. It will require interpretation of at least five contractual documents including the franchise agreement, the sublease, the head lease, the assignment agreement, and the agreement for legal services. The issues before the trier of fact will also include unconscionability, which invokes the equitable jurisdiction of the court. A jury may not exercise the court's equitable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Blenz defendants refer to </w:t>
      </w:r>
      <w:r>
        <w:rPr>
          <w:rFonts w:ascii="arial" w:eastAsia="arial" w:hAnsi="arial" w:cs="arial"/>
          <w:b/>
          <w:i/>
          <w:color w:val="000000"/>
          <w:sz w:val="20"/>
          <w:lang w:val="en-US" w:eastAsia="en-US" w:bidi="ar-SA"/>
        </w:rPr>
        <w:t>Johnson v. Global Television Network Inc.</w:t>
      </w:r>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2005 BCSC 1360</w:t>
        </w:r>
      </w:hyperlink>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47 C.C.P.B. 211</w:t>
        </w:r>
      </w:hyperlink>
      <w:r>
        <w:rPr>
          <w:rFonts w:ascii="arial" w:eastAsia="arial" w:hAnsi="arial" w:cs="arial"/>
          <w:color w:val="000000"/>
          <w:sz w:val="20"/>
          <w:lang w:val="en-US" w:eastAsia="en-US" w:bidi="ar-SA"/>
        </w:rPr>
        <w:t>, where the court found, in a wrongful dismissal action, the principal question to be determined involved the construction of the oral and or written contract of employment between the plaintiff and the defendant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Peters v. Co-operators Life Insurance Co.</w:t>
      </w:r>
      <w:r>
        <w:rPr>
          <w:rFonts w:ascii="arial" w:eastAsia="arial" w:hAnsi="arial" w:cs="arial"/>
          <w:color w:val="000000"/>
          <w:sz w:val="20"/>
          <w:lang w:val="en-US" w:eastAsia="en-US" w:bidi="ar-SA"/>
        </w:rPr>
        <w:t xml:space="preserve">, </w:t>
      </w:r>
      <w:hyperlink r:id="rId123" w:history="1">
        <w:r>
          <w:rPr>
            <w:rFonts w:ascii="arial" w:eastAsia="arial" w:hAnsi="arial" w:cs="arial"/>
            <w:i/>
            <w:color w:val="0077CC"/>
            <w:sz w:val="20"/>
            <w:u w:val="single"/>
            <w:shd w:val="clear" w:color="auto" w:fill="FFFFFF"/>
            <w:lang w:val="en-US" w:eastAsia="en-US" w:bidi="ar-SA"/>
          </w:rPr>
          <w:t>2007 BCSC 1103</w:t>
        </w:r>
      </w:hyperlink>
      <w:r>
        <w:rPr>
          <w:rFonts w:ascii="arial" w:eastAsia="arial" w:hAnsi="arial" w:cs="arial"/>
          <w:color w:val="000000"/>
          <w:sz w:val="20"/>
          <w:lang w:val="en-US" w:eastAsia="en-US" w:bidi="ar-SA"/>
        </w:rPr>
        <w:t xml:space="preserve">, </w:t>
      </w:r>
      <w:hyperlink r:id="rId123" w:history="1">
        <w:r>
          <w:rPr>
            <w:rFonts w:ascii="arial" w:eastAsia="arial" w:hAnsi="arial" w:cs="arial"/>
            <w:i/>
            <w:color w:val="0077CC"/>
            <w:sz w:val="20"/>
            <w:u w:val="single"/>
            <w:shd w:val="clear" w:color="auto" w:fill="FFFFFF"/>
            <w:lang w:val="en-US" w:eastAsia="en-US" w:bidi="ar-SA"/>
          </w:rPr>
          <w:t>74 B.C.L.R. (4th) 161</w:t>
        </w:r>
      </w:hyperlink>
      <w:r>
        <w:rPr>
          <w:rFonts w:ascii="arial" w:eastAsia="arial" w:hAnsi="arial" w:cs="arial"/>
          <w:color w:val="000000"/>
          <w:sz w:val="20"/>
          <w:lang w:val="en-US" w:eastAsia="en-US" w:bidi="ar-SA"/>
        </w:rPr>
        <w:t>, the court refers to the requirement that a trial judge determine equitable claims because it is only the court that has the right to exercise equitable jurisdiction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lawyer defendants support the Blenz defendants. They refer to cases where the courts have set aside a jury notice in disputes between clients and solicitors: </w:t>
      </w:r>
      <w:r>
        <w:rPr>
          <w:rFonts w:ascii="arial" w:eastAsia="arial" w:hAnsi="arial" w:cs="arial"/>
          <w:b/>
          <w:i/>
          <w:color w:val="000000"/>
          <w:sz w:val="20"/>
          <w:lang w:val="en-US" w:eastAsia="en-US" w:bidi="ar-SA"/>
        </w:rPr>
        <w:t>Lopushinsky v. Spraggs</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2000 BCSC 222</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Daniel v. McCrea</w:t>
      </w:r>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2006 BCSC 1220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plaintiffs assert that the principal issue in this case is not the construction of any contract; rather, it is a case involving the application of the terms of the contract. The plaintiffs say that the existence of the contracts is not in issue, and that they have not put the construction of any contract or clause in issue. A jury may decide whether a contract existed and whether it was breached. These are questions of mixed fact and law: </w:t>
      </w:r>
      <w:r>
        <w:rPr>
          <w:rFonts w:ascii="arial" w:eastAsia="arial" w:hAnsi="arial" w:cs="arial"/>
          <w:b/>
          <w:i/>
          <w:color w:val="000000"/>
          <w:sz w:val="20"/>
          <w:lang w:val="en-US" w:eastAsia="en-US" w:bidi="ar-SA"/>
        </w:rPr>
        <w:t>Zaworski v. Carrier Lumber Ltd.</w:t>
      </w:r>
      <w:r>
        <w:rPr>
          <w:rFonts w:ascii="arial" w:eastAsia="arial" w:hAnsi="arial" w:cs="arial"/>
          <w:color w:val="000000"/>
          <w:sz w:val="20"/>
          <w:lang w:val="en-US" w:eastAsia="en-US" w:bidi="ar-SA"/>
        </w:rPr>
        <w:t xml:space="preserve">, </w:t>
      </w:r>
      <w:hyperlink r:id="rId126" w:history="1">
        <w:r>
          <w:rPr>
            <w:rFonts w:ascii="arial" w:eastAsia="arial" w:hAnsi="arial" w:cs="arial"/>
            <w:i/>
            <w:color w:val="0077CC"/>
            <w:sz w:val="20"/>
            <w:u w:val="single"/>
            <w:shd w:val="clear" w:color="auto" w:fill="FFFFFF"/>
            <w:lang w:val="en-US" w:eastAsia="en-US" w:bidi="ar-SA"/>
          </w:rPr>
          <w:t>2004 BCSC 194</w:t>
        </w:r>
      </w:hyperlink>
      <w:r>
        <w:rPr>
          <w:rFonts w:ascii="arial" w:eastAsia="arial" w:hAnsi="arial" w:cs="arial"/>
          <w:color w:val="000000"/>
          <w:sz w:val="20"/>
          <w:lang w:val="en-US" w:eastAsia="en-US" w:bidi="ar-SA"/>
        </w:rPr>
        <w:t xml:space="preserve">. A jury can decide matters of fact such as whether representations were or were not made, what they were, whether there was reliance, and if damage resulted. A jury can also decide questions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pleading of unconscionability, the plaintiffs say, is an allegation that there was inequality in the positions of the parties, which is something that can be determined by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plaintiffs argue that the courts have made a distinction between the construction and application of a contract: </w:t>
      </w:r>
      <w:r>
        <w:rPr>
          <w:rFonts w:ascii="arial" w:eastAsia="arial" w:hAnsi="arial" w:cs="arial"/>
          <w:b/>
          <w:i/>
          <w:color w:val="000000"/>
          <w:sz w:val="20"/>
          <w:lang w:val="en-US" w:eastAsia="en-US" w:bidi="ar-SA"/>
        </w:rPr>
        <w:t>Salem</w:t>
      </w:r>
      <w:r>
        <w:rPr>
          <w:rFonts w:ascii="arial" w:eastAsia="arial" w:hAnsi="arial" w:cs="arial"/>
          <w:color w:val="000000"/>
          <w:sz w:val="20"/>
          <w:lang w:val="en-US" w:eastAsia="en-US" w:bidi="ar-SA"/>
        </w:rPr>
        <w:t xml:space="preserve">. The plaintiffs say </w:t>
      </w:r>
      <w:r>
        <w:rPr>
          <w:rFonts w:ascii="arial" w:eastAsia="arial" w:hAnsi="arial" w:cs="arial"/>
          <w:b/>
          <w:i/>
          <w:color w:val="000000"/>
          <w:sz w:val="20"/>
          <w:lang w:val="en-US" w:eastAsia="en-US" w:bidi="ar-SA"/>
        </w:rPr>
        <w:t>Salem</w:t>
      </w:r>
      <w:r>
        <w:rPr>
          <w:rFonts w:ascii="arial" w:eastAsia="arial" w:hAnsi="arial" w:cs="arial"/>
          <w:color w:val="000000"/>
          <w:sz w:val="20"/>
          <w:lang w:val="en-US" w:eastAsia="en-US" w:bidi="ar-SA"/>
        </w:rPr>
        <w:t xml:space="preserve"> does not suggest that a jury cannot hear disputes between a franchisor and franchisees. The court in </w:t>
      </w:r>
      <w:r>
        <w:rPr>
          <w:rFonts w:ascii="arial" w:eastAsia="arial" w:hAnsi="arial" w:cs="arial"/>
          <w:b/>
          <w:i/>
          <w:color w:val="000000"/>
          <w:sz w:val="20"/>
          <w:lang w:val="en-US" w:eastAsia="en-US" w:bidi="ar-SA"/>
        </w:rPr>
        <w:t>Salem</w:t>
      </w:r>
      <w:r>
        <w:rPr>
          <w:rFonts w:ascii="arial" w:eastAsia="arial" w:hAnsi="arial" w:cs="arial"/>
          <w:color w:val="000000"/>
          <w:sz w:val="20"/>
          <w:lang w:val="en-US" w:eastAsia="en-US" w:bidi="ar-SA"/>
        </w:rPr>
        <w:t xml:space="preserve"> applied the construction/application distinction and determined that even if the facts were found in the plaintiff's favour, there still remained questions that required the construction of the franchise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construction/application distinction is discussed in </w:t>
      </w:r>
      <w:r>
        <w:rPr>
          <w:rFonts w:ascii="arial" w:eastAsia="arial" w:hAnsi="arial" w:cs="arial"/>
          <w:b/>
          <w:i/>
          <w:color w:val="000000"/>
          <w:sz w:val="20"/>
          <w:lang w:val="en-US" w:eastAsia="en-US" w:bidi="ar-SA"/>
        </w:rPr>
        <w:t>Peters</w:t>
      </w:r>
      <w:r>
        <w:rPr>
          <w:rFonts w:ascii="arial" w:eastAsia="arial" w:hAnsi="arial" w:cs="arial"/>
          <w:color w:val="000000"/>
          <w:sz w:val="20"/>
          <w:lang w:val="en-US" w:eastAsia="en-US" w:bidi="ar-SA"/>
        </w:rPr>
        <w:t xml:space="preserve"> and the plaintiffs rely on that case in respect of the distinction, but assert that the trial judge's conclusion at para. 24 "that if a case involves an issue of interpretation, then a jury trial is not available. It does not matter how central that question is to the litigation" is applying too strict a test and is at odds with a number of other decisions: </w:t>
      </w:r>
      <w:r>
        <w:rPr>
          <w:rFonts w:ascii="arial" w:eastAsia="arial" w:hAnsi="arial" w:cs="arial"/>
          <w:b/>
          <w:i/>
          <w:color w:val="000000"/>
          <w:sz w:val="20"/>
          <w:lang w:val="en-US" w:eastAsia="en-US" w:bidi="ar-SA"/>
        </w:rPr>
        <w:t>Manley v. Chilliwack General Hospital</w:t>
      </w:r>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2000 BCSC 649</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Penner v. Great-West Life Assurance Co.</w:t>
      </w:r>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2002 BCSC 1131</w:t>
        </w:r>
      </w:hyperlink>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41 C.C.L.I. (3d) 254</w:t>
        </w:r>
      </w:hyperlink>
      <w:r>
        <w:rPr>
          <w:rFonts w:ascii="arial" w:eastAsia="arial" w:hAnsi="arial" w:cs="arial"/>
          <w:color w:val="000000"/>
          <w:sz w:val="20"/>
          <w:lang w:val="en-US" w:eastAsia="en-US" w:bidi="ar-SA"/>
        </w:rPr>
        <w:t>. The plaintiffs rely on those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Manley</w:t>
      </w:r>
      <w:r>
        <w:rPr>
          <w:rFonts w:ascii="arial" w:eastAsia="arial" w:hAnsi="arial" w:cs="arial"/>
          <w:color w:val="000000"/>
          <w:sz w:val="20"/>
          <w:lang w:val="en-US" w:eastAsia="en-US" w:bidi="ar-SA"/>
        </w:rPr>
        <w:t>, the court found that the issue for the jury would not "revolve around construing the terms of the contract between the parties." It would rather revolve around the question of whether there is a contract "a mixed question of fact and law" and whether it was breached. The court concluded that while "there might be some interpretation issues presented, on the facts these will not be the sole or principal issues for the jury" (at para. 34) despite that "interjection of the contract issue complicates the matters before the jury" both in regard to their consideration of some of the evidence and the calculation of damages (at para.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Penner</w:t>
      </w:r>
      <w:r>
        <w:rPr>
          <w:rFonts w:ascii="arial" w:eastAsia="arial" w:hAnsi="arial" w:cs="arial"/>
          <w:color w:val="000000"/>
          <w:sz w:val="20"/>
          <w:lang w:val="en-US" w:eastAsia="en-US" w:bidi="ar-SA"/>
        </w:rPr>
        <w:t xml:space="preserve"> adopts the reasoning in </w:t>
      </w:r>
      <w:r>
        <w:rPr>
          <w:rFonts w:ascii="arial" w:eastAsia="arial" w:hAnsi="arial" w:cs="arial"/>
          <w:b/>
          <w:i/>
          <w:color w:val="000000"/>
          <w:sz w:val="20"/>
          <w:lang w:val="en-US" w:eastAsia="en-US" w:bidi="ar-SA"/>
        </w:rPr>
        <w:t>Manley</w:t>
      </w:r>
      <w:r>
        <w:rPr>
          <w:rFonts w:ascii="arial" w:eastAsia="arial" w:hAnsi="arial" w:cs="arial"/>
          <w:color w:val="000000"/>
          <w:sz w:val="20"/>
          <w:lang w:val="en-US" w:eastAsia="en-US" w:bidi="ar-SA"/>
        </w:rPr>
        <w:t>. The court found that while the interpretation of some of the provisions of the contract may be required, "[i]n relation to most of the provisions, the issue will likely turn on whether the provision applies, not what, in the context of the contract, does the provision mean" (at para. 16). The court concluded that if the principal issues in the case involve matters of fact, it cannot be said that the principal issues concern the construction of an enactment or a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plaintiffs refer to </w:t>
      </w:r>
      <w:r>
        <w:rPr>
          <w:rFonts w:ascii="arial" w:eastAsia="arial" w:hAnsi="arial" w:cs="arial"/>
          <w:b/>
          <w:i/>
          <w:color w:val="000000"/>
          <w:sz w:val="20"/>
          <w:lang w:val="en-US" w:eastAsia="en-US" w:bidi="ar-SA"/>
        </w:rPr>
        <w:t>Collette v. Cartier Partners Securities Inc.,</w:t>
      </w:r>
      <w:r>
        <w:rPr>
          <w:rFonts w:ascii="arial" w:eastAsia="arial" w:hAnsi="arial" w:cs="arial"/>
          <w:color w:val="000000"/>
          <w:sz w:val="20"/>
          <w:lang w:val="en-US" w:eastAsia="en-US" w:bidi="ar-SA"/>
        </w:rPr>
        <w:t xml:space="preserve"> </w:t>
      </w:r>
      <w:hyperlink r:id="rId129" w:history="1">
        <w:r>
          <w:rPr>
            <w:rFonts w:ascii="arial" w:eastAsia="arial" w:hAnsi="arial" w:cs="arial"/>
            <w:i/>
            <w:color w:val="0077CC"/>
            <w:sz w:val="20"/>
            <w:u w:val="single"/>
            <w:shd w:val="clear" w:color="auto" w:fill="FFFFFF"/>
            <w:lang w:val="en-US" w:eastAsia="en-US" w:bidi="ar-SA"/>
          </w:rPr>
          <w:t>2005 BCSC 501</w:t>
        </w:r>
      </w:hyperlink>
      <w:r>
        <w:rPr>
          <w:rFonts w:ascii="arial" w:eastAsia="arial" w:hAnsi="arial" w:cs="arial"/>
          <w:color w:val="000000"/>
          <w:sz w:val="20"/>
          <w:lang w:val="en-US" w:eastAsia="en-US" w:bidi="ar-SA"/>
        </w:rPr>
        <w:t xml:space="preserve">, </w:t>
      </w:r>
      <w:hyperlink r:id="rId129" w:history="1">
        <w:r>
          <w:rPr>
            <w:rFonts w:ascii="arial" w:eastAsia="arial" w:hAnsi="arial" w:cs="arial"/>
            <w:i/>
            <w:color w:val="0077CC"/>
            <w:sz w:val="20"/>
            <w:u w:val="single"/>
            <w:shd w:val="clear" w:color="auto" w:fill="FFFFFF"/>
            <w:lang w:val="en-US" w:eastAsia="en-US" w:bidi="ar-SA"/>
          </w:rPr>
          <w:t>43 B.C.L.R. (4th) 140</w:t>
        </w:r>
      </w:hyperlink>
      <w:r>
        <w:rPr>
          <w:rFonts w:ascii="arial" w:eastAsia="arial" w:hAnsi="arial" w:cs="arial"/>
          <w:color w:val="000000"/>
          <w:sz w:val="20"/>
          <w:lang w:val="en-US" w:eastAsia="en-US" w:bidi="ar-SA"/>
        </w:rPr>
        <w:t>, where the court considered a jury notice that had been filed in a class action proceeding. The court concluded that the defendant, who was seeking to set aside the jury notice, "must demonstrate that in reality, [the] main or central issue to be tried' squarely falls within one of the subject matters enumerated in Rule 39(25)"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respect of the lawyer defendants, the plaintiffs refer to </w:t>
      </w:r>
      <w:r>
        <w:rPr>
          <w:rFonts w:ascii="arial" w:eastAsia="arial" w:hAnsi="arial" w:cs="arial"/>
          <w:b/>
          <w:i/>
          <w:color w:val="000000"/>
          <w:sz w:val="20"/>
          <w:lang w:val="en-US" w:eastAsia="en-US" w:bidi="ar-SA"/>
        </w:rPr>
        <w:t>Whiteway v. Nyack</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[1980] B.C.J. No. 993</w:t>
        </w:r>
      </w:hyperlink>
      <w:r>
        <w:rPr>
          <w:rFonts w:ascii="arial" w:eastAsia="arial" w:hAnsi="arial" w:cs="arial"/>
          <w:color w:val="000000"/>
          <w:sz w:val="20"/>
          <w:lang w:val="en-US" w:eastAsia="en-US" w:bidi="ar-SA"/>
        </w:rPr>
        <w:t xml:space="preserve"> (BCCA), where the plaintiff's action was for a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statement of claim pleaded a breach of the solicitor/client contract by the defendants and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defendants. The court found that those matters were appropriate for trial by jury, as the construction of the contract was not the "main or central" issue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Finally, the plaintiffs rely on the decision of </w:t>
      </w:r>
      <w:r>
        <w:rPr>
          <w:rFonts w:ascii="arial" w:eastAsia="arial" w:hAnsi="arial" w:cs="arial"/>
          <w:b/>
          <w:i/>
          <w:color w:val="000000"/>
          <w:sz w:val="20"/>
          <w:lang w:val="en-US" w:eastAsia="en-US" w:bidi="ar-SA"/>
        </w:rPr>
        <w:t>Modonese v. H.A. Simons (International) Ltd.</w:t>
      </w:r>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(1987), 19 B.C.L.R. (2d) 164</w:t>
        </w:r>
      </w:hyperlink>
      <w:r>
        <w:rPr>
          <w:rFonts w:ascii="arial" w:eastAsia="arial" w:hAnsi="arial" w:cs="arial"/>
          <w:color w:val="000000"/>
          <w:sz w:val="20"/>
          <w:lang w:val="en-US" w:eastAsia="en-US" w:bidi="ar-SA"/>
        </w:rPr>
        <w:t xml:space="preserve"> (C.A.), where the court found that a jury was appropriate in a wrongful dismissal case. The defendant sought trial by jury on the basis that the principal question to be tried was the construction of an oral contract. The court concluded that there was one question relating to whether the contract was for project-based employment but it was not the principal issue in the wrongful dismissal action (at p. 164).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further amended statement of claim, filed April 18, 2008, makes numerous references to the franchise agreements, which include the statements made in the pro-forma, the franchise agreement, the sub lease, the head lease, the assignment agreement, and the agreement for legal services. The plaintiffs claim that the Blenz defendants breached those contracts. The statements of defence of both the Blenz defendants and the lawyer defendants rely on legal defences arising from the franchise agreements including limitation exceptions, estoppels, and disclaimers. There may be aspects touching upon the construction of written and oral contracts at the trial. The question, however, is whether the construction of the written or oral contracts is the principal issue to be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that regard, I refer to the test in the decisions of </w:t>
      </w:r>
      <w:r>
        <w:rPr>
          <w:rFonts w:ascii="arial" w:eastAsia="arial" w:hAnsi="arial" w:cs="arial"/>
          <w:b/>
          <w:i/>
          <w:color w:val="000000"/>
          <w:sz w:val="20"/>
          <w:lang w:val="en-US" w:eastAsia="en-US" w:bidi="ar-SA"/>
        </w:rPr>
        <w:t>Manley</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Penner</w:t>
      </w:r>
      <w:r>
        <w:rPr>
          <w:rFonts w:ascii="arial" w:eastAsia="arial" w:hAnsi="arial" w:cs="arial"/>
          <w:color w:val="000000"/>
          <w:sz w:val="20"/>
          <w:lang w:val="en-US" w:eastAsia="en-US" w:bidi="ar-SA"/>
        </w:rPr>
        <w:t xml:space="preserve">: is the construction of the contract the sole or principal issue? Those cases, in my view, accord with the wording of Rule 39(25) and Rule 10(1)(b).and are consistent with the jurisprudence. I agree with the plaintiffs that the test adopted in </w:t>
      </w:r>
      <w:r>
        <w:rPr>
          <w:rFonts w:ascii="arial" w:eastAsia="arial" w:hAnsi="arial" w:cs="arial"/>
          <w:b/>
          <w:i/>
          <w:color w:val="000000"/>
          <w:sz w:val="20"/>
          <w:lang w:val="en-US" w:eastAsia="en-US" w:bidi="ar-SA"/>
        </w:rPr>
        <w:t>Peters</w:t>
      </w:r>
      <w:r>
        <w:rPr>
          <w:rFonts w:ascii="arial" w:eastAsia="arial" w:hAnsi="arial" w:cs="arial"/>
          <w:color w:val="000000"/>
          <w:sz w:val="20"/>
          <w:lang w:val="en-US" w:eastAsia="en-US" w:bidi="ar-SA"/>
        </w:rPr>
        <w:t xml:space="preserve"> is too strict. If the conclusion in </w:t>
      </w:r>
      <w:r>
        <w:rPr>
          <w:rFonts w:ascii="arial" w:eastAsia="arial" w:hAnsi="arial" w:cs="arial"/>
          <w:b/>
          <w:i/>
          <w:color w:val="000000"/>
          <w:sz w:val="20"/>
          <w:lang w:val="en-US" w:eastAsia="en-US" w:bidi="ar-SA"/>
        </w:rPr>
        <w:t>Peters</w:t>
      </w:r>
      <w:r>
        <w:rPr>
          <w:rFonts w:ascii="arial" w:eastAsia="arial" w:hAnsi="arial" w:cs="arial"/>
          <w:color w:val="000000"/>
          <w:sz w:val="20"/>
          <w:lang w:val="en-US" w:eastAsia="en-US" w:bidi="ar-SA"/>
        </w:rPr>
        <w:t xml:space="preserve"> was the test to be applied, clearly a jury trial would not be available in this case; however, as per </w:t>
      </w:r>
      <w:r>
        <w:rPr>
          <w:rFonts w:ascii="arial" w:eastAsia="arial" w:hAnsi="arial" w:cs="arial"/>
          <w:b/>
          <w:i/>
          <w:color w:val="000000"/>
          <w:sz w:val="20"/>
          <w:lang w:val="en-US" w:eastAsia="en-US" w:bidi="ar-SA"/>
        </w:rPr>
        <w:t>Manley</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Penner,</w:t>
      </w:r>
      <w:r>
        <w:rPr>
          <w:rFonts w:ascii="arial" w:eastAsia="arial" w:hAnsi="arial" w:cs="arial"/>
          <w:color w:val="000000"/>
          <w:sz w:val="20"/>
          <w:lang w:val="en-US" w:eastAsia="en-US" w:bidi="ar-SA"/>
        </w:rPr>
        <w:t xml:space="preserve"> the test is that construction of the contract must be the main or central question in the litigation. This interpretation represents the state of the law today and accords with the words of Rule 39(25) and Rule 10(1)(b).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This is not a case about construction of the agreement. The principal issues in this case are whether there were representations made in the franchise agreements, whether those statements were negligent, and whether there has been a breach of the franchise agreements. In other words, it is the application of the franchise agreements that is the central issue in this case, it is not their interpretation.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This case is close to the line; however, I am guided by the general principles regarding the right to a jury trial, which require the litigant be clearly within the exception of the </w:t>
      </w:r>
      <w:r>
        <w:rPr>
          <w:rFonts w:ascii="arial" w:eastAsia="arial" w:hAnsi="arial" w:cs="arial"/>
          <w:b/>
          <w:i/>
          <w:color w:val="000000"/>
          <w:sz w:val="20"/>
          <w:lang w:val="en-US" w:eastAsia="en-US" w:bidi="ar-SA"/>
        </w:rPr>
        <w:t>Rules</w:t>
      </w:r>
      <w:r>
        <w:rPr>
          <w:rFonts w:ascii="arial" w:eastAsia="arial" w:hAnsi="arial" w:cs="arial"/>
          <w:color w:val="000000"/>
          <w:sz w:val="20"/>
          <w:lang w:val="en-US" w:eastAsia="en-US" w:bidi="ar-SA"/>
        </w:rPr>
        <w:t>, and that it is a substantial onus of persuasion on the applicant seeking to set aside the jury notice to show that the party who selected the trial by jury is not entitled to that mode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This was stated recently in the decision of </w:t>
      </w:r>
      <w:r>
        <w:rPr>
          <w:rFonts w:ascii="arial" w:eastAsia="arial" w:hAnsi="arial" w:cs="arial"/>
          <w:b/>
          <w:i/>
          <w:color w:val="000000"/>
          <w:sz w:val="20"/>
          <w:lang w:val="en-US" w:eastAsia="en-US" w:bidi="ar-SA"/>
        </w:rPr>
        <w:t>Han v. Cho</w:t>
      </w:r>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2008 BCSC 1192</w:t>
        </w:r>
      </w:hyperlink>
      <w:r>
        <w:rPr>
          <w:rFonts w:ascii="arial" w:eastAsia="arial" w:hAnsi="arial" w:cs="arial"/>
          <w:color w:val="000000"/>
          <w:sz w:val="20"/>
          <w:lang w:val="en-US" w:eastAsia="en-US" w:bidi="ar-SA"/>
        </w:rPr>
        <w:t>, where Griffin J., reviewed the historical origin of the rule regulating the availability of a trial by jury and the principles of statutory interpretation, and concluded at para. 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historical origin of the rule regulating the availability of trial by jury in civil matters shows that the rule was not conceived as a restriction on the common law right to trial by jury. Thus, to the extent that exclusions under the rule might be read as expanding beyond their original subject matter, they would be a restriction of a common law right. As such, the exclusions must be construed narrowly.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Griffin J. also rejected, though not expressly, the principle arising out of </w:t>
      </w:r>
      <w:r>
        <w:rPr>
          <w:rFonts w:ascii="arial" w:eastAsia="arial" w:hAnsi="arial" w:cs="arial"/>
          <w:b/>
          <w:i/>
          <w:color w:val="000000"/>
          <w:sz w:val="20"/>
          <w:lang w:val="en-US" w:eastAsia="en-US" w:bidi="ar-SA"/>
        </w:rPr>
        <w:t>Peters</w:t>
      </w:r>
      <w:r>
        <w:rPr>
          <w:rFonts w:ascii="arial" w:eastAsia="arial" w:hAnsi="arial" w:cs="arial"/>
          <w:color w:val="000000"/>
          <w:sz w:val="20"/>
          <w:lang w:val="en-US" w:eastAsia="en-US" w:bidi="ar-SA"/>
        </w:rPr>
        <w:t>, at para.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review of the case law interpreting Rule 39(25), the historical origins of the rule, and principles of statutory interpretation leads to the conclusion that whether a trial relates to' a matter pursuant to the Rule means something more than touches on or is in any way concerned' one of the excluded matters. The Rule must be read as meaning that one of the excluded matters is the main or central focus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construction of the franchise agreements is not the main or central focus of the trial. I therefore decline to set aside the jury notice on this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Do the issues require prolonged examination of documents or accounts or scientific or local investigation or are the issues of an intricate or complex character (Rule 39(27))?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Blenz defendants submit that the trial will involve prolonged examinations of documents and accounts including the franchise agreement, which is 39 pages, the sub lease, which is seven pages, the head lease, which is 80 pages, and the assignment agreement, which is four pages. The plaintiffs will argue the interpretations of each and want an accounting relating to operation of the franchise, the advertising fund, and the construction of the Coquitlam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Blenz defendants assert that there are many issues of an intricate or complex character including the interpretation of at least five contractual documents, at least four separate defendants and two different plaintiffs, difficult and complicated issues of misrepresentation, consideration,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duty, obligations of franchisors, reliance, causation, damages,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mitigation, standing, and obligations of lawyers as well as legal defences, equitable defences, and various claims for costs. The Blenz defendants submit that any one of these issues should bar a trial by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defendants rely on </w:t>
      </w:r>
      <w:r>
        <w:rPr>
          <w:rFonts w:ascii="arial" w:eastAsia="arial" w:hAnsi="arial" w:cs="arial"/>
          <w:b/>
          <w:i/>
          <w:color w:val="000000"/>
          <w:sz w:val="20"/>
          <w:lang w:val="en-US" w:eastAsia="en-US" w:bidi="ar-SA"/>
        </w:rPr>
        <w:t>Salem</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Lopushinsky</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Peters</w:t>
      </w:r>
      <w:r>
        <w:rPr>
          <w:rFonts w:ascii="arial" w:eastAsia="arial" w:hAnsi="arial" w:cs="arial"/>
          <w:color w:val="000000"/>
          <w:sz w:val="20"/>
          <w:lang w:val="en-US" w:eastAsia="en-US" w:bidi="ar-SA"/>
        </w:rPr>
        <w:t xml:space="preserve">. They also rely on </w:t>
      </w:r>
      <w:r>
        <w:rPr>
          <w:rFonts w:ascii="arial" w:eastAsia="arial" w:hAnsi="arial" w:cs="arial"/>
          <w:b/>
          <w:i/>
          <w:color w:val="000000"/>
          <w:sz w:val="20"/>
          <w:lang w:val="en-US" w:eastAsia="en-US" w:bidi="ar-SA"/>
        </w:rPr>
        <w:t>Liu (Litigation Guardian of) v. Chu</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2007 BCSC 974</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Clower v. Poeckert</w:t>
      </w:r>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2007 BCSC 409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lawyer defendants assert that although there is no overriding principle that the plaintiffs are not entitled to a trial by jury in a case involving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there are special considerations in such an action which normally result in proceeding without a jury: </w:t>
      </w:r>
      <w:r>
        <w:rPr>
          <w:rFonts w:ascii="arial" w:eastAsia="arial" w:hAnsi="arial" w:cs="arial"/>
          <w:b/>
          <w:i/>
          <w:color w:val="000000"/>
          <w:sz w:val="20"/>
          <w:lang w:val="en-US" w:eastAsia="en-US" w:bidi="ar-SA"/>
        </w:rPr>
        <w:t>472060 B.C. Ltd. v. Eagle Crest Properties Ltd.</w:t>
      </w:r>
      <w:r>
        <w:rPr>
          <w:rFonts w:ascii="arial" w:eastAsia="arial" w:hAnsi="arial" w:cs="arial"/>
          <w:color w:val="000000"/>
          <w:sz w:val="20"/>
          <w:lang w:val="en-US" w:eastAsia="en-US" w:bidi="ar-SA"/>
        </w:rPr>
        <w:t xml:space="preserve">, </w:t>
      </w:r>
      <w:hyperlink r:id="rId135" w:history="1">
        <w:r>
          <w:rPr>
            <w:rFonts w:ascii="arial" w:eastAsia="arial" w:hAnsi="arial" w:cs="arial"/>
            <w:i/>
            <w:color w:val="0077CC"/>
            <w:sz w:val="20"/>
            <w:u w:val="single"/>
            <w:shd w:val="clear" w:color="auto" w:fill="FFFFFF"/>
            <w:lang w:val="en-US" w:eastAsia="en-US" w:bidi="ar-SA"/>
          </w:rPr>
          <w:t>2001 BCSC 1799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Cederland v. Bilkey</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2001 BCSC 1152</w:t>
        </w:r>
      </w:hyperlink>
      <w:r>
        <w:rPr>
          <w:rFonts w:ascii="arial" w:eastAsia="arial" w:hAnsi="arial" w:cs="arial"/>
          <w:color w:val="000000"/>
          <w:sz w:val="20"/>
          <w:lang w:val="en-US" w:eastAsia="en-US" w:bidi="ar-SA"/>
        </w:rPr>
        <w:t xml:space="preserve">. The lawyer defendants also rely on </w:t>
      </w:r>
      <w:r>
        <w:rPr>
          <w:rFonts w:ascii="arial" w:eastAsia="arial" w:hAnsi="arial" w:cs="arial"/>
          <w:b/>
          <w:i/>
          <w:color w:val="000000"/>
          <w:sz w:val="20"/>
          <w:lang w:val="en-US" w:eastAsia="en-US" w:bidi="ar-SA"/>
        </w:rPr>
        <w:t>Lopushinsky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lawyer defendants further argue that the issues before the court are of sufficient number and complexity that they should be determined by judge alone. Specifically, they argue the court will be left to determine the issues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whether Mr. Golden breached his duty to the plaintiffs, what the standard of care required of a solicitor in the circumstances is, as well as whether the actions of the legal defendants or the actions of the plaintiffs caused the alleged losses. It will be a difficult task, the lawyer defendants assert, for the court to differentiate between the legal issues, which are for the court to determine, and the factual issues, which are to be left to the jury. Further, the lawyer defendants submit it will be difficult to formulate the charge to the jury: </w:t>
      </w:r>
      <w:r>
        <w:rPr>
          <w:rFonts w:ascii="arial" w:eastAsia="arial" w:hAnsi="arial" w:cs="arial"/>
          <w:b/>
          <w:i/>
          <w:color w:val="000000"/>
          <w:sz w:val="20"/>
          <w:lang w:val="en-US" w:eastAsia="en-US" w:bidi="ar-SA"/>
        </w:rPr>
        <w:t>United Services Funds v. Richardson Greenshields of Canada Ltd.</w:t>
      </w:r>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(1987), 16 B.C.L.R. (2d) 196</w:t>
        </w:r>
      </w:hyperlink>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[1987] B.C.J. No. 1453</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plaintiffs rely on </w:t>
      </w:r>
      <w:r>
        <w:rPr>
          <w:rFonts w:ascii="arial" w:eastAsia="arial" w:hAnsi="arial" w:cs="arial"/>
          <w:b/>
          <w:i/>
          <w:color w:val="000000"/>
          <w:sz w:val="20"/>
          <w:lang w:val="en-US" w:eastAsia="en-US" w:bidi="ar-SA"/>
        </w:rPr>
        <w:t>Manley</w:t>
      </w:r>
      <w:r>
        <w:rPr>
          <w:rFonts w:ascii="arial" w:eastAsia="arial" w:hAnsi="arial" w:cs="arial"/>
          <w:color w:val="000000"/>
          <w:sz w:val="20"/>
          <w:lang w:val="en-US" w:eastAsia="en-US" w:bidi="ar-SA"/>
        </w:rPr>
        <w:t>. They say that despite the presence of conflicting expert opinion and the interjection of contract issues and complicated damage calculations in that case, the court concluded that the right to a jury trial was not displaced. The plaintiffs argue that while there are a number of documents on various lists of documents, only a few will be used in the trial. The plaintiffs say that the defendants' evidence is that it no longer has most of its historical documentation. The plaintiffs also say admissions obtained through examinations for discovery may obviate the need to produce most of the documents. They also suggest that a document agreement will substantially reduce the number of documents and the extent of documentation that will be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plaintiffs also rely on </w:t>
      </w:r>
      <w:r>
        <w:rPr>
          <w:rFonts w:ascii="arial" w:eastAsia="arial" w:hAnsi="arial" w:cs="arial"/>
          <w:b/>
          <w:i/>
          <w:color w:val="000000"/>
          <w:sz w:val="20"/>
          <w:lang w:val="en-US" w:eastAsia="en-US" w:bidi="ar-SA"/>
        </w:rPr>
        <w:t>Penner</w:t>
      </w:r>
      <w:r>
        <w:rPr>
          <w:rFonts w:ascii="arial" w:eastAsia="arial" w:hAnsi="arial" w:cs="arial"/>
          <w:color w:val="000000"/>
          <w:sz w:val="20"/>
          <w:lang w:val="en-US" w:eastAsia="en-US" w:bidi="ar-SA"/>
        </w:rPr>
        <w:t>, which concludes at para. 17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trend in the law is this Province is to allow cases to go to juries, even though complex and scientific evidence must be considered and evaluated. The complexity in this case certainly does not fall outside those types of cases allowed to go to 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regard to the lawyer defendants, the plaintiffs rely on </w:t>
      </w:r>
      <w:r>
        <w:rPr>
          <w:rFonts w:ascii="arial" w:eastAsia="arial" w:hAnsi="arial" w:cs="arial"/>
          <w:b/>
          <w:i/>
          <w:color w:val="000000"/>
          <w:sz w:val="20"/>
          <w:lang w:val="en-US" w:eastAsia="en-US" w:bidi="ar-SA"/>
        </w:rPr>
        <w:t>Whiteway</w:t>
      </w:r>
      <w:r>
        <w:rPr>
          <w:rFonts w:ascii="arial" w:eastAsia="arial" w:hAnsi="arial" w:cs="arial"/>
          <w:color w:val="000000"/>
          <w:sz w:val="20"/>
          <w:lang w:val="en-US" w:eastAsia="en-US" w:bidi="ar-SA"/>
        </w:rPr>
        <w:t xml:space="preserve"> where the court considered that there were a number of documents disclosed by the list of documents and the jury would not have to examine them, but rather consider them. It would not be necessary for the jury to construe them, and not to construe all of them (at paras. 16-18).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plaintiffs also rely on </w:t>
      </w:r>
      <w:r>
        <w:rPr>
          <w:rFonts w:ascii="arial" w:eastAsia="arial" w:hAnsi="arial" w:cs="arial"/>
          <w:b/>
          <w:i/>
          <w:color w:val="000000"/>
          <w:sz w:val="20"/>
          <w:lang w:val="en-US" w:eastAsia="en-US" w:bidi="ar-SA"/>
        </w:rPr>
        <w:t>World Wide Treasure Adventure Ltd. v. Ralph</w:t>
      </w:r>
      <w:r>
        <w:rPr>
          <w:rFonts w:ascii="arial" w:eastAsia="arial" w:hAnsi="arial" w:cs="arial"/>
          <w:color w:val="000000"/>
          <w:sz w:val="20"/>
          <w:lang w:val="en-US" w:eastAsia="en-US" w:bidi="ar-SA"/>
        </w:rPr>
        <w:t xml:space="preserve">, </w:t>
      </w:r>
      <w:hyperlink r:id="rId138" w:history="1">
        <w:r>
          <w:rPr>
            <w:rFonts w:ascii="arial" w:eastAsia="arial" w:hAnsi="arial" w:cs="arial"/>
            <w:i/>
            <w:color w:val="0077CC"/>
            <w:sz w:val="20"/>
            <w:u w:val="single"/>
            <w:shd w:val="clear" w:color="auto" w:fill="FFFFFF"/>
            <w:lang w:val="en-US" w:eastAsia="en-US" w:bidi="ar-SA"/>
          </w:rPr>
          <w:t>5 B.C.L.R. (3d) 190</w:t>
        </w:r>
      </w:hyperlink>
      <w:r>
        <w:rPr>
          <w:rFonts w:ascii="arial" w:eastAsia="arial" w:hAnsi="arial" w:cs="arial"/>
          <w:color w:val="000000"/>
          <w:sz w:val="20"/>
          <w:lang w:val="en-US" w:eastAsia="en-US" w:bidi="ar-SA"/>
        </w:rPr>
        <w:t xml:space="preserve">, </w:t>
      </w:r>
      <w:hyperlink r:id="rId138" w:history="1">
        <w:r>
          <w:rPr>
            <w:rFonts w:ascii="arial" w:eastAsia="arial" w:hAnsi="arial" w:cs="arial"/>
            <w:i/>
            <w:color w:val="0077CC"/>
            <w:sz w:val="20"/>
            <w:u w:val="single"/>
            <w:shd w:val="clear" w:color="auto" w:fill="FFFFFF"/>
            <w:lang w:val="en-US" w:eastAsia="en-US" w:bidi="ar-SA"/>
          </w:rPr>
          <w:t>[1995] B.C.J. No. 579</w:t>
        </w:r>
      </w:hyperlink>
      <w:r>
        <w:rPr>
          <w:rFonts w:ascii="arial" w:eastAsia="arial" w:hAnsi="arial" w:cs="arial"/>
          <w:color w:val="000000"/>
          <w:sz w:val="20"/>
          <w:lang w:val="en-US" w:eastAsia="en-US" w:bidi="ar-SA"/>
        </w:rPr>
        <w:t xml:space="preserve"> (S.C.). That case involved a lawyer's misappropriation of funds. In response to the defendant's application to strike the jury notice, the court referred to modern juries having sufficient sophistication to decide difficult criminal cases, which may include multiple accused persons represented by separate counsel and having different defences. The jury may have to apply special rules of law relating to conspiracy, circumstantial evidence, and other matters. The court comments, "[a]ll this juries seem, with only rare exceptions, to achieve admirably"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defendants have conducted an intricate analysis of the statement of claim. They note that the plaintiffs claim is based on negligent misrepresentation, breach of duty of good faith, breach of an alleged collateral agreement, equitable relief based on unconscionability, and several breaches of the franchise agreement. The claim raises issues of breach of contract, accounting, agency, alleged duty of good faith, breach of alleged fiduciary duty, and disgorgement of alleged profits among others. The damages claim is for lost profits, loss of opportunity, damage to the business, claims for loss of reputation, and punitive and aggravated damages. The statement of defence of the Blenz defendants is 14 pages in length and raises issues of reliance, estimates and representations, an entire agreement clause, interpretation of the assignment agreement, legal and equitable defences, standing, and the role of the lawyer defendants and breach of the franchise agreement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claim against the lawyer defendants includes a claim against an officer of the court and claims in law and equity. In </w:t>
      </w:r>
      <w:r>
        <w:rPr>
          <w:rFonts w:ascii="arial" w:eastAsia="arial" w:hAnsi="arial" w:cs="arial"/>
          <w:b/>
          <w:i/>
          <w:color w:val="000000"/>
          <w:sz w:val="20"/>
          <w:lang w:val="en-US" w:eastAsia="en-US" w:bidi="ar-SA"/>
        </w:rPr>
        <w:t>Liu</w:t>
      </w:r>
      <w:r>
        <w:rPr>
          <w:rFonts w:ascii="arial" w:eastAsia="arial" w:hAnsi="arial" w:cs="arial"/>
          <w:color w:val="000000"/>
          <w:sz w:val="20"/>
          <w:lang w:val="en-US" w:eastAsia="en-US" w:bidi="ar-SA"/>
        </w:rPr>
        <w:t>, the court set aside the jury notice in an occupier's liability case where the plaintiff suffered a traumatic brain injury. The court found that the critical issues would have to be addressed by expert evidence and concluded at para. 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having reviewed the evidence placed before me in this application, this trial will unquestionably involve a scientific investigation and an attendant prolonged examination of documents in the form of clinical, hospital and consultative records, the results of a broad range of test compiled over time, a substantial number of medical/legal reports forming the basis of the scientific opinions at issue and ... [a] lengthy and comprehensive cost of future care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court concluded that the issues were of an intricate and complex nature and it is "crucial that the trier of fact absorb, understand and retain a substantial amount of both scientific detail and theory in grappling with the difficult issues in this case" (at para. 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Ultimately, the court concluded at para. 60, that the evidence and issues in the trial "given the dominance of the need to explore intricate details, complex concepts over non-scientific fact finding are not conducive to a fair and just result through a jury trial given its inherent pressures of time and the personal circumstances of jurors."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A similar conclusion was reached by the court of </w:t>
      </w:r>
      <w:r>
        <w:rPr>
          <w:rFonts w:ascii="arial" w:eastAsia="arial" w:hAnsi="arial" w:cs="arial"/>
          <w:b/>
          <w:i/>
          <w:color w:val="000000"/>
          <w:sz w:val="20"/>
          <w:lang w:val="en-US" w:eastAsia="en-US" w:bidi="ar-SA"/>
        </w:rPr>
        <w:t>Lopushinsky</w:t>
      </w:r>
      <w:r>
        <w:rPr>
          <w:rFonts w:ascii="arial" w:eastAsia="arial" w:hAnsi="arial" w:cs="arial"/>
          <w:color w:val="000000"/>
          <w:sz w:val="20"/>
          <w:lang w:val="en-US" w:eastAsia="en-US" w:bidi="ar-SA"/>
        </w:rPr>
        <w:t xml:space="preserve">, involving a solicitor and client dispute. In that case the court, relying on statements made by Cohen J. in </w:t>
      </w:r>
      <w:r>
        <w:rPr>
          <w:rFonts w:ascii="arial" w:eastAsia="arial" w:hAnsi="arial" w:cs="arial"/>
          <w:b/>
          <w:i/>
          <w:color w:val="000000"/>
          <w:sz w:val="20"/>
          <w:lang w:val="en-US" w:eastAsia="en-US" w:bidi="ar-SA"/>
        </w:rPr>
        <w:t>Yewdale v. Insurance Corp. of British Columbia</w:t>
      </w:r>
      <w:r>
        <w:rPr>
          <w:rFonts w:ascii="arial" w:eastAsia="arial" w:hAnsi="arial" w:cs="arial"/>
          <w:color w:val="000000"/>
          <w:sz w:val="20"/>
          <w:lang w:val="en-US" w:eastAsia="en-US" w:bidi="ar-SA"/>
        </w:rPr>
        <w:t xml:space="preserve"> </w:t>
      </w:r>
      <w:hyperlink r:id="rId139" w:history="1">
        <w:r>
          <w:rPr>
            <w:rFonts w:ascii="arial" w:eastAsia="arial" w:hAnsi="arial" w:cs="arial"/>
            <w:i/>
            <w:color w:val="0077CC"/>
            <w:sz w:val="20"/>
            <w:u w:val="single"/>
            <w:shd w:val="clear" w:color="auto" w:fill="FFFFFF"/>
            <w:lang w:val="en-US" w:eastAsia="en-US" w:bidi="ar-SA"/>
          </w:rPr>
          <w:t>(1994), 1 B.C.L.R. (3d) 278</w:t>
        </w:r>
      </w:hyperlink>
      <w:r>
        <w:rPr>
          <w:rFonts w:ascii="arial" w:eastAsia="arial" w:hAnsi="arial" w:cs="arial"/>
          <w:color w:val="000000"/>
          <w:sz w:val="20"/>
          <w:lang w:val="en-US" w:eastAsia="en-US" w:bidi="ar-SA"/>
        </w:rPr>
        <w:t xml:space="preserve"> (S.C.) at 285, concluded that the management of facts and issues would be more suitable for hearing by a judge alone; and the complexity of the case if heard by a jury, would give them no opportunity for thoughtful and timely consideration or reconsideration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court in </w:t>
      </w:r>
      <w:r>
        <w:rPr>
          <w:rFonts w:ascii="arial" w:eastAsia="arial" w:hAnsi="arial" w:cs="arial"/>
          <w:b/>
          <w:i/>
          <w:color w:val="000000"/>
          <w:sz w:val="20"/>
          <w:lang w:val="en-US" w:eastAsia="en-US" w:bidi="ar-SA"/>
        </w:rPr>
        <w:t>Lopushinsky</w:t>
      </w:r>
      <w:r>
        <w:rPr>
          <w:rFonts w:ascii="arial" w:eastAsia="arial" w:hAnsi="arial" w:cs="arial"/>
          <w:color w:val="000000"/>
          <w:sz w:val="20"/>
          <w:lang w:val="en-US" w:eastAsia="en-US" w:bidi="ar-SA"/>
        </w:rPr>
        <w:t xml:space="preserve"> determined that the trier of fact would have to consider such legal matters as negligent and fraudulent misrepresentation, economic duress,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fiduciary duties. Additionally, the trier of fact would have to consider whether there existed a conflict of interest and whether, in the circumstances, the contingency fee agreements were fair and reasonable. The court concluded that these matters are sufficiently complex to require an order that the trial be heard by a judge alone who has the opportunity to consider the facts, issues, and submissions in a less-rushed way that is more likely to result in a satisfactory trial (at paras. 20-22).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same conclusions were reached in </w:t>
      </w:r>
      <w:r>
        <w:rPr>
          <w:rFonts w:ascii="arial" w:eastAsia="arial" w:hAnsi="arial" w:cs="arial"/>
          <w:b/>
          <w:i/>
          <w:color w:val="000000"/>
          <w:sz w:val="20"/>
          <w:lang w:val="en-US" w:eastAsia="en-US" w:bidi="ar-SA"/>
        </w:rPr>
        <w:t>472060 B.C. Ltd.</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Cedarland</w:t>
      </w:r>
      <w:r>
        <w:rPr>
          <w:rFonts w:ascii="arial" w:eastAsia="arial" w:hAnsi="arial" w:cs="arial"/>
          <w:color w:val="000000"/>
          <w:sz w:val="20"/>
          <w:lang w:val="en-US" w:eastAsia="en-US" w:bidi="ar-SA"/>
        </w:rPr>
        <w:t>, where claims against lawyers were considered to involve a level of complexity and intricacy that made them unsuitable for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Manley</w:t>
      </w:r>
      <w:r>
        <w:rPr>
          <w:rFonts w:ascii="arial" w:eastAsia="arial" w:hAnsi="arial" w:cs="arial"/>
          <w:color w:val="000000"/>
          <w:sz w:val="20"/>
          <w:lang w:val="en-US" w:eastAsia="en-US" w:bidi="ar-SA"/>
        </w:rPr>
        <w:t>, the court stated at para.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approach the "convenience" and "intricate and complex character" criteria under Rule 39(27)(a) with full confidence in the ability of a properly instructed jury to do its job properly and intelligently. And I appreciate that it is not a light burden which rests on the defendants to displace the plaintiff's right to her jury. As McEachern (then C.J.S.C.) said in </w:t>
      </w:r>
      <w:r>
        <w:rPr>
          <w:rFonts w:ascii="arial" w:eastAsia="arial" w:hAnsi="arial" w:cs="arial"/>
          <w:i/>
          <w:color w:val="000000"/>
          <w:sz w:val="20"/>
          <w:lang w:val="en-US" w:eastAsia="en-US" w:bidi="ar-SA"/>
        </w:rPr>
        <w:t>Mewhort v. Firmer</w:t>
      </w:r>
      <w:r>
        <w:rPr>
          <w:rFonts w:ascii="arial" w:eastAsia="arial" w:hAnsi="arial" w:cs="arial"/>
          <w:color w:val="000000"/>
          <w:sz w:val="20"/>
          <w:lang w:val="en-US" w:eastAsia="en-US" w:bidi="ar-SA"/>
        </w:rPr>
        <w:t xml:space="preserve"> (1980), 19 C.P.C. 59 (BCSC) (at 63), while the trial of a case with a jury may not be the most convenient mode of trial, that is not enough to displace the right of the plaintiff to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Penner</w:t>
      </w:r>
      <w:r>
        <w:rPr>
          <w:rFonts w:ascii="arial" w:eastAsia="arial" w:hAnsi="arial" w:cs="arial"/>
          <w:color w:val="000000"/>
          <w:sz w:val="20"/>
          <w:lang w:val="en-US" w:eastAsia="en-US" w:bidi="ar-SA"/>
        </w:rPr>
        <w:t xml:space="preserve"> followed that reasoning and adopted it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World Wide</w:t>
      </w:r>
      <w:r>
        <w:rPr>
          <w:rFonts w:ascii="arial" w:eastAsia="arial" w:hAnsi="arial" w:cs="arial"/>
          <w:color w:val="000000"/>
          <w:sz w:val="20"/>
          <w:lang w:val="en-US" w:eastAsia="en-US" w:bidi="ar-SA"/>
        </w:rPr>
        <w:t>, the court considered the issue of complexity in a case involving a lawyer's misappropriation of funds. In considering whether to strike the jury notice, the court stated at para. 11 and para.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important to remember that modern juries are not comprised of uneducated and unsophisticated yokels. They are routinely called upon to decide difficult criminal cases. Not infrequently such cases involve multiple accused persons all represented by separate counsel and with different defenses. Many such cases require juries to apply special rules in respect of the law relating to conspiracy, circumstantial evidence and other matters. Likewise they must keep in mind and apply judicial cautions in respect of the evidence of eye witnesses, accomplices and others. All this juries seem, with only rare exceptions, to achieve admirably.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is no reason why eight lay persons (or at least six of them) should not, with appropriate judicial instruction, be able to render a just verdict according to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 agree with the plaintiffs that the matter is not unduly complex. It involves the plaintiffs' claim that as a result of representations made to him by the Blenz defendants, and with legal advice from the lawyer defendants that did not meet the requisite standard of care, the plaintiffs acquired a Blenz franchise which then failed. The shopping list of claims, defences, and documents referred to in the defendants' submissions do not convince me that the matter is too complex or intricate for a jury. I agree with the comments of the court in </w:t>
      </w:r>
      <w:r>
        <w:rPr>
          <w:rFonts w:ascii="arial" w:eastAsia="arial" w:hAnsi="arial" w:cs="arial"/>
          <w:b/>
          <w:i/>
          <w:color w:val="000000"/>
          <w:sz w:val="20"/>
          <w:lang w:val="en-US" w:eastAsia="en-US" w:bidi="ar-SA"/>
        </w:rPr>
        <w:t>World Wide</w:t>
      </w:r>
      <w:r>
        <w:rPr>
          <w:rFonts w:ascii="arial" w:eastAsia="arial" w:hAnsi="arial" w:cs="arial"/>
          <w:color w:val="000000"/>
          <w:sz w:val="20"/>
          <w:lang w:val="en-US" w:eastAsia="en-US" w:bidi="ar-SA"/>
        </w:rPr>
        <w:t>, that the confidence which is reposed in juries in a criminal matter is significant and that the same competence should be assumed for a civil jury. Again, it is a substantial onus on the defendants to displace the plaintiffs' common law right to a jury. I am not persuaded that this matter is too intricate for a jury to consider. I decline to set aside the jury notice on this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defendants' application to strike the jury notice is dismissed.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J.M. GROPPER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1" style="position:absolute;z-index:2518671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46" w:history="1">
        <w:r>
          <w:rPr>
            <w:rFonts w:ascii="arial" w:eastAsia="arial" w:hAnsi="arial" w:cs="arial"/>
            <w:b/>
            <w:bCs/>
            <w:i/>
            <w:color w:val="0077CC"/>
            <w:kern w:val="32"/>
            <w:sz w:val="28"/>
            <w:szCs w:val="32"/>
            <w:u w:val="single"/>
            <w:shd w:val="clear" w:color="auto" w:fill="FFFFFF"/>
            <w:lang w:val="en-US" w:eastAsia="en-US" w:bidi="ar-SA"/>
          </w:rPr>
          <w:t>Pavan v. Guolo, [2016] B.C.J. No. 25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G.D. Burnyeat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30, October 1 and 2,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8,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M122794, M123759, M120546, M123762, M121540, S121076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262 A.C.W.S. (3d) 1094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94 M.V.R. (6th) 290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CarswellBC 28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Roberto Angelo Pavan, Plaintiff, and Remo Guolo and Canusa Limos Ltd., Defendants And between Julie K. Savage-Wade, Plaintiff, and Brown Bros. Motor Lease Canada Ltd. dba Brown Bros. Motor Lease, Brown Bros. Motor Lease, Canusa Limos Ltd., Remo Guolo and Roberto Angelo Pavan, Defendants And between Patrick William Evans, Plaintiff, and Brown Bros. Motor Lease Canada Ltd., dba Brown Bros. Motor Lease, Brown Bros. Motor Lease, Canusa Limos Ltd., Remo Guolo and Roberto Angelo Pavan, Defendants And between Cheryl Skaar, Plaintiff, and Brown Bros. Motor Lease Canada Ltd., dba Brown Bros. Motor Lease, Brown Bros. Motor Lease, Canusa Limos Ltd., Remo Guolo and Roberto Angelo Pavan, Defendants And between Dean E. Butler, Plaintiff, and Brown Bros. Motor Lease Canada Ltd., dba Brown Bros. Motor Lease, Brown Bros. Motor Lease, Canusa Limos Ltd., Remo Guolo and Roberto Angelo Pavan, Defendants And between Edonna A. Fisher, Plaintiff, and Brown Bros. Motor Lease Canada Ltd., dba Brown Bros. Motor Lease, Brown Bros. Motor Lease, Canusa Limos Ltd., Remo Guolo and Roberto Angelo Pavan,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2"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9" w:name="Keywords_7"/>
      <w:bookmarkEnd w:id="49"/>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Rules of the road — Action by Pavan and the other plaintiffs for a determination that the defendants were liable for the damages that resulted from a motor vehicle collision allowed — A vehicle driven by Pavan and a vehicle driven by the defendant Guolo collided at an intersection — Guolo was obligated to stop his vehicle when he saw the light turn from green to amber if he could safely do so — Instead, he increased the speed of his vehicle — Pavan was entitled to proceed through the green light as he did and he took all reasonable steps to avoid the collision.</w:t>
      </w:r>
    </w:p>
    <w:p>
      <w:pPr>
        <w:jc w:val="both"/>
        <w:rPr>
          <w:rFonts w:ascii="arial" w:eastAsia="arial" w:hAnsi="arial" w:cs="arial"/>
          <w:sz w:val="20"/>
          <w:lang w:val="en-US" w:eastAsia="en-US" w:bidi="ar-SA"/>
        </w:rPr>
      </w:pPr>
      <w:bookmarkStart w:id="50" w:name="Legislation Cited_4"/>
      <w:bookmarkEnd w:id="5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3" style="position:absolute;z-index:2517176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147" w:history="1">
        <w:r>
          <w:rPr>
            <w:rFonts w:ascii="arial" w:eastAsia="arial" w:hAnsi="arial" w:cs="arial"/>
            <w:i/>
            <w:color w:val="0077CC"/>
            <w:sz w:val="20"/>
            <w:u w:val="single"/>
            <w:shd w:val="clear" w:color="auto" w:fill="FFFFFF"/>
            <w:lang w:val="en-US" w:eastAsia="en-US" w:bidi="ar-SA"/>
          </w:rPr>
          <w:t>R.S.B.C. 1996 c.318, s. 127(1)(a)</w:t>
        </w:r>
      </w:hyperlink>
      <w:r>
        <w:rPr>
          <w:rFonts w:ascii="arial" w:eastAsia="arial" w:hAnsi="arial" w:cs="arial"/>
          <w:color w:val="000000"/>
          <w:sz w:val="20"/>
          <w:lang w:val="en-US" w:eastAsia="en-US" w:bidi="ar-SA"/>
        </w:rPr>
        <w:t>, s. 128(1) (a), s. 129(1)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51" w:name="Counsel_7"/>
      <w:bookmarkEnd w:id="5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4" style="position:absolute;z-index:2517688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in M122794: V.J. Leblanc, J.R. Kendall.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Plaintiff in M123759, M120546, M123762, M121540 and S121976: S.W. Urquhart.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in M122794: N.S. Gill.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Brown Bros. Motor Lease Canada Ltd., dba Brown Bros. Motor Lease, Canusa Limos Ltd. and Remo Guolo in M123759, M120546, M123762, M121540 and S121076: R.C. Brun,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Roberto Angelo Pavan in M123759, M120546, M123762, M121540 and S121076: D.H. Taylor.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2" w:name="Judgment_7"/>
      <w:bookmarkEnd w:id="52"/>
      <w:r>
        <w:pict>
          <v:line id="_x0000_s1065" style="position:absolute;z-index:2518200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3" w:name="G.D. BURNYEAT J."/>
            <w:bookmarkEnd w:id="53"/>
            <w:r>
              <w:rPr>
                <w:rFonts w:ascii="arial" w:eastAsia="arial" w:hAnsi="arial" w:cs="arial"/>
                <w:b/>
                <w:color w:val="000000"/>
                <w:sz w:val="30"/>
                <w:lang w:val="en-US" w:eastAsia="en-US" w:bidi="ar-SA"/>
              </w:rPr>
              <w:t>G.D. BURNYEAT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part of this Trial only deals with the question of liability. A vehicle driven by Mr. Pavan and a vehicle driven by Mr. Guolo collided at the intersection of Davie and Hornby Streets on the morning of Wednesday, September 22, 2010. The collision was caused by one or both of the vehicles entering the intersection while the traffic light facing them was red. Mr. Pavan was the only occupant in his 2001 Volkswagen Jetta. The 2004 Ford Excursion being driven by Mr. Guolo was occupied by Mr. Guolo and the Plaintiffs, Julie K. Savage-Wade, Patrick William Evans, Cheryl Skaar, Dean E. Butler and Edonna A. Fisher. Those Plaintiffs were being driven to the airport so that they could be the flight crew of a departing Delta Airlines flight. The vehicle being driven by Mr. Guolo was owned by Canusa Limos Ltd. and Brown Bros Motor Lease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accident took place somewhere between about 5:10 a.m. and about 5:20 a.m. It was a work day for Mr. Pavan and he was driving his vehicle northbound on Hornby Street so that he could arrive at work at approximately 5:15 a.m. The vehicle driven by Mr. Guolo was proceeding eastbound on Davie Street so that he could make a right turn one block later on to Howe Street. If the light facing Mr. Pavan at the Hornby and Davie Street intersection was red when the vehicle entered the intersection, Mr. Pavan is liable for the damages that resulted. If the light facing Mr. Guolo was red, then Mr. Guolo is liable for the damages that resulted. It is possible for the two lights to be red at the same time for 1.5 seconds. If both lights were red, Messrs. Guolo and Pavan would share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Pavan testified that this was his usual route to his workplace at 666 Burrard Street. While Mr. Guolo, at his October 18, 2003 Examination for Discovery, stated that he drove through the intersection of Hornby and Davie "every day", at Trial he stated that this was not his "usual" route and that he would ordinarily have turned left off Burrard at the Nelson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AGREED STATEMENT OF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An agreed statement of facts was filed as an Exhibit. There were various photographs taken at the scene. It is agreed that those photographs were taken within one hour after the collision. There was also an agreement that the distance between the mid-point of the intersection at Burrard and Davie Street, where Mr. Guolo states that he had made a left turn to travel on Davie Street and the intersection at Davie and Hornby Street, is 104.1 metres and that the distance between the mid-point of the intersection of Drake and Hornby Street where Mr. Pavan states he was stopped at a red light and the mid-point of the intersection of Hornby and Davie Street is 163.8 metres.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accept the testimony of Mr. Pavan that his vehicle was stopped at a red light at Drake and Hornby before he proceeded northbound on Hornby when the traffic light there turned green. I accept the testimony of Mr. Guolo that the light facing him at Davie Street and Burrard Street was green when he made a left turn in order to travel east on Davie Street. There is no evidence before the Court regarding how long the light at Burrard and Davie Street had been was green when Mr. Guolo made his left turn on to Davie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Hornby Street has one-way northbound traffic. Davie Street has east to west traffic moving in both directions.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traffic signals were coordinated for northbound traffic on Hornby Street. I find that the northbound light turns green on Hornby at Davie 12 seconds after the northbound light at Drake and Hornby turns green. I find that the approximate travel time from Drake and Hornby to Davie and Hornby would be 11.80 seconds if a vehicle was driving on average at 50 kmph or 10.72 seconds if a vehicle was driving on average at 55 kmph.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designated signal sequence and timings in effect at the intersection of Hornby and Davie on September 22, 2010 were agreed as being as follows: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6" type="#_x0000_t75" style="width:378.75pt;height:318.75pt">
            <v:imagedata r:id="rId148"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There was also an agreement regarding the distance a vehicle would travel at various kilometres per hour:</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vehicle travelling 40 kmph travels 11.11 m/ second.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 km = 40,000 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40,000 m / 3,600 seconds = 11.11</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vehicle travelling 45 kmph travels 12.5 m/second.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 km = 45,000 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45,000 m / 3,600 seconds = 12.5</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vehicle travelling 50 kmph travels 13.88 m/ second.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 km = 50,000 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50,000 m / 3,600 seconds = 13.88</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vehicle travelling 55 kmph travels 15.28 m/ second.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55 km = 55,000 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55,000 m / 3,600 seconds = 15.28</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 meter = 3.28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TESTIMONY OF THE WITNESSES</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Time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the question of what time the collision occurred, Mr. Pavan testified that it was "a few minutes either side of 5:10 am". However, Mr. Pavan confirmed that he had stated "approximately 5:14 a.m." in an October 24, 2010 statement that he had made. When it was put to him at Trial that it was approximately 5:15 a.m., he answered: "I think it was a little earlier than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Trial, Mr. Guolo testified that he was scheduled to pick up his passengers at their hotel at 5:15 a.m. but, when his counsel questioned that statement, he responded, "Quarter after five, ten after five, just shortly after five." He also stated he waited a few minutes at the hotel after he arrived "about not even ten minutes". When asked how long it took him to drive from the hotel to Burrard and Davie, he stated: "You know, it's ten, 12 minutes, really right time I can give you the right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Butler testified that they had left the hotel at about 5:10 a.m. and that he guessed that they travelled between three and five minutes before the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P.A.A. testified that he thought that the collision had occurred about 5:20 a.m. He did confirm that he had indicated in an earlier statement that it was 5:10 a.m.</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Speed of the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find that Hornby is a one-way street going south to north. Mr. Pavan testified that he was in the left hand curb lane as he approached Davie Street, that he saw the light turn green "so I knew I would be continuing", that he moved "into the middle lane", that "he wasn't pushing the car at all" and that he thought his speed approaching the Hornby and Davie intersection was "pretty much right on 50 kilometres per hour". He also stated that, as he approached the intersection, he noticed that the "walking man signal" was illuminated which indicated to him that he had "lots of time to make the light so I just held my speed" "I didn't accelerate hard, no." Mr. Pavan also confirmed that he did not slow down as he approached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P.A.A. stated that he saw the vehicle being driven by Mr. Pavan coming towards him and stated: "So it seems like he was coming at the normal speed, that's for sure". Regarding the question of whether the vehicle being driven by Mr. Pavan was accelerating or not, he stated: "No" "It seemed like he was at normal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Regarding the speed of the vehicle being driven by Mr. Guolo, Mr. Evans, at his January 16, 2014 Examination for Discovery, guessed that the vehicle was travelling between 30 to 40 mph on Davie Street as it approached the intersection of Davie and Hornby but added: "I don't the kilometre equivalent."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Butler estimated that the vehicle driven by Mr. Guolo was travelling at between 40 kmph and 50 kmph. When asked under cross-examination whether the vehicle being driven by Mr. Guolo vehicle was going at or below the speed limit, Mr. Butler answered, "I would have to say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At his October 18, 2013 Examination for Discovery, Mr. Guolo was asked if he knew the speed limit on Davie Street and he answered: "About -- it was about 35 to 40, 30 to 40, something like that. Below 40". At the same time, he was asked to confirm whether he thought the speed limit in the City of Vancouver was between 30 and 40 kmph and he confirmed that to be the case. At Trial, Mr. Guolo stated that the speed limit was "50 in town". On whether his speed that morning was between 40 and 45 kmph, he answered: "40, 45, at -- just wild guess. I don't -- I don't go unless the limo kept all the time in that -- in that speed." He was reminded what he had stated at his Examination for Discovery and he responded that his answer then was not true "I was going faster than that". Mr. Guolo was asked what the speed limit along Davie was and he responded, "45, 50 - 45, 50". He was then asked, "Is it 45 or 50?" and he responded "Yes". When the question was repeated, he then stated: "It's 50". When asked what his speed was as he was approaching the intersection, he answered: "I would say 40, 45, I don't -- I don't know the -- I don't watch the speed at the time. I don't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testimony of P.A.A. at Trial relating to the speed of the vehicle being driven by Mr. Guolo was as follows: "And I noticed they were coming -- skidding -- they were pretty fast. I know that." "I know they were speeding". "The Excursion [driven by Mr. Guolo] guys has no intention to stop." "I don't see like his -- his slowing down, he just kept fast going." "It was speeding" "Not to say it's going like 80 miles an hour or whatever, because I'm not -- I don't have the thing, but I'm pretty sure it was speeding." Under cross-examination, P.A.A. stated: "I don't think I'm an expert in that stuff, but it was speeding for sure. I can hear the engine. It was speeding."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Did the Vehicle Being Driven by Mr. Guolo Speed Up as it Approached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At his Examination for Discovery, Mr. Guolo was asked the following question and gave the following answer: "Q. When you saw the light change from green to yellow...at the intersection, did you speed up? A. Yes.". At Trial, when he was asked whether he sped up to go through the intersection he responded: "I don't remember." "I don't remember yes or no -- I don't remember." He also responded: "I went through the way I was. I don't speed up at all. I was going my speed." "I went through, I don't remember if I speed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Butler testified that he did not think the vehicle being driven by Mr. Guolo accelerated as it entered the intersection and stated: "No. It was a constant speed."</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Lanes of Traffic on Davie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Guolo was asked how many lanes of traffic were on Davie Street and he responded three: "two and parking. Driving is two." The photographs in evidence show that, at the time of the photograph taken one hour after the collision, there were two lanes of traffic on Davie heading east but that the south curb lane was blocked with red traffic cones so that there was effectively only one lane of traffic heading east. It appears that the red traffic cones were placed in order to prohibit traffic in the curb lane because of ongoing construction and/or repair of the road surface. Regarding the traffic cones, Mr. Guolo stated at Trial: "I don't think they were there at the time". Mr. Guolo was asked whether, if he was driving in the curb lane, did he notice that it was "bumpy" and he replied that he was "missing" the bumps. Regarding whether he was stating that the traffic cones were not there that morning at the time of the collision, Mr. Guolo responded, "No, I don't -- I didn't see". He then conceded that it was possible that he might not have been in the curb lane.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Distance Away From Hornby When the Light Turned to Amber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Guolo was asked how far away from the intersection of Davie and Hornby he was when he noticed that the light turned from green to amber. When it was put to him that he had given a statement on October 6, 2011 indicating that the light had turned amber when he was 15 feet away from the intersection. Mr. Guolo. responded, "Maybe an estimate". When asked whether he remembered saying that in his statement, Mr. Guolo stated: "I might -- but I don't remember." When asked at Trial whether it could be more than 25 to 30 feet, Mr. Guolo responded, "No, I don't think so". When asked whether it could have been in excess of 35 feet, he responded: "I don't know. Could be -- I couldn't easily say." "I can't say no. Can't say is 50, 40, you know." When asked the following question at Trial, Mr. Guolo gave the following answer when being cross-examined:</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Are you telling me that you don't know now and you can't give accurate evidence about how far you were from the intersection when the light turned amber is that correct?</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At Trial, Mr. Butler confirmed that he did not see the light change from green to amber. He also could not remember whether the light at Davie and Burrard was amber or green and he stated: "I do not remember it as being yellow -- so I make the assumption that it was still green".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Where in the Intersection Did the Collision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Pavan stated that the collision occurred in the "middle lane" on Hornby Street. He testified that he was in the left hand (west) lane as he approached Davie Street, that he moved his vehicle into the middle lane, and that he proceeded into the intersection as the traffic light facing him was green. Mr. Pavan stated that, after entering the intersection "I heard a loud roar of an engine was gunning" when I slammed on my brakes -- I turned hard to the right and then a collision occurred" "Had my foot on the brake the whole time, and my vehicle struck the -- the other vehicle around the passenger door area and I started spinning, and then the rear of my vehicle I believe hit the vehicle again. The vehicle was skidding into the other vehicle. I had anti-lock brakes, but I don't think -- I felt the sensation of sliding I think." From the photographs in evidence, it is apparent that the vehicle of Mr. Pavan initially collided with the front passenger door and the engine compartment ahead of the front passenger door of the vehicle being driven by Mr. Guolo.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Guolo testified that the light facing him had turned amber prior to his vehicle entering the intersection. When Mr. Guolo was asked at Trial how far into the intersection his vehicle was before there was a collision, he put an "x" on one of the photographs in evidence indicating that it was at the beginning of the through lane on Hornby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Butler testified as follows regarding the location of the collision: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Just before entering the intersection I looked outside -- I noted that the light on the other side of the intersection was yellow, and I looked both sides to basically back up the driver, to confirm that there were no -- no traffic coming. There were no vehicles waiting. I saw no pedestrians in the intersection in front of us. As we entered the intersection the light was yellow and I specifically watched the light as it passed overhead and disappeared out of sight and at that point it was still yellow.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observed the light up until the point we were almost across Hornby or in the third or last lane as the light disappeared out of sight at the top of the windshield.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Just as the light disappeared out of sight overhead and I lost sight of it, I saw a flash of motion from the right, and as I turned my eyes and began to turn my head I saw a vehicle moving fast towards us, a split second before it impacted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the question of when he lost sight of the traffic control device, Mr. Butler testified: "I believe we were in the last of the lanes before clearing Hornby." "Yes. It was in the intersection between Hornby and Davie. I lost sight of it somewhere between the beginning of the bicycle lane and the [right hand] curb". He was then asked to confirm that the vehicle being driven by Mr. Guolo was about two thirds of the way through the intersection "or maybe a little more" and he stated that he could say "with certainty" that the light was still amber.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P.A.A. was asked where the collision occurred and he marked on one of the photographs in evidence a spot roughly at the beginning of the lane for through traffic on Hornby Street. The "accent" of P.A.A. was close to the "accent" marked on the Exhibit by Mr. Guolo.</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Testimony of P.A.A.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P.A.A. was a reluctant witness and it was necessary for the sheriff to bring him before the Court. At Trial, P.A.A. stated he was going to his gym on the morning of September 22, 2010, he was walking east on Davie Street, he was a few steps from the intersection of Davie and Hornby when he saw the light turn yellow, he stopped on the southwest corner of Davie and Hornby when he saw that the light had turned red for traffic on Davie, he turned his head to the right and saw the Pavan vehicle coming towards him on Hornby, and he heard "an engine behind" him so he turned his head to the left and saw the vehicle driven by Mr. Guolo. He testified that he realized there was going to be a collision so he moved away from where he was standing in case one of the vehicles came on to the sidewalk and "hurt him". P.A.A. noticed the traffic light when he was a number of steps away from the intersection and stated at Trial that the traffic control light facing east/west was amber when he first saw it but then it turned red. In this regard, he was asked the following question and gave the following answer:</w:t>
      </w:r>
      <w:r>
        <w:rPr>
          <w:rFonts w:ascii="arial" w:eastAsia="arial" w:hAnsi="arial" w:cs="arial"/>
          <w:sz w:val="20"/>
          <w:lang w:val="en-US" w:eastAsia="en-US" w:bidi="ar-SA"/>
        </w:rPr>
        <w:cr/>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How long does it take you to walk to the corner?</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few steps like -- I don't know it would be from here to where the where she's at [referring to the Court clerk who was approximately 15 feet away from him] probably I think it is. It's not too far. It's a few steps and it turns red. I confirm that the light turned red by the time he got to the corner.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PROVISIONS OF THE MOTOR VEHICLE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applicable provisions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c.318</w:t>
      </w:r>
      <w:r>
        <w:rPr>
          <w:rFonts w:ascii="arial" w:eastAsia="arial" w:hAnsi="arial" w:cs="arial"/>
          <w:color w:val="000000"/>
          <w:sz w:val="20"/>
          <w:lang w:val="en-US" w:eastAsia="en-US" w:bidi="ar-SA"/>
        </w:rPr>
        <w:t xml:space="preserve"> ("Act")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127 (1) When a green light alone is exhibited at an intersection by a traffic control signal,</w:t>
      </w:r>
    </w:p>
    <w:p>
      <w:pPr>
        <w:numPr>
          <w:numId w:val="18"/>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facing the green light</w:t>
      </w:r>
    </w:p>
    <w:p>
      <w:pPr>
        <w:numPr>
          <w:numId w:val="19"/>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may cause the vehicle to proceed straight through the intersection, or to turn left or right, subject to a sign or signal prohibiting a left or right turn, or both, or designating the turning movement permitted,...</w:t>
      </w:r>
    </w:p>
    <w:p>
      <w:pPr>
        <w:numPr>
          <w:numId w:val="20"/>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yield the right of way to vehicles lawfully in the intersection at the time the green light became exhibited,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128(1) When a yellow light alone is exhibited at an intersection by a traffic control signal, following the exhibition of a green light.</w:t>
      </w:r>
    </w:p>
    <w:p>
      <w:pPr>
        <w:numPr>
          <w:numId w:val="21"/>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approaching the intersection and facing the yellow light must cause it to stop before entering the marked crosswalk on the near side of the intersection, or if there is no marked crosswalk, before entering the intersection, unless the stop cannot be made in safety.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129(1) ... when a red light alone is exhibited at an intersection by a traffic control signal, the driver of a vehicle approaching the intersection and facing the red light must cause it to stop before entering the marked crosswalk on the near side of the intersection, or if there is no marked crosswalk, before entering the intersection, and ... must not cause the vehicle to proceed until a traffic control signal instructs the driver that he or she is permitted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DUTY OF CARE 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While the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 guidelines for assessing fault in motor vehicle accident cases, the Court must always determine whether each of the parties in an accident met their common law duties of care to others. In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2010 4 B.C.L.R. (5th) 117</w:t>
        </w:r>
      </w:hyperlink>
      <w:r>
        <w:rPr>
          <w:rFonts w:ascii="arial" w:eastAsia="arial" w:hAnsi="arial" w:cs="arial"/>
          <w:color w:val="000000"/>
          <w:sz w:val="20"/>
          <w:lang w:val="en-US" w:eastAsia="en-US" w:bidi="ar-SA"/>
        </w:rPr>
        <w:t xml:space="preserve"> (C.A.), Groberman, J.A., on behalf of the Court, made the following statements in this regard: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 statutory provisions provide guidelines for assessing fault in motor vehicle accident cases, they do not, alone, provide a complete legal framework.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end, a court must determine whether, and to what extent, each of the players in an accident met their common law duties of care to other users of the road. In making that determination, a court will be informed by the rules of the road, but those rules do not eliminate the need to consider the reasonableness of the actions of the parties. This is both because the rules of the road cannot comprehensively cover all possible scenarios, and because users of the road are expected to exercise reasonable care, even when others have failed to respect their right of way. While s. 175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and other rules of the road are important in determining whether the standard of care was met, they are not the exclusive measures of that standard.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paras. 18 and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dealing with the duty of any motorist to "exercise due care" when proceeding through a green light, Des Brisay C.J.B.C on behalf of the Court in </w:t>
      </w:r>
      <w:r>
        <w:rPr>
          <w:rFonts w:ascii="arial" w:eastAsia="arial" w:hAnsi="arial" w:cs="arial"/>
          <w:i/>
          <w:color w:val="000000"/>
          <w:sz w:val="20"/>
          <w:lang w:val="en-US" w:eastAsia="en-US" w:bidi="ar-SA"/>
        </w:rPr>
        <w:t>Wong v. West</w:t>
      </w:r>
      <w:r>
        <w:rPr>
          <w:rFonts w:ascii="arial" w:eastAsia="arial" w:hAnsi="arial" w:cs="arial"/>
          <w:color w:val="000000"/>
          <w:sz w:val="20"/>
          <w:lang w:val="en-US" w:eastAsia="en-US" w:bidi="ar-SA"/>
        </w:rPr>
        <w:t xml:space="preserve"> (1959) 30 W.W.R. 526 (B.C.C.A.) made the following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owed no duty to traffic entering the intersection in disobedience to the lights, beyond a duty that, if he in fact saw such traffic, he ought to take all reasonable steps to avoid a collision.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Wilkinson v. Whitlock</w:t>
      </w:r>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[2011] B.C.J. No. 2495</w:t>
        </w:r>
      </w:hyperlink>
      <w:r>
        <w:rPr>
          <w:rFonts w:ascii="arial" w:eastAsia="arial" w:hAnsi="arial" w:cs="arial"/>
          <w:color w:val="000000"/>
          <w:sz w:val="20"/>
          <w:lang w:val="en-US" w:eastAsia="en-US" w:bidi="ar-SA"/>
        </w:rPr>
        <w:t xml:space="preserve"> (S.C.) dealt with a plaintiff proceeding through a green light. Barrow J. stated that a defendant who had proceeded through an intersection against a red light will be found at fault for any ensuing accident and entirely at fault in the absence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others: at paragraph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WHO HAS THE ONUS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Pavan is both a Plaintiff and a Defendant. By agreement, these six actions were to be tried at the same time and evidence in each was to be evidence in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Each Plaintiff must prove each of the elements of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 that the defendant owed a duty of care to the plaintiff; (b) that the defendant breached the duty of care by falling below the standard of care in the circumstances; and (c) that the defendant's breach of the duty of care caused injury to the plaintiff. The burden of proof does not change in any way because all six actions have been set for hearing together. The Plaintiff in each action bears the burden of proving that which is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Pavan bears the burden of proof in in Action No. M122794, Mr. Butler bears the burden of proof in Action No. M121540, Mr. Evans bears the burden of proof in Action No. M120546, Ms. Fisher bears the burden of proof in Action No. S121076, Ms. Savage-Wade bears the burden of proof in Action No. M123759 and Ms. Skaar bears the burden of proof in Action No. M123762.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As it was decided that Mr. Pavan was to present his evidence first, I will deal first with the question of whether Mr. Pavan has proven on a balance of probabilities that Mr. Guolo was negligent and was the sole cause of the collision which occurred on September 22,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the bases of the testimony of Mr. Butler who indicated that they had left the hotel at 5:10 and that travelling time was between three and five minutes, of the testimony of Mr. Guolo and of what Mr. Pavan stated on October 24, 2010, I find that the collision took place at 5:15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Pavan was cross-examined extensively regarding the time of the collision as it was put to him that he would ordinarily arrive at his place of employment by 5:15 a.m., that he was already late, and as a result, he was travelling in excess of the speed limit. Despite extensive cross-examination, I cannot reach the conclusion that Mr. Pavan was "late" and was therefore speeding. I accept the evidence of Mr. Pavan that his expected arrival time was between 5:00 a.m. and 5:20 a.m. and that, upon arrival, he would sit for about 1/2 an hour with the person he was replacing. On the basis of his testimony, I find that Mr. Pavan had sufficient flexibility regarding when his duties at work commenced to arrive at work later than 5:15 a.m. As well, I accept what was in evidence and conclude that the lights along Hornby are coordinated so that all lights would be green if the speed 50 kmph is maintained. I find that Mr. Pavan had the ability to arrive at his place of employment in sufficient time to commence his duties even though he was at the intersection of Davie and Hornby at 5:15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accordance with the Agreed Statement of Facts, I find that the light at Hornby and Davie turned green 12 seconds after the northbound light at Drake and Hornby turned green so that the travel time from Drake and Hornby to Davie and Hornby would be slightly less than 12 seconds if the vehicle of Mr. Pavan was proceeding on average at 50 kmph. However, I conclude that it would not have been possible for his vehicle to have proceeded at 50 kmph on average after the northbound light at Drake and Hornby turned green. From a "standing" start, the vehicle being driven by Mr. Pavan would initially be at a speed much less than 50 kmph even if it eventually was proceeding at or even in excess of the speed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the basis of the testimony of P.A.A. and Mr. Pavan, I conclude that the vehicle of Mr. Pavan was not exceeding the speed limit as he approached the intersection of Hornby and Davie. Even if I could have reached a contrary conclusion, I could not conclude that any such excess speed at this point would have resulted in the vehicle of Mr. Pavan reaching the intersection of Davie and Hornby at a speed which averaged in excess of 50 kmph. I conclude that the vehicle being driven by Mr. Pavan arrived at the intersection of Hornby and Davie no less than 12 seconds after Mr. Pavan left the intersection at Drake and Hornby.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Regarding the testimony of Mr. Evans at his Examination for Discovery relating to the speed of the vehicle driven by Mr. Guolo, I note that he was seated behind Mr. Guolo and would not have been in a position to be as observant about the speed limit as Mr. Guolo or Mr. Butler. Accordingly, I do not accept his testimony that the vehicle being driven by Mr. Guolo was travelling between 30 and 40 mph on Davie Street as it approached the intersection of Davie and Hornby. I am satisfied that Mr. Butler was more likely than Mr. Evans to be aware of the speed of the vehicle being driven by Mr. Guolo. Accordingly, I accept the evidence of Mr. Butler that the vehicle being driven by Mr. Guolo was travelling at or slightly under 50 kmph as it approached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Guolo was not an impressive witness on almost all matters dealing with what occurred that morning and the information relating to the collision. His testimony was inconsistent or contradictory on almost all aspects of what occurred -- the time he arrived at the hotel to pick up his passengers; the time the collision occurred; the number of lanes of traffic on Davie Street; the speed limit in the City of Vancouver; the speed he was travelling while on Davie Street; whether he sped up when he saw the amber light facing him; what lane he was travelling in as he approached the intersection; and how far away from Davie and Hornby he was when he saw the light facing him turn amber. While I can attribute the inconsistencies to memory or language difficulties experienced by Mr. Guolo, I prefer the straightforward and consistent evidence of Mr. Pavan and P.A.A. as to what occurred that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also take into account the obvious errors that Mr. Guolo made regarding Davie Street. It is clear that he is incorrect in suggesting that there were three traffic lanes heading east on Davie Street or that vehicles could travel in the right curb lane. I am not prepared to find that the cones would have been placed on Davie Street between 5:15 a.m. and approximately 6:15 a.m. I find that the red traffic cones were placed on Davie Street prior to the collision. Even if I could conclude that there were no traffic cones on Davie Street in the curb lane prior to the collision, I conclude that Mr. Guolo's recollection of the conditions on Davie Street that day is incorrect as any driving in the south curb lane would have produced a very "bumpy" ride and Mr. Guolo had no such recollection of such "bumpiness".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Regarding the speed of his vehicle, Mr. Guolo was confused about the general speed limit in the city and could only make "a wild guess" about his speed that morning. In accordance with his testimony, I conclude that he did not "watch the speed at the time" and that he did not know what his speed was when his vehicle was approaching the intersection of Davie and Hornby. While P.A.A. testified that he believed that Mr. Guolo was speeding as he approached the intersection, I cannot reach the conclusion the vehicle being driven by Mr. Guolo was driving in excess of 50 kmph as it was approaching the intersection of Davie and Hornby.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However, I have concluded that Mr. Guolo caused his vehicle to speed up when he saw the light change from green to amber. I find it more likely that the answer given at his Examination for Discovery is more accurate. I also take into account his inability to remember at Trial whether he had sped up or not. I find that the vehicle being driven by Mr. Guolo was driving at or near the speed of 50 kmph as he approached the intersection of Davie and Hornby but that he sped up when he saw that the light had turned to amber.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the critical question of how far away from the intersection of Davie and Hornby the vehicle being driven by Mr. Guolo was when Mr. Guolo noticed that the light turned from green to amber, the testimony of Mr. Guolo is again contradictory. In his October 6, 2011 statement, it was 15 feet. At Trial, Mr. Guolo estimated that it could have been anywhere between 25 and in excess of 35 feet. I find that his most accurate statement in this regard was his answer "yes" when he was asked at Trial whether it was the case that he did not know and could not give an accurate estimate of how far away he was from the intersection when the light turned amber.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Regarding the testimony of Mr. Butler, I cannot accept his testimony that the light was amber throughout almost all of the passage of the Guolo vehicle through the intersection. In this regard, I note that Mr. Butler was not aware of whether the light at the intersection of Davie and Burrard was green or amber and was not aware of when the light at Davie and Hornby turned from green to amber. While I find Mr. Butler to be an impressive witness, I cannot conclude that he was aware of the light at Davie and Hornby even though he was not aware of the light at Davie and Burrard and when the light at Davie and Hornby turned to amber. For a witness who prides himself on "situational awareness" it does not follow, in my opinion, that he would have been aware of traffic light situation once but not aware two times. I have concluded that the recollection of Mr. Butler was incorrect when he stated that the light was amber throughout almost all of the passage Guolo vehicle through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this regard, I also take into account the discrepancies between the testimony of Mr. Butler and the other evidence relating to where in the intersection the collision occurred. I prefer the evidence of Mr. Guolo, P.A.A., and Mr. Pavan over the evidence given by Mr. Butler in this regard. I find that the collision occurred at the beginning of the "middle" lane on Hornby Street and not as was indicated by Mr. Butler. I cannot conclude that Mr. Pavan would have been driving his vehicle in the area described by Mr. Butler.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From the photographs in evidence, it is evident that the curb area on the east side of Hornby Street just before Davie Street is taken up by a bicycle lane and a right turn lane, the west curb lane beyond Davie Street is occupied by two construction trailers and part of the right curb lane beyond Davie Street is available for parking and a bicycle lane so that there were only two lanes for through traffic on Hornby Street beyond Davie Street. There was no reason for the vehicle being driven by Mr. Pavan to be in the "last lane" as Mr. Butler testified. Beyond Davie Street in the east curb area and occupying the "last lane" was an area for parked cars. I am not prepared to find that this area for parked cars was completely vacant at 5:15 a.m. but had filled up with parked cars by approximately 6:15 a.m. I conclude that Mr. Pavan would not have been driving his vehicle in this "last lane" as the direct path of his vehicle would have been into parked cars.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am also not prepared to find that Mr. Pavan would only have changed lanes from the west curb lane on Hornby Street to the middle lane only after he crossed Davie Street. If he had done so, it would have been necessary for him to make a quick adjustment in order to avoid the construction trailers that were in the west curb lane on Hornby Street. Accordingly, I find that the vehicle Mr. Pavan was in "the middle lane" as he attempted to drive through Davie Street. Driving in this lane is consistent with the location of the collision as described by Messrs. Pavan and Guolo. There is nothing in evidence which would allow me to conclude that Mr. Pavan would have chosen those lanes rather than the lane or lanes on Hornby available for through traffic. The location as indicated by Mr. Butler would not have allowed Mr. Pavan to proceed through Davie Street. Even taking into account the evidence of Mr. Pavan that he steered sharply to the right when he saw the vehicle being driven by Mr. Guolo, the path of the Pavan vehicle as described by Mr. Butler is other than in accordance with the evidence of Mr. Guolo, P.A.A., the uninterested witness, and Mr. Pavan and not in accordance with the photographic evidence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While there were a number of inconsistencies in the testimony of P.A.A., his testimony regarding which vehicle went through a red light was not shaken by cross-examination. In the circumstances, I attribute his inaccurate estimates of where the Guolo and Pavan vehicles were located when he first saw them to the failure of a witness not directly involved in the collision testifying about events that took place five years after being a witness to a collision. I find P.A.A. to be a credible and reliable witness who had no reason to fashion his testimony in his own best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Dealing with the question of whether both drivers entered the intersection when the traffic control lights facing them were red, I reject the possibility that the 1.5 seconds when this was the case is other than in accordance with the evidence of all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find that Mr. Guolo failed to meet the common law duty he owed Mr. Pavan to take care and that, as a result of that, he must be found liable for the damages which occurred to Mr. Pavan and the other Plaintiffs as a result of the collision on September 22, 2010. Mr. Guolo was in a position to stop his vehicle before entering the marked crosswalk. There is nothing before me which would allow me to conclude that he was not in a position as to stop safely. In this regard, Mr. Guolo was asked at Trial whether he checked his rear view mirror to see if there were any vehicles behind him and he stated: "No, I didn't see anybody". He was then asked the following question and gave the following answer:</w:t>
      </w:r>
      <w:r>
        <w:rPr>
          <w:rFonts w:ascii="arial" w:eastAsia="arial" w:hAnsi="arial" w:cs="arial"/>
          <w:sz w:val="20"/>
          <w:lang w:val="en-US" w:eastAsia="en-US" w:bidi="ar-SA"/>
        </w:rPr>
        <w:cr/>
      </w:r>
    </w:p>
    <w:p>
      <w:pPr>
        <w:numPr>
          <w:numId w:val="22"/>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put it to you, sir, that the reason you didn't stop at the yellow light at Hornby was not because of any particular safety concerns, but because you thought you had sufficient time to get through the intersection on the yellow?:</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Guolo was obligated to stop his vehicle when he saw the light turn from green to amber if he could safely do so. Rather, he chose to increase the speed of his vehicle. By doing so, Mr. Guolo failed to meet the common law duty owed on him. In the circumstances, he should have stopped safely instead of speeding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have concluded that Mr. Pavan owed no duty of care to Mr. Guolo other than to take all reasonable steps to avoid a collision. Mr. Pavan was entitled to proceed through the green light as he did and owed no duty to Mr. Guolo and his passengers when the vehicle being driven by Mr. Guolo entered the intersection in disobeyance of the duty of care imposed on him. By slamming on his brakes and turning hard to the right in an attempt to avoid the collision, Mr. Pavan fulfilled any obligation that he had by taking all reasonable steps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As a result of my finding in Action M123759, all Plaintiffs are entitled to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parties will be in a position to speak to the question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G.D. BURNYEAT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7" style="position:absolute;z-index:2518681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57" w:history="1">
        <w:r>
          <w:rPr>
            <w:rFonts w:ascii="arial" w:eastAsia="arial" w:hAnsi="arial" w:cs="arial"/>
            <w:b/>
            <w:bCs/>
            <w:i/>
            <w:color w:val="0077CC"/>
            <w:kern w:val="32"/>
            <w:sz w:val="28"/>
            <w:szCs w:val="32"/>
            <w:u w:val="single"/>
            <w:shd w:val="clear" w:color="auto" w:fill="FFFFFF"/>
            <w:lang w:val="en-US" w:eastAsia="en-US" w:bidi="ar-SA"/>
          </w:rPr>
          <w:t>Pedlow v. Hellner, [2013] B.C.J. No. 1251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L. Muir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5-7 and April 15-17,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12,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S125472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1251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1038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David S. Pedlow and Koffman Kalef LLP, Solicitor, and Arno E. Hellner, Client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(219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8"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4" w:name="Keywords_8"/>
      <w:bookmarkEnd w:id="54"/>
      <w:r>
        <w:rPr>
          <w:rFonts w:ascii="arial" w:eastAsia="arial" w:hAnsi="arial" w:cs="arial"/>
          <w:b/>
          <w:color w:val="000000"/>
          <w:sz w:val="20"/>
          <w:lang w:val="en-US" w:eastAsia="en-US" w:bidi="ar-SA"/>
        </w:rPr>
        <w:t>Legal profession — Barristers and solicitors — Compensation — Measure of compensation — Review of the bills of the law firm for services rendered to Hellner — There were three invoices with totals of $2,463, $9,286 and $643,309, relating to tax and Canada Revenue Agency matters — The first two accounts were properly charged at hourly rates — Hellner was aware that the lawyers intended to charge on a fair fee basis for the third — The settlement obtained was unprecedented — Although the fee charged was excessive, the lawyers were still entitled to a significant fee — The first two accounts were allowed and the third was reduced to $350,000 — Legal Profession Act, 71(4).</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Professional responsibility — Self-governing professions — Remuneration — Professions — Legal — Barristers and solicitors — Review of the bills of the law firm for services rendered to Hellner — There were three invoices with totals of $2,463, $9,286 and $643,309, relating to tax and Canada Revenue Agency matters — The first two accounts were properly charged at hourly rates — Hellner was aware that the lawyers intended to charge on a fair fee basis for the third — The settlement obtained was unprecedented — Although the fee charged was excessive, the lawyers were still entitled to a significant fee — The first two accounts were allowed and the third was reduced to $350,000 — Legal Profession Act, 71(4).</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5" w:name="Case Summary_5"/>
            <w:bookmarkEnd w:id="5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Review of the bills of the law firm for services rendered to Hellner and his company. There were three invoices at issue with totals of $2,463, $9,286 and $643,309. The first invoice related to a personal tax matter, the second to an investigation of Hellner's company by the Canada Revenue Agency (CRA) and the third related to work to obtain a settlement with the CRA. Pedlow and Graham were the two lawyers from the law firm who worked on the file. Hellner took the position that he retained the lawyers on an hourly rate basis and that he himself effected the settlement with the CRA. He further submitted that most of the work was done by his accountant and by the CRA.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6" w:name="Holdings of Court_5"/>
            <w:bookmarkEnd w:id="56"/>
            <w:r>
              <w:rPr>
                <w:rFonts w:ascii="arial" w:eastAsia="arial" w:hAnsi="arial" w:cs="arial"/>
                <w:color w:val="000000"/>
                <w:sz w:val="20"/>
                <w:lang w:val="en-US" w:eastAsia="en-US" w:bidi="ar-SA"/>
              </w:rPr>
              <w:t>HELD: The first two accounts were allowed as presented and the third was reduced from $643,309 to $350,000.</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Hellner's evidence was unreliable. He was an argumentative witness and he clearly and knowingly lied to both the CRA and his own counsel for strategic reasons. The first two accounts were properly charged at hourly rates in conformity with Hellner's expectations at the time, and both were reasonable. With respect to the third account, Hellner was fully aware that the lawyers intended to charge on a fair fee basis. The matter was difficult and novel, and the settlement obtained was unprecedented, saving Hellner between $23 million and $38 million in tax and penalties and avoiding potential criminal prosecution. The fee charged was excessive but the lawyers were still entitled to a significant fee for the services rendered. $350,000 was a fair fee.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7" w:name="Legislation Cited_5"/>
      <w:bookmarkEnd w:id="5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9" style="position:absolute;z-index:2517186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Legal Profession Act, </w:t>
      </w:r>
      <w:hyperlink r:id="rId158" w:history="1">
        <w:r>
          <w:rPr>
            <w:rFonts w:ascii="arial" w:eastAsia="arial" w:hAnsi="arial" w:cs="arial"/>
            <w:i/>
            <w:color w:val="0077CC"/>
            <w:sz w:val="20"/>
            <w:u w:val="single"/>
            <w:shd w:val="clear" w:color="auto" w:fill="FFFFFF"/>
            <w:lang w:val="en-US" w:eastAsia="en-US" w:bidi="ar-SA"/>
          </w:rPr>
          <w:t>S.B.C. 1998, ch. 9, s. 70</w:t>
        </w:r>
      </w:hyperlink>
      <w:r>
        <w:rPr>
          <w:rFonts w:ascii="arial" w:eastAsia="arial" w:hAnsi="arial" w:cs="arial"/>
          <w:color w:val="000000"/>
          <w:sz w:val="20"/>
          <w:lang w:val="en-US" w:eastAsia="en-US" w:bidi="ar-SA"/>
        </w:rPr>
        <w:t>, s. 71, s. 71(4), s. 72(1)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58" w:name="Counsel_8"/>
      <w:bookmarkEnd w:id="5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0" style="position:absolute;z-index:2517698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Solicitor: G. Turriff, Q.C., S. Holinski, Articled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Client: S. W. Abramson.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9" w:name="Judgment_8"/>
      <w:bookmarkEnd w:id="59"/>
      <w:r>
        <w:pict>
          <v:line id="_x0000_s1071" style="position:absolute;z-index:2518210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0" w:name="MASTER L. MUIR"/>
            <w:bookmarkEnd w:id="60"/>
            <w:r>
              <w:rPr>
                <w:rFonts w:ascii="arial" w:eastAsia="arial" w:hAnsi="arial" w:cs="arial"/>
                <w:b/>
                <w:color w:val="000000"/>
                <w:sz w:val="30"/>
                <w:lang w:val="en-US" w:eastAsia="en-US" w:bidi="ar-SA"/>
              </w:rPr>
              <w:t>MASTER L. MUIR</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 review under s. 70 of the </w:t>
      </w:r>
      <w:r>
        <w:rPr>
          <w:rFonts w:ascii="arial" w:eastAsia="arial" w:hAnsi="arial" w:cs="arial"/>
          <w:i/>
          <w:color w:val="000000"/>
          <w:sz w:val="20"/>
          <w:lang w:val="en-US" w:eastAsia="en-US" w:bidi="ar-SA"/>
        </w:rPr>
        <w:t>Legal Profession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1998, ch. 9</w:t>
      </w:r>
      <w:r>
        <w:rPr>
          <w:rFonts w:ascii="arial" w:eastAsia="arial" w:hAnsi="arial" w:cs="arial"/>
          <w:color w:val="000000"/>
          <w:sz w:val="20"/>
          <w:lang w:val="en-US" w:eastAsia="en-US" w:bidi="ar-SA"/>
        </w:rPr>
        <w:t>, of the bills of the law firm for services rendered to Mr. Hellner and his company, Kaliope Anstalt.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There are 3 invoices at issue, as follows:</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Arno Hellner, May 17, 2010, Tax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255"/>
        <w:gridCol w:w="1882"/>
        <w:gridCol w:w="66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Fees</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$2,185.00</w:t>
            </w:r>
          </w:p>
        </w:tc>
        <w:tc>
          <w:tcPr>
            <w:tcW w:w="655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464"/>
        <w:gridCol w:w="1150"/>
        <w:gridCol w:w="72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Expenses</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15.63</w:t>
            </w:r>
          </w:p>
        </w:tc>
        <w:tc>
          <w:tcPr>
            <w:tcW w:w="706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255"/>
        <w:gridCol w:w="1568"/>
        <w:gridCol w:w="700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Tax</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262.98</w:t>
            </w:r>
          </w:p>
        </w:tc>
        <w:tc>
          <w:tcPr>
            <w:tcW w:w="686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$2,463.61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Kaliope Anstalt, September 30, 2010, Tax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255"/>
        <w:gridCol w:w="1882"/>
        <w:gridCol w:w="66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Fees</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$8,240.00</w:t>
            </w:r>
          </w:p>
        </w:tc>
        <w:tc>
          <w:tcPr>
            <w:tcW w:w="655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464"/>
        <w:gridCol w:w="1150"/>
        <w:gridCol w:w="72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Expenses</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51.58</w:t>
            </w:r>
          </w:p>
        </w:tc>
        <w:tc>
          <w:tcPr>
            <w:tcW w:w="706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255"/>
        <w:gridCol w:w="1568"/>
        <w:gridCol w:w="700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Tax</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994.99</w:t>
            </w:r>
          </w:p>
        </w:tc>
        <w:tc>
          <w:tcPr>
            <w:tcW w:w="686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$9,286.57</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Arno Hellner/Kaliope Anstalt, July 30, 2012, Tax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255"/>
        <w:gridCol w:w="2196"/>
        <w:gridCol w:w="63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Fees</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$583,500.00</w:t>
            </w:r>
          </w:p>
        </w:tc>
        <w:tc>
          <w:tcPr>
            <w:tcW w:w="62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464"/>
        <w:gridCol w:w="1359"/>
        <w:gridCol w:w="700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Expenses</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448.84</w:t>
            </w:r>
          </w:p>
        </w:tc>
        <w:tc>
          <w:tcPr>
            <w:tcW w:w="686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255"/>
        <w:gridCol w:w="1882"/>
        <w:gridCol w:w="66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Tax</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70,073.86</w:t>
            </w:r>
          </w:p>
        </w:tc>
        <w:tc>
          <w:tcPr>
            <w:tcW w:w="655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$643,309.27</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Counsel for the law firm characterized these invoices as being with respect to three different retainers: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was a personal tax matter that was resolved prior to the account being rendered. The account was rendered to Mr. Hellner on an hourly rate basis.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second was with respect to an investigation of Kaliope Anstalt by the Canada Revenue Agency (CRA) on the basis that Mr. Hellner was the directing mind of the company and perhaps the beneficial owner of the shares. CRA also considered the income of Kaliope was properly the income of Mr. Hellner. The law firm was retained by Kaliope on the basis of Mr. Hellner's denial that he was either the legal or beneficial owner of the company. It was anticipated that this would follow a relatively typical litigation track and this bill, directed to Kaliope Anstalt, was based on hourly rates.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third retainer was work to obtain a settlement with the CRA after Mr. Hellner admitted to Mr. Pedlow that he was the owner of Kaliope Anstalt. The retainer was by Mr. Hellner. This was billed on a "fair fee"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Counsel for Mr. Pedlow submitted that there were some technical objections to a review of two of the three accounts due to a limitation argument that would not be pressed and it was agreed that all three accounts would be reviewed.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matters to be considered on a review are set out in s. 71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Matters to be considered by the registrar on a review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71 (1) This section applies to a review or examination under section 68 (7), 70, 77 (3), 78 (2) or 79 (3).</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subsections (4) and (5), the registrar must allow fees, charges and disbursements for the following services:</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reasonably necessary and proper to conduct the proceeding or business to which they relate;</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authorized by the client or subsequently approved by the client, whether or not the services were reasonably necessary and proper to conduct the proceeding or business to which they relate.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subsections (4) and (5), the registrar may allow fees, charges and disbursements for the following services, even if unnecessary for the proper conduct of the proceeding or business to which they relate:</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reasonably intended by the lawyer to advance the interests of the client at the time the services were provided;</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requested by the client after being informed by the lawyer that they were unnecessary and not likely to advance the interests of the client.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 review of a lawyer's bill, the registrar must consider all of the circumstances, including</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difficulty or novelty of the issues involved,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skill, specialized knowledge and responsibility required of the lawyer,</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lawyer's character and standing in the profession,</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involved,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time reasonably spent,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has been an agreement that sets a fee rate that is based on an amount per unit of time spent by the lawyer, whether the rate was reasonable,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importance of the matter to the client whose bill is being reviewed,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result obtained.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discretion of the registrar under subsection (4) is not limited by the terms of an agreement between the lawyer and the lawyer's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There were two lawyers from the law firm who worked on this file, Mr. Pedlow and Mr. Graham (now Mr. Justice Graham of the Tax Court of Canada). Both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Pedlow was called to the bar in British Columbia in 1979. He has practiced tax law since that time. After articles he worked for a year with Touche Ross and has been with Koffman Kalef LLP, as they are now known, since that time. He is presently a partner.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Pedlow is not a tax litigator, but rather his work is comprised of a broad range of tax planning, corporate transactions and representations involving disputes with the CRA. He does handle Notices of Objection and Appeals, but does not take matters destined for tax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David Graham, on the other hand, was a tax litigator. He was called to the Bar of British Columbia in 1997 and he and Mr. Pedlow practiced together for 17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the evidence presented I find that both lawyers were well qualified for the work undertaken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When Mr. Pedlow could not, or thought he might not be able to, resolve a matter with the CRA, he would get Mr. Graham involved to deal with the potential or actual litigation that ensued.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Hellner was referred to Mr. Pedlow by an accountant, Mr. Custy. Mr. Custy told Mr. Pedlow that he needed help with a tax return and he didn't want to prepare the return until the client obtained legal advice. Mr. Custy's concern was that mis-reporting foreign income could result in a penalty to him as the accountant. Mr. Pedlow was told that it was a relatively small matter of some unrecorded bank or brokerage firm interest in the United States for Mr. Hellner, and that Mr. Hellner was involved with a Cayman company called Kaliope Anstalt. Mr. Hellner was and is a resident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This first retainer had nothing to do with Kaliope Anstalt. It was an issue of undeclared US income. Mr. Pedlow met with Mr. Hellner on April 6, 2010 to discuss the matter with him. He then obtained consent from Mr. Hellner and had several telephone conferences with representatives of CRA.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Pedlow testified that Mr. Hellner acknowledged directly to the CRA that income he had in the US of $15,000 should be taxed, a tax return was filed and that ended the matter. The bill of $2,463.61 was sent, paid from $3,500 retainer funds provided by Mr. Hellner and the balance of the retainer funds were returned to Mr. Hellner.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There was no discussion with Mr. Hellner as to how fees would be calculated. There was no retainer letter. The account was simply calculated at Mr. Pedlow's posted rate and paid from trust. There was no discussion of the nature of the bill either before or after it was 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Pedlow said that the bill accurately reflected the time spent. He said he was good at timekeeping and if anything, erred on the side of leaving things out, like short phone calls.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the letter of May 18, 2010 that enclosed the account for the first retainer, the second retainer is referenced. In the last paragraph Mr. Pedlow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David Letkeman [CRA] will want an authorization from Kaliope to allow CRA to communicate with me regarding the company's tax situation. David Letkeman has indicated that, in his view, Kaliope is taxable as a resident of Canada based on the proposition that the company's "mind and management", as represented by you, is regularly exercised in Canada. He believes the power of attorney produces this result. We can discuss this further once your tax filings are up to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second matter arose from a letter from Mr. Russ Lyon of the CRA dated December 24, 2009 addressed to Mr. Hellner. The letter indicates that in a phone conversation that day Mr. Hellner advised Mr. Lyon that he was a beneficiary of Kaliope Anstalt and had made contributions into an account for the company. The author takes the position that any income, gains or losses of Kaliope are Mr. Hellner's - either due to the attribution or FAPI rules (foreign accrual property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letter indicates that CRA agreed to set the matter aside pending Mr. Hellner's return in April. A note on the bottom of the copy of the letter exhibited, which Mr. Hellner testified was in his hand, says, "Phoned to strongly object to the letter and specially to "beneficiary of Kaliope Anstalt" which is not true. Personal contributions into an acct. of Kaliope will be explained in April with a lawyer at my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Hellner's evidence was that he spoke to Mr. Lyon and they "locked horns". Mr. Hellner said that he told Mr. Lyon that if he wanted a fight that Mr. Hellner would fight, but if he would give him time and treat him decently that he would settle with them. He says that Mr. Lyon assured him in this conversation that if Mr. Hellner would agree to meet with him face to face he would not be pursued criminally and that there would not be any fines. He says Mr. Lyon said that if we make a deal I will not take all your money, I will leave some on the table and we will both be happy. He said as it would take some time, Mr. Hellner should deal with Mr. Letkeman of CRA, but if he had any problems to call Mr. Lyon. Mr. Hellner characterized this as an agreement with Mr. Lyon.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Hellner said Mr. Lyon told him he should get a new accountant and a tax lawyer and that is what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This is the first of two instances where Mr. Hellner recounted what had occurred in telephone conversations with Mr. Lyon. Mr. Lyon was not called as a witness and evidence of what he said is, of course, hearsay.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accept that Mr. Hellner believed that he would not be facing criminal prosecution or fines. I do not, however, accept that his belief was well founded. Nor do I accept that Mr. Lyon told him at this early stage that he would not take all his money and would leave some on the table or that there was any agreement 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Hellner is a very shrewd and sharp businessman. He is very single minded however, and I am of the view that at times he hears what he wants to hear.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CRA sent another letter to Mr. Hellner regarding Kaliope dated June 8, 2010. They requested a meeting to interview him regarding his, "knowledge, involvement and relationship with" Kaliope.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Pedlow was away in June 2010 and so Mr. Hellner and Mr. Custy had a phone conference with Mr. Graham and then Mr. Hellner met with Mr. Graham on June 9, 2010 to give him some background and arrange for the authorizations from Kaliope.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Hellner told Mr. Graham that Kaliope Anstalt was a company that had been set up by a friend, Mike Simmons and his daughter, and that Mr. Hellner had been helping them for years with their investments - hence the power of attorney referenced in the CRA letter. Mr. Hellner particularly specialized in investing in options. He was very accomplished and had taken the assets of the company from $2 million to $168 million before the market crashed. The assets dove to $10 million, but he had managed to work them back up to $30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Apparently the company was originally set up in Switzerland, moved to Liechtenstein and later moved to the Caymans.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There was a concern that Mr. Simmon's daughter had told CRA, allegedly due to a misunderstanding stemming from a bad connection, that Mr. Hellner was the true owner of Kaliope. Mr. Custy said that the auditor had raised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an aside, Mr. Graham testified that he did not really believe at any time that Kaliope was owned by the people in the Caymans.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cross-examination Mr. Graham agreed that Mr. Hellner had told him that CRA was not embarking on a criminal investigation, however, Mr. Graham was concerned that the accountant wanted to send the files to him "for safekeeping", which indicated to him that the accountant was afraid of a search warrant. In addition, on his cross-examination he noted that once CRA broaches a criminal investigation, Charter rights come into play and CRA loses its power to compel information. He said that a statement by auditors that they are not embarking on a criminal investigation means nothing as they could always change from a civil to a criminal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This was confirmed by Mr. Thomas Boddez, who tendered an expert report for the law firm with respect to the fees. His evidence was that on the facts here Mr. Hellner was very lucky this was not a criminal prosecution. He also said that clients are told all the time that there is no criminal investigation as that ensures that the statutory compulsion powers available to CRA on an audit apply. The client must answer on that basis but CRA may then decide to prosecute criminally.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Hellner's evidence was that at this meeting he showed Mr. Graham the first account he had received from Mr. Pedlow and said that it was not acceptable, that he wanted an account that showed the hours spent and the hourly rates of the lawyers. He says he asked Mr. Graham what the hourly rates were that he would be charged and he was told $350 for Mr. Graham and $450 for Mr. Pedlow.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Hellner testified that if the hourly rates had been over $500 that he would have found another lawyer and at another point said that $450 was the highest he would have paid. He was adamant in his evidence that he would not have accepted an arrangement other than being billed for straight time at an agreed hourly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Graham was asked about this and cross-examined on a reference in a letter from Mr. Hellner to Mr. Pedlow of October 15, 2011, where Mr. Hellner says that Mr. Graham, at this meeting, told him the lawyers' hourly rates were $350 - 450 and that he had asked Mr. Graham to be sure that future bills showed both the time and the hourly rate. Mr. Graham denied this. He said he would never have quoted that range for fees and he did not recall ever discussing an account with Mr. Hellner. His recollection is that a discussion of hourly rates occurred at a meeting in October, which is referred to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Pedlow said that hourly rates were not discussed, further his evidence was that these hourly rates were simply wrong - that Mr. Graham's "A" rate was $375 at the outset and his "B" rate might have been $350, but that Mr. Pedlow's rate was not $450. This is borne out by the time reports entered as exhibits, which show Mr. Graham's initial hourly rate was $375 and Mr. Pedlow's was $475 at the outset and increased to $490 during the retainer.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That same day Mr. Graham faxed the authorizations to Mr. Simmons which, when signed, would allow CRA to deal with Mr. Pedlow's firm on behalf of Kaliope.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June 26, 2010 Mr. Hellner emailed some questions to Mr. Pedlow and Mr. Graham,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Would you please address, in writing, my following questions: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your plan for countering Revenue Canada's case?</w:t>
      </w:r>
    </w:p>
    <w:p>
      <w:pPr>
        <w:numPr>
          <w:numId w:val="1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our chances of winning?</w:t>
      </w:r>
    </w:p>
    <w:p>
      <w:pPr>
        <w:numPr>
          <w:numId w:val="19"/>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our chances of having to settle</w:t>
      </w:r>
    </w:p>
    <w:p>
      <w:pPr>
        <w:numPr>
          <w:numId w:val="20"/>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timeline for this?</w:t>
      </w:r>
    </w:p>
    <w:p>
      <w:pPr>
        <w:numPr>
          <w:numId w:val="21"/>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cost going to be?</w:t>
      </w:r>
    </w:p>
    <w:p>
      <w:pPr>
        <w:numPr>
          <w:numId w:val="22"/>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can I do to help or expedite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Hellner did not often write emails. He said he would only write an email if he could not speak to someone on the phone. This email was dictated by him to his daughter, who typed it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Pedlow sent a short email update to Mr. Hellner on June 22, 2010 which said that until he could speak to CRA "it is difficult to know what direction this will take". In evidence he said that he could not be very helpful to Mr. Hellner as they had not had the interview with CRA and were a long way from knowing where this was going. All he knew at that juncture was that CRA was taking the position Kaliope was resident in Canada and that they were considering that Mr. Hellner might be personally liable based on the FAPI or attribution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Hellner testified that he thought Mr. Pedlow was avoiding discussing fees with him. He said that when he asked about cost he wanted written confirmation of the $350 - 450/hour fees that Mr. Graham had quoted him. He refused to accept that the reference to cost in this email might have been interpreted as meaning anything other than hourly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It is difficult to see why, if Mr. Hellner wanted to confirm the hourly rate arrangement as he says he understood it from Mr. Graham, that he didn't set it out in this email.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Hellner also testified that he already knew the answers to most of the questions in his email, based partly on the agreement he says he made with Mr. Lyon. Mr. Hellner said that he was in control, that he knew he was going to settle within the year and that he knew how much he was going to pay CRA.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It is difficult to reconcile Mr. Hellner's evidence with the questions set out in his memo. I do not believe that he would go to the trouble of creating this email with the assistance of his daughter if he already knew the answers. I am of the view that much of the position he now takes has been created with the benefit of hindsight.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June 30, 2010 Mr. Pedlow advised Mr. Hellner that a conference call with CRAs Letkeman and Lyon had been arranged and they would let him know the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That call occurred on July 5, 2010. Mr. Pedlow's recollection of the conversation (he had no notes) was that CRA had enough account information from Kaliope to determine there were significant profits over the years. He said he could not determine if they were going the route of taxing Kaliope as a Canadian corporation or the more criminal route of going after Mr. Hellner as owner. He said the CRA representatives would not commit.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CRA also had some account opening documents, which they agreed to give copies of to Mr. Pedlow. He wanted to see if they were signed by Mr. Simmons.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Graham did have notes of the conversation. He agreed that CRA were trying to determine if Kaliope was a resident of Canada. He said they also confirmed that the prior matter with Mr. Hellner was finished.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his notes, Mr. Graham sets out questions that CRA had:</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who caused K to be created in '75?</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documents relating to creating it at the time (Russ thinks they will be on microfiche at the trustee's office)?</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who was the beneficial owner of 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He said they did not answer these questions, but tried to get information from CRA and assess what they were going after. His notes say, "not sure how far back they would assess (possibly subject to negotiation)."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He said CRA understood what Mr. Hellner's position was, but they said that they did not believe it. His notes say: "Q: When did Arno meet Mike? Russ thought this was not until the 80's but the [company] was set up in '75 supposedly on behalf of Mike which doesn't match the 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Pedlow advised Mr. Hellner that in the circumstances it would be appropriate that they be retained by Kaliope and not Mr. Hellner personally. He set out to meet with Mr. Graham and Mr. Hellner later in July.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Pedlow, Mr. Graham and Mr. Hellner met on July 27, 2010. They gathered information in order to prepare answers for CRA. Mr. Hellner told them about his relationship with Mike Simmons, how Mr. Simmons had set up Kaliope and why Liechtenstein was chosen and why the company was moved back to the Caymans in 2001. His notes indicate that Mr. Hellner said that Mr. Simmons made some money with Mr. Hellner's ideas in real estate, that Mr. Hellner convinced him to invest $1 million so as not to have all his eggs in one basket and the money went to start Kaliope in Switzerland.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Hellner said that Kaliope was worth about $50 million when it moved to the Caymans in 2001. The value was then increased to the peak of the market in 2008 to about $150 million. When the company was in Liechtenstein all decisions had to be made by the trustee. That was one reason to move the company - so there could be more control over investments and they could be made more quickly.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Graham noted that the 2001 date could be key for settlement purposes. He also noted that there was a problem in that the $140 million in losses that were suffered in 2008 could not be carried back earlier than 2005 - leaving full tax to be paid on the increases in 2001 to 2004. He said that these increases stemming from uncovered options would most likely be taxed as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Hellner said that Mr. Simmons was the sole beneficial owner until 2001 when his daughter was added. Mr. Graham said that this was difficult to accept, particularly as Mr. Simmons had two other daughters. He noted that Mr. Simmons had never taken any money out of Kaliope.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Graham told Mr. Hellner that he didn't think his story was believable. Of course, as it turned out, all of this complicated back-story about Kaliope and Mr. Simmons and his investment was a lie. Mr. Hellner said that he lied to his lawyers because he did not trust them and because the time was not right for him to settle. He had to put Kaliope's accounts in order so that he could afford to settle. There were liquidity problems with the investments. He also said that he wanted to prove to the tax department that they did not have an easy case so that he could get a better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It was decided at this meeting that there would be a cooperative approach taken to CRA rather than fight them and require warrants. Mr. Pedlow said Mr. Hellner was agreeable as he was optimistic that the documents would support his position. The lawyers, probably Mr. Graham, would respond to the questions from CRA. They would respond simply. Mr. Hellner would not talk to CRA.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There was a delay in being retained by Kaliope. The investment house would not write a cheque for the retainer directly to the law firm. By the end of August it was thought that an account for Kaliope would have to be opened and the cheque processed through that. That was still unresolved in mid-September. In the meantime, Mr. Letkeman was getting anxious about the delay in providing the information that CRA had requested.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Hellner emailed the lawyers on September 11, 2010 and, amongst other things said that there would have to be a meeting with CRA in September or October as he was planning to return to Florida in November. He also asked for answers to the questions he had posed in his June 22, 2010 email.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When asked about this email in his evidence in chief, Mr. Hellner said that the Kaliope account was now in order and he was getting impatient with Mr. Pedlow being so slow. He wanted to hurry him up a bit. He contradicted this somewhat in cross-examination, when he testified that it was not until his return from the Cayman Islands in October that the Kaliope account was in order and he was ready to settle. He also said that he still wanted something in black and white as to the legal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Pedlow responded by email on September 17, 2010 and indicated that he was still waiting for the bank account to be opened so that they could be retained by Kaliope. He said Mr. Letkeman was disappointed with the lack of progress but was being patient. He then set out answers to four of the questions Mr. Hellner had posed in June: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plan to counter CRA will depend on the approach they take. They have raised two possible grounds for taxing the profits in the account. One is that Kaliope is resident in Canada because its "central mind and management" is exercised in Canada by you under the power of attorney. The other is that you are the true beneficial owner of the funds. CRA hasn't pushed the latter argument but I think they hope to see some indication of that in the information from Vaduz.</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chances of success are unknown. CRA could succeed and maybe even has a good chance of doing so. If we can show that Mike regularly exercised his authority as a director of Kaliope and approved your actions on behalf of the company that will help in the case against residency of the company. He will need to be a good witness in the tax court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settlement is a possibility but would mean agreeing with CRA that, at some point, Kaliope did become resident. We would need to get credit for the withholding taxes paid. Losses in 2008 and 2009 can only carry back three years so there could be significant taxes owing in years fours [sic] years back.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time line depends on how hard Kaliope fights and how soon CRA assesses tax. Three years to get to tax court is likely. But if Kaliope settles it may only be six months. In that period we would gather all the information and then sit down to decide how strong or weak the case is and what it would cost in tax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He made no response about legal fees. Before me he said that it was impossible to determine. If it had gone the litigation route as speculated, three years litigation he thought would have resulted in fees of at least $200,000. He said he did not discuss that with Mr. Hellner. They never had that conversation. At this point he was seeing this as having long term litigation potential and that it would be billed at hourly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It is clear from his email and his evidence that Mr. Pedlow was concerned about the "cost in tax" and that is what he was trying to advise Mr. Hellner about.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Pedlow testified that his view at this time was that if CRA challenged the residency of Kaliope that the damage could be mitigated, but that Kaliope would lose. As to ownership, he and Mr. Graham parted ways a bit. Mr. Pedlow was more willing to give Mr. Hellner the benefit of the doubt, but Mr. Graham was more skeptical. A central question was why would Mr. Hellner do all this for Kaliope for no fee? He thought as to residency that if they fought for a residence date for Kaliope in Canada starting in 2001, there would still be $30 million in tax liability and three years of potential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Hellner was cross examined with respect to Mr. Pedlow's email of September 17, 2010 and my overall sense of his evidence was that he thought the email was ridiculous. His evidence was that in his view he had a very strong position. That the fact that he had been given legal advice at the time of creation of Kaliope that it had been done legally, and the evidence of the Simmons, if necessary, that they were the true owners, would mean CRA had a tough case to prove and showing them that would make it easier to settle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He testified that there was no way that he was going to waste 3 years of his life in litigation at his age, and that even the 6 months to settle was too long. This is contradicted by an email Mr. Hellner sent later in November, in which amongst other things he said, "IF CRA IS NOT TOO GREEDY I WILL SETTLE, OTHERWISE I SHALL FIGHT ALL THE WAY TO WIN, WIN ...". He testified that this email was written by him without the assistance of his daughter. He said emails he did himself were in capital letters.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As to the questions being difficult to answer, Mr. Hellner testified to the effect that if Mr. Pedlow had known as much as he did the questions would not have been difficult. Of course, Mr. Pedlow did not know what Mr. Hellner knew, as Mr. Hellner had deliberately misled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On September 20, 2010 Mr. Pedlow received a message that a cheque for $20,000 would be coming for the retainer and that was received a few days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On September 30, 2010 Mr. Hellner attended the lawyers' office and received from Mr. Pedlow his tax materials from the first retainer and a refund of the balance of the funds in trust for that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second bill in question is dated September 30, 2010 and addressed to Kaliope Anstalt, Attention: Arno Hellner. Mr. Pedlow's evidence is that this was all for work properly chargeable to Kaliope, although some was initially posted to Mr. Hellner's account and then moved to this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This invoice was calculated based on time spent at his and Mr. Graham's posted rates. He again testified that his timekeeping is good and, if anything, there would be some time missed for short telephone calls or other small matters that were not written down. Mr. Graham also testified that the time and work recorded for him on this account was accurate, but that he did not have anything to do with preparing the account. Mr. Graham's evidence regarding the time spent on the file included evidence that he and Mr. Pedlow would meet for lunch twice a week to discuss issues in their files, including Mr. Hellner's files. These discussions were never charged to the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Both Mr. Pedlow and Mr. Graham testified that they did not discuss the basis for this account with Mr. Hellner. He did not ask for time records, he did not ask for any particulars regarding the bill and there were no discussions or agreement that he or Kaliope would be charged on an hourly basis. There was no retainer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At some point at about this time, Mr. Pedlow learned, and advised Mr. Hellner, that the information from Liechtenstein did not support Mr. Hellner's version of events and that maybe they should take a different 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On October 5, 2010 Mr. Hellner emailed Mr. Pedlow, saying: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"THINGS ARE NOT GOING GOOD ... WOULD LIKE TO SEE YOU ON TUESDAY MORNING, BEFOR [SIC] GOING HOME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They had arranged to meet the following Tuesday, October 12, 2010. At this meeting Mr. Hellner admitted that he did own Kaliope Anstalt. Mr. Graham's note is, "this all belongs to Arno - wants to come clean re: K - "shares" owned by 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Hellner described in detail the source of the funds that went into Kaliope, including approximately $500,000 from his father's estate, $300,000 from a fire insurance settlement from a store he owned in Cache Creek, $500,000 from a fire insurance settlement on some Florida condominiums he owned, money from the sale of his property in the Caymans and money that his wife was gifted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Graham's evidence was that at some point, and he believed it was at this meeting because of the discussion regarding fire insurance that is confirmed by his notes, Mr. Hellner asked what the lawyers' hourly rates were. He is quite sure there was only one meeting he was at where fire insurance was mentioned and that it was at that meeting that Mr. Hellner raised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He said that he told Mr. Hellner what his hourly rate was and may have been able to tell him what Mr. Pedlow's was, but he also told him that is not how the file would be billed. It would not be billed hourly. That it would be based on the result achieved, not the time spent - e.g. if Mr. Pedlow called CRA and solved this in one hour they would not charge him for one hour, but for the result achieved. He testified he believed that is what Mr. Pedlow would do, but that there was no fee agreement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lawyers' evidence was that Mr. Hellner's disclosure resulted in a completely different tack having to be taken. They could no longer fight on the residency as their client had lied and that was now foreclosed to them. Mr. Pedlow testified that Mr. Hellner asked if they could make a deal for him with CRA. According to Mr. Pedlow, this was when the file changed from an hourly rate file on a litigation track to a reasonable fee for success file. In addition, the client changed from Kaliope to Mr. Hellner as Kaliope was essentially a sham.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Mr. Pedlow said from the outset there was no way a voluntary disclosure could be made, as CRA had already started an investigation. He said that if the true ownership was known by CRA it was hard to predict what they might do. The aggressive tax planning department might deal with it themselves - they already had the information on the interest and dividends and they could assess those. It would be more difficult for them to obtain evidence regarding the option profits. They would not be arguing that the company was resident in Canada, they would attribute it all to Mr. Hellner by virtue of FAPI. There would have been penalties, including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penalties, these being tantamount to intentional actions, of 50% penalty tax, plus. There was a potential of criminal action depending on the evidence, but CRA would have enough to prove on a balance of probabilities that he was the owner for FAPI.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When this was discussed with Mr. Hellner, Mr. Pedlow testified that one of Mr. Hellner's comments was that he would never go to jail and Mr. Pedlow thought that Mr. Hellner was more confident than Mr. Pedlow would have been in his shoes. He said Mr. Hellner was prepared to fight unless he got the settlement he wanted. Mr. Pedlow said that Mr. Hellner's attitude tailored his expectations and what he told CRA - i.e. that there would be no deal if it did not meet certain criteria.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Pedlow said that he would take the lead in negotiating with CRA as he had quite a lot of success in such negotiations in the past. He said that this case was in the extreme of anything that he had tried to resolve in the past. It was at the fringe of likelihood of acceptance. The numbers were huge - CRA would be very interested in even $1 million and here they were talking about $150 million. As a result he said it hit the highest on the spectrum of difficulty. He knew he would have to get Mr. Letkeman to agree and then he, in turn, would have to convince Ottawa that the settlement was a good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Pedlow and Mr. Graham considered the approach Mr. Pedlow should make to CRA. He decided he would start by saying they had not sent the request to Liechtenstein, but maybe a deal could be made. He would say there is $30 million in the company account and any settlement would have to leave the lion's share of that to Mr. Hellner or he would not agree. They decided to try to get CRA to treat it like a net worth assessment - so that the $30 million in the Kaliope accounts would be treated as undisclosed income of Mr. Hellner's, the source would not be considered and the early profits and subsequent losses would be ignored. This would eliminate the problem that the losses could not be carried back far enough to offset the earlier profits. It would also eliminate the problem of having to pay tax when the funds were taken out of Kaliope.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concept was easy, according to Mr. Pedlow. Mr. Hellner had never taken anything out of the company. The money that started the company was tax paid money. So you would subtract the initial funds, credit any withholding taxes and tax 43 cents on the dollar on the balance as if it was in Mr. Hellner's hands. Having said that, he also knew that this type of settlement would be unprecedented.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When Mr. Pedlow spoke to Mr. Letkeman on October 25, 2010, Mr. Letkeman was unsure whether he would even get approval to deal in these circumstances. Mr. Pedlow said that was understandable as there was really no basis even to have the discussion. Mr. Letkeman favoured a telescoping approach, whereby all the income would telescope to one year and be taxed accordingly. Mr. Pedlow was not in favour of that because of the significant income in 2005 - 2009. They ultimately did settle on a net worth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Pedlow said that he was surprised that Mr. Letkeman was seriously considering a deal as this was so far from the circumstances in which a voluntary disclosure would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On October 26, 2010, Mr. Pedlow advised Mr. Hellman what had been discussed with Mr. Letkeman. Mr. Pedlow said that Mr. Hellner understood what the proposals were and that he had some good ideas, but he kept pushing the envelope and Mr. Pedlow had to manage him so as to not alienate Mr. Letkeman. His object was to keep it simple.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Pedlow had another telephone conversation with Mr. Letkeman on October 28, 2010. Mr. Letkeman made it clear that to settle this CRA would want the truth. They would want to meet with Mr. Hellner. It could be on a without prejudice basis, but the cards had to be on the 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Pedlow was still speaking in hypothetical terms to CRA as to ownership and that he wanted to make a deal on that basis. But he said he was very specific as to how the numbers would work and the credit that Mr. Hellner would receive for the seed money and the withholding tax.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On that basis, and that Mr. Hellner would need to keep at least 2/3 of the $30 million, they worked out the framework of what Mr. Letkeman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Pedlow emailed Mr. Hellner on October 29, 2010 and advised him that there were some conditions that he would have to discuss with him and that he would be away for 10 days. The condition he was referring to was the confession.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Letkeman did an analysis of dividends and interest earned by Kaliope and provided that to Mr. Pedlow by letter of November 10, 2010. It was in the same ballpark as what Mr. Pedlow was proposing on a net worth basis, and Mr. Pedlow said that helped as Mr. Letkeman had to be an advocate for this settlement. He had to sell it to Ottawa as it was too large to be decided regionally. He did get push-back on it from Ottawa, with suggestions like it should be spread over the relevant years. If that had been the result, there would have been interest on the tax amount for the period, say 10 years, and it would not have been acceptable to Mr. Hellner. It would have ended up in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On November 24, 2010, Mr. Pedlow emailed Mr. Hellner saying that he had some information from CRA that he wanted to discuss. Mr. Hellner's email response, referred to above,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"DAVID, PLEASE GET A MEETING WITH THE CRA WITHIN 2 WEEKS MAX. AND GIVE ME THE DATE BY TOMORROW. IF CRA IS NOT TOO GREEDY I WILL SETTLE, OTHERWISE I SHALL FIGHT ALL THE WAY TO WIN, WIN ... HAVE TO LEAVE FOR THE SOUTH SOON, BEFORE GETTING SICKER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Pedlow's comment on this was that Mr. Hellner is a determined, get his own way, kind of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On November 29, 2010, Mr. Pedlow had another telephone conversation with Mr. Letkeman. They were talking specific numbers: $26.8 million value as at December 31, 2009, per Mr. Hellner, less a $3.5 million "contribution" that was acceptable to CRA. The $23.3 million net would be taxed either to Mr. Hellner at the personal tax rate of .437, or to Kaliope at the corporate rate of .4571. Not only was the rate difference significant, but Mr. Pedlow wanted CRA to tax this to Mr. Hellner personally so that he avoided the problem of getting the money out of Kaliope. He wanted CRA to disregard Kaliope on the basis that it was only Mr. Hellner's agent for investing.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Mr. Pedlow summarized the situation in an email to Mr. Hellner on November 29, 2010. By his analysis, if they settled on Mr. Letkeman's interest and dividend calculations, Kaliope would owe $10,602,541 with no interest or penalty before 2010. Prior gains and losses would be ignored. He pointed out that if CRA taxed on the information they had for the years 1987 - 2004 the tax, interest and late filing penalties would equal twice that, and if a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penalty was added it would be 50% of the tax and total more than what was left in the account. Then there would be appeals. His estimate of ultimate success was perhaps 50% or 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He goes on to say that the proposal is unprecedented - in his evidence he said he had never heard of a deal that good in Canada - and urges Mr. Hellner to give it favourable consideration. He then sets out his other ideas - Kaliope as agent and using the personal tax rate, and the net worth approach. On that basis he estimates the tax liability will be about $9,150,000 and perhaps less if they can establish more withholding taxes.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last paragraph refers to legal fees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compared to the alternative of tax and penalties in excess of the current value of the account this is an outstanding settlement figure. My fees to you will take that saving into account. I will call you discuss. [sic]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Hellner, in a phone call of November 29, 2010, suggested some more tweaking to the deal, but the matters he wanted included were not possible. Mr. Pedlow said it was an example of how 'with it' he was as a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another phone call that day Mr. Hellner advised that the amount in the account as of October 2010 was $34,305,000 and that he wanted the deal to be right up to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Although it seems directly contrary to these phone calls, when Mr. Hellner testified he said that when he received the email of November 29, 2010, it "was the straw that broke the camel's neck". He said that Mr. Pedlow had it all wrong and that the settlement he was proposing was completely out of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He testified in response to the reference to legal fees that he would not agree to anything other than an hourly rate fee and decided to fire Mr. Pedlow. He said that he decided to call Mr. Lyon of CRA himself, that he did so and told Mr. Lyon that he could not pay more than $5 million and that he was going to fire Mr. Pedlow. He said that Mr. Lyon said that CRA would sharpen its pencils and not to fire Mr. Pedlow yet, as they were almost there and if he got a new lawyer they would have to start again. Mr. Hellner says that he and Mr. Lyon agreed to settle the Kaliope matter for $7.5 million less any withholding tax paid in this phone conversation. As noted previously, what Mr. Hellner says Mr. Lyon said or agreed to in this phone call is hearsay and not admissible for its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Although it is not in his notes, Mr. Pedlow says that at some point following this November 29, 2010 email he and Mr. Hellner also discussed legal fees. Mr. Pedlow's evidence was Mr. Hellner offered to pay him 1/3 of any amount saved less than $7.5 million in tax. As Mr. Pedlow thought that the tax amount was closer to $10 million he said that was unacceptable and it would have to be 1/3 of anything under $10 million. There was no discussion of hourly rates. They did not agree and Mr. Pedlow simply said that as they couldn't resolve it then he would charge a fair fee at the end of the day and he dropped the subject.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Hellner flatly denied in his evidence that he suggested any such thing or that these percentages were discussed. He repeatedly asserted that he would not have considered any fee arrangement other than a flat hourly rate. He testified that he told Mr. Pedlow that he was angry with him for trying to get a bonus and that he would not pay a bonus, period. He later said, however, that if Mr. Pedlow had ever told him that he wanted a bonus or a percentage he would have immediately left and found a new lawyer. His actions conflict with that assertion. He did not try to find a new lawyer when he received Mr. Pedlow's email, or even after the settlement was achieved - although he clearly understood that Mr. Pedlow was saying that his fee would include a bonus. He says he did not do so because Mr. Lyon asked him not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It was suggested to Mr. Pedlow in cross-examination that Mr. Hellner told him he would not pay a bonus. Mr. Pedlow rejected that, saying if Mr. Hellner had said he would not pay a bonus Mr. Pedlow either would not have continued on the file or he would have gone forward only on higher hourly rates of perhaps $600 - 900/hour, not $475.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There was no further discussion regarding fees from this point through March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When asked what he would have charged if the matter didn't settle, Mr. Pedlow advised he would have charged on an hourly rate basis. He said even though it would have been a good attempt, if there was no positive outcome then there was no value in the outcome. If there had been no deal, they would have relied on the without prejudice nature of the discussions and CRA would have tried to gather the information elsewhere. They would have proceeded down the litigation track.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'confession' meeting with the CRA was held on December 8, 2010. Mr. Pedlow and Mr. Hellner met the day before to prepare. At the confession meeting were Mr. Letkeman, Mr. Lyon, Mr. Hellner and Mr. Pedlow. Mr. Pedlow's evidence was that Mr. Hellner was a bit more forthcoming than he should have been and he worked to keep him in check.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At some point before this meeting, Mr. Hellner told Mr. Pedlow that CRA had agreed to settle with him for $7.5 million. Mr. Pedlow said that Mr. Hellner raised that at the meeting with CRA and he said that Mr. Lyon flatly denied any such thing - and further denied that they would even have the authority to make such a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After the meeting, Mr. Pedlow was trying to get together all the information he could to establish all possible withholding taxes. It resulted in a delay, which he was unhappy with as he did not want CRA to lose motivation, but it gave Mr. Hellner about $2.5 million in extra credit and hence extra savings.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the interim, Mr. Pedlow recommended that some payment be made to CRA as that would stop interest from accruing. On December 25, 2010 the investment advisor confirmed that a cheque for $4.75 million was delivered to CRA on December 22, 2010. Another $1.25 million was to be sent in January 2011. It was Mr. Pedlow's view that the settlement also had a better chance of success with so much money on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On December 29, 2010 Mr. Pedlow confirmed the status to Mr. Hellner in an email. The total withholding taxes they had been able to substantiate now totalled $5,719,323, resulting in personal tax of $7,007,200 plus interest of about $230,000. He said he was expecting a draft proposal letter from Mr. Letkeman. He was, however, waiting for Mr. Hellner's investment advisor to get him needed information on the holdings in the Kaliope account as at December 31, 2009. He wanted to get every last dollar for Mr. Hellner but was also concerned that the delays would result in Mr. Letkeman losing patience.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Mr. Hellner replied, inter alia, that the 7.2 million should also cover 2010 taxes. Mr. Pedlow said that Mr. Hellner kept pressing for this, but it was not practical and would have resulted in more tax being payable.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Mr. Pedlow received the draft settlement agreement from Mr. Letkeman on January 31, 2011 and forwarded it to Mr. Hellner. Mr. Pedlow said it was clear that Mr. Hellner had a good understanding of the terms of the agreement given his questions and suggestions. He did think that the number was increasing, but Mr. Pedlow pointed out to him that the $7.2 million included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Mr. Pedlow wanted to attach a schedule to the agreement with the amount of unrealized profit set out, but Mr. Hellman's investment advisor had not been able to generate that information as his software would not produce it. He remained hopeful that they would get it, but wanted to get the terms of the settlement off to Ottawa for approval. His concern was that the year-end for CRA was the end of February and he thought that if it was not nailed down by then he would lose the support of Victoria - meaning Mr. Letkeman and his associates.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As it turned out, the new software that Mr. Hellman's advisor was using was not giving them reliable numbers and they ended up using older, more reliable information, but this was not finalized until early March.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terms of the settlement were reviewed with Mr. Graham as they wanted to ensure that it was drafted carefully to avoid future problems. Mr. Graham also recommended that the file should be changed back from Kaliope to Mr. Hellner, so that there would be no question about Mr. Hellner being able to deduct the lawyer's fees. He testified that since Mr. Hellner had confessed that Kaliope was a fiction, the file should be in his name and the fees would be deductible by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In February 2011, in a phone call with Mr. Pedlow, Mr. Hellner was again harkening back to the deal he thought he had made to settle for $7.5 million. He said he wanted $7.5 million to cover everything. But he also said to get the best deal he could. Mr. Pedlow told him the deal was not $7.5 million and he believed it was the best deal possible. He confirmed the latter in an email on February 26,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At the same time, Mr. Pedlow started making inquiries of Mr. Hellner's investment advisor for information for his 2010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By March 2, 2011, fine-tuning had reduced the tax payable to $6,987,960 plus interest. Mr. Pedlow pointed out in his evidence that he was still not certain the deal would go through and was only certain when he was told by David Letkeman on March 11, 2011 that the deal had been "approved by Ottawa - very high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Mr. Hellner apparently contacted Mr. Pedlow on March 12, 2011 to complain that CRA had charged him a $2,500 late filing penalty in the agreement, but said he would sign it. Mr. Pedlow pointed out in his evidence that CRA could have asked for a late filing penalty for every year back to 2006. The agreement was finalized.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From this point through July 2011, Mr. Pedlow assisted Mr. Hellner and Mr. Custy with Mr. Hellner's 2010 income tax return. In a status update of May 16, 2011 that Mr. Pedlow emailed to Mr. Hellner, he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will probably take another two or three weeks to get the 2009 and 2010 tax assessments correct. Then I we [sic] need to agree on my fee for getting this done. You might think what would be a reasonable amount and I will do the same. Maybe we will come up with the same or close number. The fee is allowed as a deduction from your 2010 taxable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On September 19, 2011, Mr. Pedlow emailed to Mr. Hellner saying: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Yes, I can meet Thursday morning. Let's say 9:30. We can discuss current status and maybe agree on my fee. I will send you a complete file when we are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He said he could not recall exactly what this resulted from - somehow Mr. Hellner had conveyed to him that he wanted to pick up his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Mr. Pedlow sent a reporting email that same day. In that email there was a section on fees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need to reach an agreement on the bonus amount to be added to my recorded time charges over the past year (currently about $69,500 at my minimum billing rate). We did not resolve this when we discussed it last Fall. You suggested a third of tax paid for 2009 below $7.5 million and I suggested the number be a third of tax paid below $10 million. The tax paid for 2009 was $7.23 million after the interest credit mentioned above. The saving of $270,000 should all be paid as a bonus (plus the time charges). CRA was ready to assess Kaliope as a resident of Canada on $29 million of interest and dividends earned from 1987 to 2009. Even with a credit for the withholding taxes paid on some of that income, the bill with interest and late filing penalties would have been enormous, perhaps taking all the assets held at Northern. I succeeded in getting that income taxed entirely in 2009 with a full credit for withholding taxes paid in prior years. And I succeeded in persuading CRA to ignore the presence of Kaliope and taxing the income as it if was yours, avoiding any personal tax that would otherwise have been paid by you to withdraw the funds as a dividend. More importantly, you have not had to face more serious consequences that could have fallen on you in these circumstances. The years of fighting this would have cost a significant sum in addition to the strain on yourself and your family. I said I would be reasonable in setting the fee and I think this does it. I wanted you to make a suggestion on the amount but you haven't come up with anything. We can discuss this when we meet later this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Mr. Pedlow's evidence was that Mr. Hellner never denied the discussion about percentages of tax saved referenced in this email.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When the two met on September 22, 2011, Mr. Hellner offered Mr. Pedlow $50,000. Initially Mr. Pedlow thought that meant $50,000 bonus on top of the time spent and he said he might have taken that to avoid a fight. But it turned out Mr. Hellner was offering $50,000 plus what had been paid for the first two accounts in full satisfaction of the fees, disbursements and taxes. At some point, either in the meeting or later, this was increased to $60,000.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Mr. Pedlow's reaction was anger. He wanted to throw Mr. Hellner out and testified that he did so, but in a nicer way. He did not return his file to him and told him they would have to settle the account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Later in September there was a back and forth about perhaps discussing this further. Mr. Pedlow emailed that he remained open to "any reasonable proposal for properly compensating me for what I have achieved for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By hand-written letter dated October 15, 2011, Mr. Hellner said that he had made it clear that he would only agree to be charged an hourly rate and if he had known there was to be another basis for the fee he would have "walked out". He accuses Mr. Pedlow of keeping him in the dark so that he wouldn't lose the account. He enclosed a cheque for $10,000 and in December sent an additional cheque for $52,441.88 noted to be "Final Payment". Mr. Pedlow did not accept the cheques as full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In February 2012 Mr. Pedlow sent another email advising that an expert would testify that a fair fee would be in the range of $500,000 - 600,000 and that he was still willing to accept the $270,000 plus $70,000, until he started incurring costs for this review. He did not hear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In June 2012 Mr. Pedlow emailed saying he would soon be sending an invoice and proceeding with a fee review, that he did not accept the cheques that were tendered and would either cash them and hold the funds in trust or return them. He did not hear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On August 2, 2012, Mr. Pedlow emailed Mr. Hellner his account, which he calculated by taking roughly the mid-point between Mr. Hellner's suggestion of one-third of the tax savings below $7.5 million and Mr. Pedlow's position of one-third of the savings below $10 million. He did not hear back. The next communication was his receipt of the Appointment for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Mr. Graham said he thought the fee the Mr. Pedlow charged was far too low. It was such a good settlement that he thought the starting point for the fee should have been 10% of the saving, which would have been $2.3 million. He said that was probably too much, but he would have charged $1 - 2 million, closer to $2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He pointed out that Mr. Hellner was facing not just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penalties of 50% of the unpaid tax, but a criminal tax evasion charge. If found guilty he faced a 50 - 200% fine plus up to five years in jail. It would have taken years to fight and his legal fees would have been hundreds of thousands of dollars. On cross-examination counsel suggested to him that first CRA would have to prove their case. Mr. Graham pointed out that in civil cases, i.e. the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type of case, the onus is on the taxpayer. He noted that the Crown is entitled to make assumptions of fact that have to be disproved by the taxpayer. This was confirmed by the law firm's expert, Mr. Boddez.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Two expert reports were tendered by the law firm, that of Mr. Duholke, FCA, a tax accountant and that of Mr. Boddez, a tax lawyer. Mr. Hellner did not provide any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From Mr. Duholke's evidence it seems that the tax savings achieved by Mr. Pedlow for Mr. Hellner were between $23 million and $38 million. That is conceded by Mr. Hellner in counsel's closing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Mr. Boddez is a partner of Thorsteinssons LLP. He has served as the Managing Partner and in that capacity been responsible for considering the reasonableness of fees charged by the other lawyers in that firm. He has never given expert evidence in a fee dispute before. He is also a Governor of the Canadian Tax Foundation.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In cross-examination regarding Mr. Boddez' credentials, counsel for Mr. Hellner advised that he was not challenging Mr. Boddez qualifications regarding tax law, but did challenge his qualifications to give an opinion on a reasonable fee. He did not object to the admissibility of the report but said that should go to the weight to be given to Mr. Boddez' opinions. I am satisfied that Mr. Boddez has had considerable experience in considering appropriate fees to be charged in complex tax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Turning then to the opinion and evidence of Mr. Boddez, his opinion as to the result achieved is founded on the statutory duty that governs the Minister. Mr. Boddez opined that the settlement here was contrary to law. He pointed to the decision in </w:t>
      </w:r>
      <w:r>
        <w:rPr>
          <w:rFonts w:ascii="arial" w:eastAsia="arial" w:hAnsi="arial" w:cs="arial"/>
          <w:i/>
          <w:color w:val="000000"/>
          <w:sz w:val="20"/>
          <w:lang w:val="en-US" w:eastAsia="en-US" w:bidi="ar-SA"/>
        </w:rPr>
        <w:t>CIBC World Markets Inc. v. the Queen</w:t>
      </w:r>
      <w:r>
        <w:rPr>
          <w:rFonts w:ascii="arial" w:eastAsia="arial" w:hAnsi="arial" w:cs="arial"/>
          <w:color w:val="000000"/>
          <w:sz w:val="20"/>
          <w:lang w:val="en-US" w:eastAsia="en-US" w:bidi="ar-SA"/>
        </w:rPr>
        <w:t xml:space="preserve">, </w:t>
      </w:r>
      <w:hyperlink r:id="rId159" w:history="1">
        <w:r>
          <w:rPr>
            <w:rFonts w:ascii="arial" w:eastAsia="arial" w:hAnsi="arial" w:cs="arial"/>
            <w:i/>
            <w:color w:val="0077CC"/>
            <w:sz w:val="20"/>
            <w:u w:val="single"/>
            <w:shd w:val="clear" w:color="auto" w:fill="FFFFFF"/>
            <w:lang w:val="en-US" w:eastAsia="en-US" w:bidi="ar-SA"/>
          </w:rPr>
          <w:t>2012 FCA 3</w:t>
        </w:r>
      </w:hyperlink>
      <w:r>
        <w:rPr>
          <w:rFonts w:ascii="arial" w:eastAsia="arial" w:hAnsi="arial" w:cs="arial"/>
          <w:color w:val="000000"/>
          <w:sz w:val="20"/>
          <w:lang w:val="en-US" w:eastAsia="en-US" w:bidi="ar-SA"/>
        </w:rPr>
        <w:t xml:space="preserve"> at paras. 22 and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This Court is bound by its decision in </w:t>
      </w:r>
      <w:r>
        <w:rPr>
          <w:rFonts w:ascii="arial" w:eastAsia="arial" w:hAnsi="arial" w:cs="arial"/>
          <w:i/>
          <w:color w:val="000000"/>
          <w:sz w:val="20"/>
          <w:lang w:val="en-US" w:eastAsia="en-US" w:bidi="ar-SA"/>
        </w:rPr>
        <w:t>Galway v. Minister of National Revenue</w:t>
      </w:r>
      <w:r>
        <w:rPr>
          <w:rFonts w:ascii="arial" w:eastAsia="arial" w:hAnsi="arial" w:cs="arial"/>
          <w:color w:val="000000"/>
          <w:sz w:val="20"/>
          <w:lang w:val="en-US" w:eastAsia="en-US" w:bidi="ar-SA"/>
        </w:rPr>
        <w:t xml:space="preserve">, </w:t>
      </w:r>
      <w:hyperlink r:id="rId160" w:history="1">
        <w:r>
          <w:rPr>
            <w:rFonts w:ascii="arial" w:eastAsia="arial" w:hAnsi="arial" w:cs="arial"/>
            <w:i/>
            <w:color w:val="0077CC"/>
            <w:sz w:val="20"/>
            <w:u w:val="single"/>
            <w:shd w:val="clear" w:color="auto" w:fill="FFFFFF"/>
            <w:lang w:val="en-US" w:eastAsia="en-US" w:bidi="ar-SA"/>
          </w:rPr>
          <w:t>[1974] 1 F.C. 600</w:t>
        </w:r>
      </w:hyperlink>
      <w:r>
        <w:rPr>
          <w:rFonts w:ascii="arial" w:eastAsia="arial" w:hAnsi="arial" w:cs="arial"/>
          <w:color w:val="000000"/>
          <w:sz w:val="20"/>
          <w:lang w:val="en-US" w:eastAsia="en-US" w:bidi="ar-SA"/>
        </w:rPr>
        <w:t xml:space="preserve"> (C.A.). In that decision, Jackett C.J., writing for the unanimous Court, stated (at page 602) that "the Minister has a statutory duty to assess the amount of tax payable on the [facts] as he finds them in accordance with the law as he understands it." In his view, "it follows that he cannot assess for some amount designed to implement a compromise settlement." The Minister is obligated to assess "on the facts in accordance with the law and not to implement a compromise settlement." See also </w:t>
      </w:r>
      <w:r>
        <w:rPr>
          <w:rFonts w:ascii="arial" w:eastAsia="arial" w:hAnsi="arial" w:cs="arial"/>
          <w:i/>
          <w:color w:val="000000"/>
          <w:sz w:val="20"/>
          <w:lang w:val="en-US" w:eastAsia="en-US" w:bidi="ar-SA"/>
        </w:rPr>
        <w:t>Cohen v. The Queen</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[1980] C.T.C. 318</w:t>
        </w:r>
      </w:hyperlink>
      <w:r>
        <w:rPr>
          <w:rFonts w:ascii="arial" w:eastAsia="arial" w:hAnsi="arial" w:cs="arial"/>
          <w:color w:val="000000"/>
          <w:sz w:val="20"/>
          <w:lang w:val="en-US" w:eastAsia="en-US" w:bidi="ar-SA"/>
        </w:rPr>
        <w:t xml:space="preserve"> (F.C.A.).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More recently, this Court reaffirmed </w:t>
      </w:r>
      <w:r>
        <w:rPr>
          <w:rFonts w:ascii="arial" w:eastAsia="arial" w:hAnsi="arial" w:cs="arial"/>
          <w:i/>
          <w:color w:val="000000"/>
          <w:sz w:val="20"/>
          <w:lang w:val="en-US" w:eastAsia="en-US" w:bidi="ar-SA"/>
        </w:rPr>
        <w:t>Galway</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Harris v. Canada</w:t>
      </w:r>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2000 CanLII 15738</w:t>
        </w:r>
      </w:hyperlink>
      <w:r>
        <w:rPr>
          <w:rFonts w:ascii="arial" w:eastAsia="arial" w:hAnsi="arial" w:cs="arial"/>
          <w:color w:val="000000"/>
          <w:sz w:val="20"/>
          <w:lang w:val="en-US" w:eastAsia="en-US" w:bidi="ar-SA"/>
        </w:rPr>
        <w:t xml:space="preserve"> (FCA), </w:t>
      </w:r>
      <w:hyperlink r:id="rId162" w:history="1">
        <w:r>
          <w:rPr>
            <w:rFonts w:ascii="arial" w:eastAsia="arial" w:hAnsi="arial" w:cs="arial"/>
            <w:i/>
            <w:color w:val="0077CC"/>
            <w:sz w:val="20"/>
            <w:u w:val="single"/>
            <w:shd w:val="clear" w:color="auto" w:fill="FFFFFF"/>
            <w:lang w:val="en-US" w:eastAsia="en-US" w:bidi="ar-SA"/>
          </w:rPr>
          <w:t>[2000] 4 F.C. 37</w:t>
        </w:r>
      </w:hyperlink>
      <w:r>
        <w:rPr>
          <w:rFonts w:ascii="arial" w:eastAsia="arial" w:hAnsi="arial" w:cs="arial"/>
          <w:color w:val="000000"/>
          <w:sz w:val="20"/>
          <w:lang w:val="en-US" w:eastAsia="en-US" w:bidi="ar-SA"/>
        </w:rPr>
        <w:t xml:space="preserve"> (C.A.). Sexton J.A., writing for the unanimous Court, stated (at paragraph 37) that "the Minister of National Revenue is limited to making decisions based solely on considerations arising from the Act itself" and cannot make "deals" divorced from those considerations. To similar effect, see </w:t>
      </w:r>
      <w:r>
        <w:rPr>
          <w:rFonts w:ascii="arial" w:eastAsia="arial" w:hAnsi="arial" w:cs="arial"/>
          <w:i/>
          <w:color w:val="000000"/>
          <w:sz w:val="20"/>
          <w:lang w:val="en-US" w:eastAsia="en-US" w:bidi="ar-SA"/>
        </w:rPr>
        <w:t>Longley v. Minister of National Revenue</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1992 CanLII 5961</w:t>
        </w:r>
      </w:hyperlink>
      <w:r>
        <w:rPr>
          <w:rFonts w:ascii="arial" w:eastAsia="arial" w:hAnsi="arial" w:cs="arial"/>
          <w:color w:val="000000"/>
          <w:sz w:val="20"/>
          <w:lang w:val="en-US" w:eastAsia="en-US" w:bidi="ar-SA"/>
        </w:rPr>
        <w:t xml:space="preserve"> (BC CA), </w:t>
      </w:r>
      <w:hyperlink r:id="rId163" w:history="1">
        <w:r>
          <w:rPr>
            <w:rFonts w:ascii="arial" w:eastAsia="arial" w:hAnsi="arial" w:cs="arial"/>
            <w:i/>
            <w:color w:val="0077CC"/>
            <w:sz w:val="20"/>
            <w:u w:val="single"/>
            <w:shd w:val="clear" w:color="auto" w:fill="FFFFFF"/>
            <w:lang w:val="en-US" w:eastAsia="en-US" w:bidi="ar-SA"/>
          </w:rPr>
          <w:t>(1992), 66 B.C.L.R. (2d) 238</w:t>
        </w:r>
      </w:hyperlink>
      <w:r>
        <w:rPr>
          <w:rFonts w:ascii="arial" w:eastAsia="arial" w:hAnsi="arial" w:cs="arial"/>
          <w:color w:val="000000"/>
          <w:sz w:val="20"/>
          <w:lang w:val="en-US" w:eastAsia="en-US" w:bidi="ar-SA"/>
        </w:rPr>
        <w:t xml:space="preserve"> (C.A.) at page 455.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Mr. Boddez' opinion applying this decision to the facts of this case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no legal principle in the Act that allows income and capital gains to be taxed in 2009 if they were realized in taxation years prior to 2009. It is a well-settled principle of taxation law that each taxation year be treated like a "separate and distinct water-tight compartment". Income for </w:t>
      </w:r>
      <w:r>
        <w:rPr>
          <w:rFonts w:ascii="arial" w:eastAsia="arial" w:hAnsi="arial" w:cs="arial"/>
          <w:i/>
          <w:color w:val="000000"/>
          <w:sz w:val="20"/>
          <w:lang w:val="en-US" w:eastAsia="en-US" w:bidi="ar-SA"/>
        </w:rPr>
        <w:t>each year</w:t>
      </w:r>
      <w:r>
        <w:rPr>
          <w:rFonts w:ascii="arial" w:eastAsia="arial" w:hAnsi="arial" w:cs="arial"/>
          <w:color w:val="000000"/>
          <w:sz w:val="20"/>
          <w:lang w:val="en-US" w:eastAsia="en-US" w:bidi="ar-SA"/>
        </w:rPr>
        <w:t xml:space="preserve"> must be determined and assessed </w:t>
      </w:r>
      <w:r>
        <w:rPr>
          <w:rFonts w:ascii="arial" w:eastAsia="arial" w:hAnsi="arial" w:cs="arial"/>
          <w:i/>
          <w:color w:val="000000"/>
          <w:sz w:val="20"/>
          <w:lang w:val="en-US" w:eastAsia="en-US" w:bidi="ar-SA"/>
        </w:rPr>
        <w:t>for that year</w:t>
      </w:r>
      <w:r>
        <w:rPr>
          <w:rFonts w:ascii="arial" w:eastAsia="arial" w:hAnsi="arial" w:cs="arial"/>
          <w:color w:val="000000"/>
          <w:sz w:val="20"/>
          <w:lang w:val="en-US" w:eastAsia="en-US" w:bidi="ar-SA"/>
        </w:rPr>
        <w:t xml:space="preserve"> in accordance with the Act, and it is the statutory duty of the Canada Revenue Agency ("CRA")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He pointed to the "difficulty and novelty of convincing the CRA to issue a reassessment taxing income and capital gains in a year other than when they were realized, contrary to their duty to assess in accordance with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Mr. Boddez also opined that Mr. Pedlow's firm was one of the firms "on a very short list" to which he would refer tax work of the nature dealt with here. Further, that Mr. Pedlow and Mr. Graham were "known to have the skill and specialized knowledge required to conduct files of this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As to the amount involved, Mr. Boddez said in his report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the absence of that settlement the amount owing would have been approximately $30.5 million and had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penalties applied, approximately $45.5 million.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fact, Mr. Hellner's potential liability could have been much greater than that, for at least two reasons. First, Mr. Hellner acknowledged that he was always the beneficial owner of Kaliope and its investments. The settlement involved the filing of a foreign reporting form for only the 2009 taxation year and the payment of a penalty in relation thereto in the amount of $2,500. The penalty was imposed for failure to file the information return reporting holdings of foreign assets, as and when required by subsection 162(7) of the Act. If the CRA had applied the provisions of the Act that require the filing of the foreign reporting form in each taxation year, a penalty of $2,500 would have applied for every year commencing in 1998 (the first year that the requirement to file foreign reporting forms existed under the Act). Furthermore, the penalty could have been increased to $12,000 (as per paragraph 162(10)(a) of the Act) for each of those years to the extent the failure to file the form was considered to have been done knowingly or under circumstances amounting to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If that were found to be the case, an additional penalty could also have been imposed for each year under subsection 162(10.1) of the Act (except for years prior to 1998 and those not more than two years past due). The additional penalty would be equal to 5% of the cost amount of the offshore property, for each year. Interest would also accrue on such penalty assessments.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Second, and surprisingly, the CRA auditors did not refer the file to the Investigations Division of the CRA, responsible for the prosecution of tax evasion offenses under section 239 of the Act or section 380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 in considering the amount involved, in my view it is appropriate to also consider the criminal fine of between 50 and 200% of federal tax that could have been imposed in the case of a successful conviction for tax evasion under section 239 of the Act. Indeed, had I been retained at the commencement of this matter, my advice to the client would have been that a laudable objective at the Audit Division would have been avoiding a referral to the Investigations Division and the possibility of criminal charges, leaving the amount owing pursuant to civil assessments under the Act to be deal with through the objection and appeal process. This advice would have been grounded in the view that the facts as presented could very well support a conviction for tax evasion under section 239 of the Act or section 380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resulting in the criminal fine discussed above and a possible term of incarceration of up to 14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Mr. Boddez thought that it would be "unrealistic for a client to expect achievement at the audit stage" and that it would normally have had to go through the objection and administrative appeal stage - again only a small chance of resolution and finally a Notice of Appeal to the Tax Court of Canada. He said fees for that process would be in the range of $200,000 - $300,000. There would be additional charges for an appeal and if criminal charges were laid - so that the final account could have been "well in excess of $500,000."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Mr. Boddez' view was that the result achieved was extraordinary and that it would not have been obtained by just any lawyer. He said that most lawyers would not even think to ask. He said that if a client had asked him whether he could affect such a settlement he would have said it was very unlikely.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Mr. Boddez reviewed the factors to be considered on a fair fee analysis and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Taking all of the above into account, it is my view that the fee charged was reasonable on a </w:t>
      </w:r>
      <w:r>
        <w:rPr>
          <w:rFonts w:ascii="arial" w:eastAsia="arial" w:hAnsi="arial" w:cs="arial"/>
          <w:i/>
          <w:color w:val="000000"/>
          <w:sz w:val="20"/>
          <w:lang w:val="en-US" w:eastAsia="en-US" w:bidi="ar-SA"/>
        </w:rPr>
        <w:t>quantum meruit basis</w:t>
      </w:r>
      <w:r>
        <w:rPr>
          <w:rFonts w:ascii="arial" w:eastAsia="arial" w:hAnsi="arial" w:cs="arial"/>
          <w:color w:val="000000"/>
          <w:sz w:val="20"/>
          <w:lang w:val="en-US" w:eastAsia="en-US" w:bidi="ar-SA"/>
        </w:rPr>
        <w:t>. The concept of reasonableness connotes a range of possible outcomes that would be acceptable, and I view this fee as falling within, but toward the higher end of that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appropriate range, he testified, was between 1% and 2% of the tax savings, i.e. from $310,000 to $620,000.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As to whether a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penalty would have been added to the assessment, he said that was a difficult question to answer, but lying to the auditor and then admitting the truth is "indicative of at least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not a willful attempt to mislead." He concludes that there was a strong likelihood of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penalties.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He does note, however, that "... if Mr. Hellner took professional advice regarding the structure established and relied on that advice to form a reasonable and honestly held belief that the income and capital gains were not subject to Canadian taxation, it is possible that the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penalties could be defeated."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Finally, I note Mr. Boddez' evidence that his hourly rate in 2010 was $700.00, which increased in 2011 to $750.00.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Disputed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Both counsel referred me to what has become known as the </w:t>
      </w:r>
      <w:r>
        <w:rPr>
          <w:rFonts w:ascii="arial" w:eastAsia="arial" w:hAnsi="arial" w:cs="arial"/>
          <w:i/>
          <w:color w:val="000000"/>
          <w:sz w:val="20"/>
          <w:lang w:val="en-US" w:eastAsia="en-US" w:bidi="ar-SA"/>
        </w:rPr>
        <w:t>Waldock</w:t>
      </w:r>
      <w:r>
        <w:rPr>
          <w:rFonts w:ascii="arial" w:eastAsia="arial" w:hAnsi="arial" w:cs="arial"/>
          <w:color w:val="000000"/>
          <w:sz w:val="20"/>
          <w:lang w:val="en-US" w:eastAsia="en-US" w:bidi="ar-SA"/>
        </w:rPr>
        <w:t xml:space="preserve"> rule, </w:t>
      </w:r>
      <w:hyperlink r:id="rId164" w:history="1">
        <w:r>
          <w:rPr>
            <w:rFonts w:ascii="arial" w:eastAsia="arial" w:hAnsi="arial" w:cs="arial"/>
            <w:i/>
            <w:color w:val="0077CC"/>
            <w:sz w:val="20"/>
            <w:u w:val="single"/>
            <w:shd w:val="clear" w:color="auto" w:fill="FFFFFF"/>
            <w:lang w:val="en-US" w:eastAsia="en-US" w:bidi="ar-SA"/>
          </w:rPr>
          <w:t>[1992] B.C.J. No. 1115</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Jiwan v. Davis &amp; Company, A Partnership</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2008 BCCA 494</w:t>
        </w:r>
      </w:hyperlink>
      <w:r>
        <w:rPr>
          <w:rFonts w:ascii="arial" w:eastAsia="arial" w:hAnsi="arial" w:cs="arial"/>
          <w:color w:val="000000"/>
          <w:sz w:val="20"/>
          <w:lang w:val="en-US" w:eastAsia="en-US" w:bidi="ar-SA"/>
        </w:rPr>
        <w:t>, Mr. Justice Bauman, as he then was,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[52] I agree with Mr. Turriff, counsel for Davis, when he characterizes the ratio in </w:t>
      </w:r>
      <w:r>
        <w:rPr>
          <w:rFonts w:ascii="arial" w:eastAsia="arial" w:hAnsi="arial" w:cs="arial"/>
          <w:b/>
          <w:i/>
          <w:color w:val="000000"/>
          <w:sz w:val="20"/>
          <w:lang w:val="en-US" w:eastAsia="en-US" w:bidi="ar-SA"/>
        </w:rPr>
        <w:t>Waldock</w:t>
      </w:r>
      <w:r>
        <w:rPr>
          <w:rFonts w:ascii="arial" w:eastAsia="arial" w:hAnsi="arial" w:cs="arial"/>
          <w:color w:val="000000"/>
          <w:sz w:val="20"/>
          <w:lang w:val="en-US" w:eastAsia="en-US" w:bidi="ar-SA"/>
        </w:rPr>
        <w:t xml:space="preserve"> as follows (at para. 71 of his factum):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Waldock</w:t>
      </w:r>
      <w:r>
        <w:rPr>
          <w:rFonts w:ascii="arial" w:eastAsia="arial" w:hAnsi="arial" w:cs="arial"/>
          <w:color w:val="000000"/>
          <w:sz w:val="20"/>
          <w:lang w:val="en-US" w:eastAsia="en-US" w:bidi="ar-SA"/>
        </w:rPr>
        <w:t>"rule", on which the Appellants rely, is no more than this: a statement that in cases of conflict decision-makers should accept the evidence of clients over the evidence of their solicitors where findings of credibility have not been made and where there is no other evidence tipping the scales in favour of one version of events over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Mr. Hellner's position can be summarized simply. He says he retained the lawyers on an hourly rate basis to take care of the paperwork details and to stall CRA while he made Kaliope's accounts ready to make a settlement offer. He says he effected the settlement with CRA and that having Mr. Pedlow involved cost him several million dollars as he could have effected a better settlement without him. He says that Mr. Pedlow's contribution was minimal, particularly after Mr. Hellner effected the settlement and that Mr. Pedlow was then only dealing with a few hundred thousand dollars of detail in finding out what withholding tax Mr. Hellner had paid and finalizing the paperwork. Mr. Hellner says that most of that work was done by his accountant and by CRA.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Further, he says he was at all times both clear and adamant that he would pay no fee other than a standard hourly rate at $350 for Mr. Graham and $450 for Mr. Pedlow.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Mr. Hellner's version of events does not jibe with reality and it is not consistent with much of the documentary evidence that exists. He was an irascible, argumentative witness. He clearly is used to conducting business his way and is not tolerant of diverging views. Perhaps he has reconstructed facts in hindsight, but I do not believe much of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Mr. Hellner clearly and knowingly lied to CRA and to his own counsel. He did so for strategic reasons. It was of no import to him that he was misleading his counsel, who were having discussions with CRA on that basis. He valued his business strategy more than the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 find that in early 2010 when CRA approached Mr. Hellner, he told Mr. Lyon that he was not the owner of Kaliope and that he would defend that position strongly. I do not believe that Mr. Lyon told him that there would not be any criminal charges or penalties, though I am of the view that is what Mr. Hellner chose to take from whatever was said. I expect Mr. Lyon told him that there was not at that time any intent to charge him criminally nor any view regarding penalties. CRA maintains evidentiary advantages if proceeding civilly, and hence they had good reason to say that is what they were choosing to do. It is simply not reasonable, however, that Mr. Lyon would have agreed to foreclose other remedies when he did not have sufficient information at that time to make such determinations.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With respect to Mr. Hellner's motivation in lying to his counsel and to CRA, I find his evidence, that he was doing it for strategic reasons to allow him time to get the Kaliope account in order, conflicts with emails and statements he made at the time. He was clearly concerned with how Mr. Pedlow saw things unfolding, hence his email questions of June 22, 2010 and his further reminder that he wanted those answers in his email of September 11, 2010. It seems more likely that he was waiting to see how his story of not being the owner of Kaliope would bear up under scrutiny and when he learned that things were not going his way, he decided to come clean with his lawyers. Regardless of his rationale, he was lying to advance his strategic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 believe Mr. Graham's evidence as to the timing of the discussion regarding fees and rates because of his specific recollection regarding the discussion of fire insurance and because I find that Mr. Hellner's evidence is unreliable. As no agreement was reached, however, this evidence is of limited use - other than to have put Mr. Hellner on notice that in the changed circumstances he could not expect an hourly rate billing.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I find that Mr. Hellner was, at all times prior to the settlement being finalized, facing the prospect of having to pay more than $30 million in tax and the potential of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fees that would have increased the amount owing to $45.5 million. He also potentially faced criminal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I do not believe that Mr. Hellner negotiated a settlement on the phone with Mr. Lyon in November 2010. Again, that may be what he took from the conversation, but if so, he was wrong. On all of the evidence it is clear that Mr. Lyon and Mr. Letkeman did not feel they had the authority to settle this matter without approval from Ottawa. Further, settlement at such an arbitrary global number would have been even farther from the straightforward obligation that the Minister has to assess taxes according to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It is perhaps what Mr. Hellner is used to doing in his other business ventures, but that is not the way CRA works, bound, as it is, by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In addition, if a settlement had been made at a global number, the discussions with Mr. Letkeman after the date of the alleged deal to finalize the numbers would have been unnecessary. All that would have been needed was a calculation of the tax withheld. That was thought to be $1,031,924 as of the time of the November 29, 2010 memo, but was eventually agreed to be $5,749,515, largely due to Mr. Pedlow's diligence in digging for the numbers with Mr. Hellman's other advisors.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Instead, there is a back and forth with Mr. Letkeman, finalizing the various amounts and the wording of the agreement. The result was to amend Mr. Hellman's 2009 tax return with the addition of $29,147,539 to his income and $5,749,515 to the total income tax deducted, resulting in $6,987,000 tax payable. $7.5 million does not figure into these calculations at all. Nor was the resultant settlement for $7.5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 conclude that Mr. Hellner did have the conversation with Mr. Pedlow in which he suggested that Mr. Pedlow take one-third of the tax savings below $7.5 million. This conversation is supported by Mr. Pedlow's memo of September 19, 2011 and was the foundation for his thinking about the fee arrangement. Although there was no note made at the time, I have no doubt that it happened as Mr. Pedlow said it did and because of Mr. Hellner's lack of credibility I have no obligation to prefer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 do not believe Mr. Hellner's assertion that he told Mr. Pedlow that he would not pay a bonus and that he would only pay the hourly rates he says he was given. I conclude that if Mr. Pedlow had been told that Mr. Hellner would insist on hourly rates that he would either have terminated the retainer or insisted on formalizing a fee agreement based on increased hourly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 find that Mr. Hellner clearly knew at least by the time of the November 29, 2010 email that Mr. Pedlow would be expecting a bonus that reflected the tax savings. He decided to terminate Mr. Pedlow's retainer at least partly on that basis, but changed his mind for his own strategic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He knew after their subsequent conversation the size of the bonus that Mr. Pedlow was contemplating and that as they did not agree, Mr. Pedlow concluded that conversation by telling Mr. Hellner that he would be charged a fair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There is no evidence that Mr. Hellner's ability to resolve matters with CRA would have been affected if he had terminated Mr. Pedlow's retainer on November 29,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Despite that, Mr. Hellner chose to continue to employ Mr. Pedlow without coming to any fee agreement with him. Nor did he terminate Mr. Pedlow's retainer after the CRA agreement was finalized in March, as he would have been expected to do if his evidence were true. He continued to employ Mr. Pedlow into September 2011 to deal with matters unrelated to the settlement. Mr. Pedlow proceeded during that time on the basis that he would receive a fair fee for his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settlement that Mr. Pedlow effected was unprecedented. He used his experience and that of Mr. Graham to propose and sell a resolution to CRA that on its face appears contrary to their statutory mandate. The expert evidence is uncontradicted in this regard and totally supports Mr. Pedlow's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Counsel for the client emphasized the obligations owed by a solicitor to a client. He referenced recent judgments of the court of appeal, such as </w:t>
      </w:r>
      <w:r>
        <w:rPr>
          <w:rFonts w:ascii="arial" w:eastAsia="arial" w:hAnsi="arial" w:cs="arial"/>
          <w:i/>
          <w:color w:val="000000"/>
          <w:sz w:val="20"/>
          <w:lang w:val="en-US" w:eastAsia="en-US" w:bidi="ar-SA"/>
        </w:rPr>
        <w:t>Nathanson, Schachter &amp; Thompson v. Inmet Mining Corporation</w:t>
      </w:r>
      <w:r>
        <w:rPr>
          <w:rFonts w:ascii="arial" w:eastAsia="arial" w:hAnsi="arial" w:cs="arial"/>
          <w:color w:val="000000"/>
          <w:sz w:val="20"/>
          <w:lang w:val="en-US" w:eastAsia="en-US" w:bidi="ar-SA"/>
        </w:rPr>
        <w:t xml:space="preserve">, </w:t>
      </w:r>
      <w:hyperlink r:id="rId166" w:history="1">
        <w:r>
          <w:rPr>
            <w:rFonts w:ascii="arial" w:eastAsia="arial" w:hAnsi="arial" w:cs="arial"/>
            <w:i/>
            <w:color w:val="0077CC"/>
            <w:sz w:val="20"/>
            <w:u w:val="single"/>
            <w:shd w:val="clear" w:color="auto" w:fill="FFFFFF"/>
            <w:lang w:val="en-US" w:eastAsia="en-US" w:bidi="ar-SA"/>
          </w:rPr>
          <w:t>2009 BCCA 385</w:t>
        </w:r>
      </w:hyperlink>
      <w:r>
        <w:rPr>
          <w:rFonts w:ascii="arial" w:eastAsia="arial" w:hAnsi="arial" w:cs="arial"/>
          <w:color w:val="000000"/>
          <w:sz w:val="20"/>
          <w:lang w:val="en-US" w:eastAsia="en-US" w:bidi="ar-SA"/>
        </w:rPr>
        <w:t>, to show that the lawyers owed a fiduciary duty to Mr. Hellner that extended to advising him of all relevant details and ensuring he was fully informed regarding the fee he would be 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Here there was no fee agreement. The first two accounts were rendered by Mr. Pedlow with no discussion with Mr. Hellner as to the basis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first account was an unrelated matter of Mr. Hellner's. It was rendered on a straight hourly rate basis and paid from trust funds, the balance of which were returned to Mr. Hellner. That retainer was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second retainer was with Kaliope. The account to Kaliope was rendered and paid from the retainer funds advanced by Kaliope. The account was rendered on an hourly rate basis on Mr. Pedlow's understanding of the facts, which had been conveyed to him by Mr. Hellner, and which were false. Mr. Pedlow believed, based on those facts, that this matter would be a relatively straightforward litigation matter through the administrative processes of CRA and ultimately tax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Before Mr. Pedlow had sufficient information to fully advise Mr. Hellner on the likely course of events based on CRA's position, Mr. Hellner decided things were not going his way and concluded that he better tell his counsel the truth and he did so at the meeting of October 12,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Mr. Hellner submits he was entitled to believe, until he was disabused of that belief by counsel, that he would continue to be billed on an hourly rate going forward, based on the authority of </w:t>
      </w:r>
      <w:r>
        <w:rPr>
          <w:rFonts w:ascii="arial" w:eastAsia="arial" w:hAnsi="arial" w:cs="arial"/>
          <w:i/>
          <w:color w:val="000000"/>
          <w:sz w:val="20"/>
          <w:lang w:val="en-US" w:eastAsia="en-US" w:bidi="ar-SA"/>
        </w:rPr>
        <w:t>Arctic Installations v. Campney &amp; Murphy</w:t>
      </w:r>
      <w:r>
        <w:rPr>
          <w:rFonts w:ascii="arial" w:eastAsia="arial" w:hAnsi="arial" w:cs="arial"/>
          <w:color w:val="000000"/>
          <w:sz w:val="20"/>
          <w:lang w:val="en-US" w:eastAsia="en-US" w:bidi="ar-SA"/>
        </w:rPr>
        <w:t xml:space="preserve">, </w:t>
      </w:r>
      <w:hyperlink r:id="rId167" w:history="1">
        <w:r>
          <w:rPr>
            <w:rFonts w:ascii="arial" w:eastAsia="arial" w:hAnsi="arial" w:cs="arial"/>
            <w:i/>
            <w:color w:val="0077CC"/>
            <w:sz w:val="20"/>
            <w:u w:val="single"/>
            <w:shd w:val="clear" w:color="auto" w:fill="FFFFFF"/>
            <w:lang w:val="en-US" w:eastAsia="en-US" w:bidi="ar-SA"/>
          </w:rPr>
          <w:t>[1994] B.C.J. No. 13</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Mr. Pedlow did not discuss fees with Mr. Hellner at that meeting of October 12, 2010. I do accept Mr. Graham's evidence as to the fee discussion that he recalls. That discussion was sufficient to alert Mr. Hellner to the type of fee that Mr. Graham thought would be charged - a fee based on the success of the negotiation, not the hours spent.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retainer changed when the truth came out. A third retainer came into existence. Not only did this go from being a straightforward tax litigation strategy to a rather desperate, though amazingly successful, attempt to negotiate a settlement, but the client changed from Kaliope to Mr. Hellner personally. The second retainer, the retainer with Kaliope, was at an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Mr. Pedlow proceeded to speak to Mr. Letkeman of CRA through the end of November to see what interest they might have in settling and found to his surprise that, although there were concerns and some resistance, he was to some extent pushing on an open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Unfortunately, by November 25, 2010 Mr. Hellner was clearly getting tired of waiting and demanded a meeting with CRA be set up within 2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Fortunately, Mr. Pedlow and Mr. Letkeman worked out a proposal that Mr. Pedlow presented to Mr. Hellner in his email of November 29, 2010. Mr. Pedlow was rightly proud of what he had been able to achieve with CRA, even though at this point there was still perhaps a 50% chance of settling. He conveyed this feeling in his email, calling the proposal "unprecedented".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He then referenced his fee, as noted above: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compared to the alternative of tax and penalties in excess of the current value of the account this is an outstanding settlement figure. My fees to you will take that saving into account. I will call you discuss. [sic]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He then spoke to Mr. Hellner, who said he would pay a fee of one-third of the savings if CRA settled for less than $7.5 million in tax. As noted Mr. Pedlow thought that the tax amount was closer to $10 million and he said the fee would have to be 1/3 of the savings for a settlement under $10 million. No agreement was reached, but Mr. Hellner was told that the bill would be based on a fair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I have concluded that Mr. Hellner was completely aware from this point on that Mr. Pedlow would not bill on an hourly rate basis for the work he was doing and intended to charge a fair fee. I conclude that Mr. Hellner had all of the information he required and Mr. Pedlow had satisfied his fiduciary duty to him to advise him fully about the nature of the retainer going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 agree with the submissions of Mr. Turriff. A sophisticated businessman like Mr. Hellner cannot lure counsel into billing on an hourly rate basis by lying to them about the basis of the retainer and then hold counsel to that arrangement when the truth is divulged, circumstances change, a new retainer is effected and he is fully apprised that the change will require a new billing arrangement.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Counsel for Mr. Hellner criticized Mr. Pedlow for waiting, "until the result of the negotiation was known to advise Mr. Hellner that it sought more than hourly rates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 do not agree. Mr. Hellner was alerted to this by his discussion with Mr. Graham at the October 12, 2010 meeting. By November 29, 2010, when Mr. Hellner was told of this by Mr. Pedlow, only 12 hours of the lawyers' time had been expended on the new retainer. The result of the negotiation was far from "known" - it was at best a potential for settlement that Mr. Pedlow estimated had a 50% chance of coming to fruition. By not terminating the retainer, as Mr. Hellner said he intended to do, he misled the lawyers into investing another 133 hours on his file on the understanding that their recovery would be based on a fair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Even if Mr. Hellner thought his ability to settle with CRA might have been impacted if he had changed counsel, there was no reason for him not to terminate Mr. Pedlow after the settlement was finalized. After that, Mr. Pedlow put in another 62.6 hours on matters going forward, again on the basis that a fair fee would be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Mr. Hellner was quite confident in his ability to settle with CRA regardless whether Mr. Pedlow was involved, and that concern was not the basis upon which he continued Mr. Pedlow's retainer. I conclude that he did so to suit his own convenience, knowing that Mr. Pedlow would be seeking a fair fee, but in his own mind convinced that he would be able to get away with paying based on an hourly rate. This is entirely consistent with his approach to his tax problems, his intractable nature and the tenor of his evidence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The basis for a solicitor's right to a fair fee is considered in </w:t>
      </w:r>
      <w:r>
        <w:rPr>
          <w:rFonts w:ascii="arial" w:eastAsia="arial" w:hAnsi="arial" w:cs="arial"/>
          <w:i/>
          <w:color w:val="000000"/>
          <w:sz w:val="20"/>
          <w:lang w:val="en-US" w:eastAsia="en-US" w:bidi="ar-SA"/>
        </w:rPr>
        <w:t>Inmet</w:t>
      </w:r>
      <w:r>
        <w:rPr>
          <w:rFonts w:ascii="arial" w:eastAsia="arial" w:hAnsi="arial" w:cs="arial"/>
          <w:color w:val="000000"/>
          <w:sz w:val="20"/>
          <w:lang w:val="en-US" w:eastAsia="en-US" w:bidi="ar-SA"/>
        </w:rPr>
        <w:t>, supra: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In the absence of an express agreement concerning payment, it is obviously an implied term of a retainer that the solicitor will be remunerated for his or her work. In this province, the contractual gap created by a failure of the parties to agree specifically on the terms of payment is filled by s. 71(4) of the Act, which stipulates that in the absence of an express agreement, the solicitor's fee will be assessed on the basis of the factors enumerated therein, i.e., on what has come to be called a "fair fee"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xml:space="preserve">  Here there was no fee agreement and no factors preclude the application of s. 71(4) of the </w:t>
      </w:r>
      <w:r>
        <w:rPr>
          <w:rFonts w:ascii="arial" w:eastAsia="arial" w:hAnsi="arial" w:cs="arial"/>
          <w:i/>
          <w:color w:val="000000"/>
          <w:sz w:val="20"/>
          <w:lang w:val="en-US" w:eastAsia="en-US" w:bidi="ar-SA"/>
        </w:rPr>
        <w:t>Legal Profession Act</w:t>
      </w:r>
      <w:r>
        <w:rPr>
          <w:rFonts w:ascii="arial" w:eastAsia="arial" w:hAnsi="arial" w:cs="arial"/>
          <w:color w:val="000000"/>
          <w:sz w:val="20"/>
          <w:lang w:val="en-US" w:eastAsia="en-US" w:bidi="ar-SA"/>
        </w:rPr>
        <w:t xml:space="preserve"> to the third retainer. I conclude that Mr. Pedlow is entitled to recover a fair fee in accordance with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for his services on the third retainer.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 conclude that the first two accounts were properly charged at hourly rates in conformity with Mr. Hellner's expectations at that time. He takes no issue with the time spent or any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Having reviewed the appropriate factors as set out in the </w:t>
      </w:r>
      <w:r>
        <w:rPr>
          <w:rFonts w:ascii="arial" w:eastAsia="arial" w:hAnsi="arial" w:cs="arial"/>
          <w:i/>
          <w:color w:val="000000"/>
          <w:sz w:val="20"/>
          <w:lang w:val="en-US" w:eastAsia="en-US" w:bidi="ar-SA"/>
        </w:rPr>
        <w:t>Legal Professions Act</w:t>
      </w:r>
      <w:r>
        <w:rPr>
          <w:rFonts w:ascii="arial" w:eastAsia="arial" w:hAnsi="arial" w:cs="arial"/>
          <w:color w:val="000000"/>
          <w:sz w:val="20"/>
          <w:lang w:val="en-US" w:eastAsia="en-US" w:bidi="ar-SA"/>
        </w:rPr>
        <w:t xml:space="preserve"> s. 71(4) I conclude that both accounts were reasonable and were for work necessary to accomplish the respective retainers. As such both accounts are allowed as 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Fair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I must therefore consider the fee for the third retainer in light of the requirements of the </w:t>
      </w:r>
      <w:r>
        <w:rPr>
          <w:rFonts w:ascii="arial" w:eastAsia="arial" w:hAnsi="arial" w:cs="arial"/>
          <w:i/>
          <w:color w:val="000000"/>
          <w:sz w:val="20"/>
          <w:lang w:val="en-US" w:eastAsia="en-US" w:bidi="ar-SA"/>
        </w:rPr>
        <w:t>Legal Profession Act</w:t>
      </w:r>
      <w:r>
        <w:rPr>
          <w:rFonts w:ascii="arial" w:eastAsia="arial" w:hAnsi="arial" w:cs="arial"/>
          <w:color w:val="000000"/>
          <w:sz w:val="20"/>
          <w:lang w:val="en-US" w:eastAsia="en-US" w:bidi="ar-SA"/>
        </w:rPr>
        <w:t>, s. 71(4), which, as noted above, provides:</w:t>
      </w:r>
      <w:r>
        <w:rPr>
          <w:rFonts w:ascii="arial" w:eastAsia="arial" w:hAnsi="arial" w:cs="arial"/>
          <w:sz w:val="20"/>
          <w:lang w:val="en-US" w:eastAsia="en-US" w:bidi="ar-SA"/>
        </w:rPr>
        <w:cr/>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 review of a lawyer's bill, the registrar must consider all of the circumstances, including</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difficulty or novelty of the issues involved,</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skill, specialized knowledge and responsibility required of the lawyer,</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lawyer's character and standing in the profession,</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involved,</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time reasonably spent,</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has been an agreement that sets a fee rate that is based on an amount per unit of time spent by the lawyer, whether the rate was reasonable,</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importance of the matter to the client whose bill is being reviewed, and</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result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Counsel for the client also submitted that other factors should be taken into account on this assessment. Here, in particular, he argued that the lawyers were never at any risk of not being paid and the fee should be assessed on that basis. He relied on </w:t>
      </w:r>
      <w:r>
        <w:rPr>
          <w:rFonts w:ascii="arial" w:eastAsia="arial" w:hAnsi="arial" w:cs="arial"/>
          <w:i/>
          <w:color w:val="000000"/>
          <w:sz w:val="20"/>
          <w:lang w:val="en-US" w:eastAsia="en-US" w:bidi="ar-SA"/>
        </w:rPr>
        <w:t>Commonwealth Investors Syndicate v. Laxton</w:t>
      </w:r>
      <w:r>
        <w:rPr>
          <w:rFonts w:ascii="arial" w:eastAsia="arial" w:hAnsi="arial" w:cs="arial"/>
          <w:color w:val="000000"/>
          <w:sz w:val="20"/>
          <w:lang w:val="en-US" w:eastAsia="en-US" w:bidi="ar-SA"/>
        </w:rPr>
        <w:t xml:space="preserve">, </w:t>
      </w:r>
      <w:hyperlink r:id="rId168" w:history="1">
        <w:r>
          <w:rPr>
            <w:rFonts w:ascii="arial" w:eastAsia="arial" w:hAnsi="arial" w:cs="arial"/>
            <w:i/>
            <w:color w:val="0077CC"/>
            <w:sz w:val="20"/>
            <w:u w:val="single"/>
            <w:shd w:val="clear" w:color="auto" w:fill="FFFFFF"/>
            <w:lang w:val="en-US" w:eastAsia="en-US" w:bidi="ar-SA"/>
          </w:rPr>
          <w:t>[1994] B.C.J. No. 1690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McQuarrie Hunter v. Parpaat</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2011 BCSC 800</w:t>
        </w:r>
      </w:hyperlink>
      <w:r>
        <w:rPr>
          <w:rFonts w:ascii="arial" w:eastAsia="arial" w:hAnsi="arial" w:cs="arial"/>
          <w:color w:val="000000"/>
          <w:sz w:val="20"/>
          <w:lang w:val="en-US" w:eastAsia="en-US" w:bidi="ar-SA"/>
        </w:rPr>
        <w:t>. This, however, unlike the cases that consider risk as an important factor, was not a contingent fee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Mr. Pedlow testified that if his negotiations had not been successful he would have charged Mr. Hellner based on his hourly rate. Counsel for Mr. Hellner likened this to the situation in </w:t>
      </w:r>
      <w:r>
        <w:rPr>
          <w:rFonts w:ascii="arial" w:eastAsia="arial" w:hAnsi="arial" w:cs="arial"/>
          <w:i/>
          <w:color w:val="000000"/>
          <w:sz w:val="20"/>
          <w:lang w:val="en-US" w:eastAsia="en-US" w:bidi="ar-SA"/>
        </w:rPr>
        <w:t>Arctic Installations, supra</w:t>
      </w:r>
      <w:r>
        <w:rPr>
          <w:rFonts w:ascii="arial" w:eastAsia="arial" w:hAnsi="arial" w:cs="arial"/>
          <w:color w:val="000000"/>
          <w:sz w:val="20"/>
          <w:lang w:val="en-US" w:eastAsia="en-US" w:bidi="ar-SA"/>
        </w:rPr>
        <w:t>, where the court considered the history of billing, lack of risk, and that there was no intention to charge a lesser amount should the lawyers fail, and concluded the lawyers were not entitled to a bonus nor could they assert they were entitled to a fair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That case, however, was one in which the lawyers consistently billed on an hourly rate basis and did nothing to ensure that the client was apprised of their intention to claim a bonus for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This case is quite different. The third retainer was a new retainer, Mr. Hellner was fully aware that the lawyers intended to charge on a fair fee basis, he knew he could terminate the retainer but chose not to do so for his own strategic reasons and retained them long after the settlement was effected.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Regardless, counsel for Mr. Hellner submitted that Mr. Pedlow was never at any risk of not being paid his hourly rate and therefore that should be the basis of the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While I agree that the lawyers were not at risk here, that is but one of the factors to be considered on an analysis of a fair fee. In the circumstances of this case I do not see the lack of risk as an overriding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Looking at the other factors, it is readily apparent that many of them are at the upper end of the scale for this type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 matter was difficult because of the demanding and impatient nature of the client, the fact that he had lied to his counsel and CRA, the problems in getting accurate accounting information, and the huge amount of tax and penalties involved - up to and including criminal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It was certainly novel, as Mr. Pedlow, Mr. Boddez and Mr. Graham all testified. The settlement obtained was unprecedented and perhaps contrary to the statutory mandate of CRA.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Both Mr. Pedlow and Mr. Boddez testified that a lawyer of lesser skill might not have even considered advancing the proposition that ultimately led to the incredibly beneficial settlement obtained. There is no question that Mr. Pedlow is one of the few senior tax practitioners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As to the amount involved, Mr. Hellner was facing the potential of tax and penalties up to $45.5 million. Although there was in excess of $30 million in the Kaliope accounts, due to the nature of his investments an award of even half that would likely have wiped Mr. Hellner out financially. He ultimately paid tax of $6,987,000.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As to the time spent, there were 145 hours logged for the third retainer, 3.8 of which were for Mr. Graham. At their hourly rates of $375 and $475, the total billing for fees at those hourly rates would be $1,425 + $67,070 = $68,495. Using the increased rates of $600 and $900/hour that Mr. Pedlow said he would have charged if he knew a fair fee would not be agreed to, the fees would be $2,280 + $127,080 = $129,360. In light of Mr. Boddez' evidence as to his own hourly rate, and the fact that Mr. Pedlow has more than 10 years more experience than Mr. Boddez, I conclude that the increased rates quoted by Mr. Pedlow are not unreasonable for this level of tax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As is undoubtedly clear, I conclude that this matter was extremely important to Mr. Hellner as it had the potential to wipe out his life's work and see him in jail. The result obtained was unprecedented, saving him between $23 million and $38 million in tax and penalties and avoiding potential criminal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Mr. Pedlow is of the view that the fee charged is reasonable and fair in all of the circumstances. I have Mr. Boddez' opinion that the fee charged was at the high end of the range of reasonable fees, and I have Mr. Graham's view that given the result achieved the fee was low, and should have been more than $1 million, closer to $2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xml:space="preserve">  Finally, counsel for the client relied upon the recent decision in </w:t>
      </w:r>
      <w:r>
        <w:rPr>
          <w:rFonts w:ascii="arial" w:eastAsia="arial" w:hAnsi="arial" w:cs="arial"/>
          <w:i/>
          <w:color w:val="000000"/>
          <w:sz w:val="20"/>
          <w:lang w:val="en-US" w:eastAsia="en-US" w:bidi="ar-SA"/>
        </w:rPr>
        <w:t>Mide-Wilson v. Hungerford Tomyn Lawrenson and Nichols</w:t>
      </w:r>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2013 BCSC 374</w:t>
        </w:r>
      </w:hyperlink>
      <w:r>
        <w:rPr>
          <w:rFonts w:ascii="arial" w:eastAsia="arial" w:hAnsi="arial" w:cs="arial"/>
          <w:color w:val="000000"/>
          <w:sz w:val="20"/>
          <w:lang w:val="en-US" w:eastAsia="en-US" w:bidi="ar-SA"/>
        </w:rPr>
        <w:t>, where Mr. Justice Goepel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[178] In order to maintain the integrity of the legal profession, a legal account must have some relationship to the actual work carried out. To allow the fees awarded in this case given the work the Solicitors actually did would call into question the integrity of the profession.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Mr. Turriff for the lawyers took issue with this finding, submitting that it was wrong for the court to make such a finding in the absence of any evidence of whether the integrity of the profession would be tarnished. He suggested that a Brandeis Brief could have been brought to provide such evidence. Regardless, he conceded that I am bound by the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xml:space="preserve">  I am also cognizant of the decision of Mr. Justice Bauman, as he then was, with the majority on this point in </w:t>
      </w:r>
      <w:r>
        <w:rPr>
          <w:rFonts w:ascii="arial" w:eastAsia="arial" w:hAnsi="arial" w:cs="arial"/>
          <w:i/>
          <w:color w:val="000000"/>
          <w:sz w:val="20"/>
          <w:lang w:val="en-US" w:eastAsia="en-US" w:bidi="ar-SA"/>
        </w:rPr>
        <w:t>Inmet</w:t>
      </w:r>
      <w:r>
        <w:rPr>
          <w:rFonts w:ascii="arial" w:eastAsia="arial" w:hAnsi="arial" w:cs="arial"/>
          <w:color w:val="000000"/>
          <w:sz w:val="20"/>
          <w:lang w:val="en-US" w:eastAsia="en-US" w:bidi="ar-SA"/>
        </w:rPr>
        <w:t>, supra, where he found the registrar was preoccupied with the view that a fair fee should reflect the hourly rate charges plus a premium: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[110] In my respectful view, this represents a two-fold error. First, it reflects a belief that "the straight time value" of the Firm's services is to be determined by reference to the internal hourly rates, which the Firm used only as a guide. That is imposing on the Firm hourly rates that its members never believed reflected the value of their hours worked on this extraordinary file, in the absence of any agreement with the Client that they would be so constrained. Second, it reflects the animating belief that anything charged above a fee based on internal billing rates is to be characterized as a "premium", a "bonus", a "prize", or a "reward". That is not so for reasons that I have discussed above.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[111] Calculating a "fair fee" under s. 71(4)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calls for a holistic approach. In my view, the registrar failed to assess the fee in this case in that manner; he has allowed it to be dictated by the application of hourly rates assumed to be fair, overlaid by an amount characterized as a premium.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Counsel for Mr. Hellner argued that, if a fee greater than the straight hourly rates of the lawyers was allowed, it should be limited by the musing of Mr. Pedlow that he might have accepted the $50,000 mentioned by Mr. Hellner in their fee meeting in September 2011 if that had been a bonus amount, or at most, the bonus amount of $270,000, which Mr. Pedlow offered to accept in February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While those are factual matters to consider in the analysis of what is a fair fee in all of the circumstances, they are no more determinative than Mr. Hellner's statement that the lawyers could have 1/3 of the tax saving under $7.5 million (which would equal $171,000).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Thus, I must consider whether a fee of $583,500.00 is a fair fee in all of the circumstances and in any event, whether a fee of that amount would cause the integrity of the profession to be questioned.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I conclude that the fee charged is excessive in the circumstances. I do agree however that the lawyers are entitled to a significant fee for the services rendered here. I am of the view that the public would agree, that having saved Mr. Hellner between $23 million and $38 million in taxes and penalties and avoiding potential criminal prosecution, after being faced with and having to deal with his lies about the ownership and dealings of Kaliope, that a substantial fee was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I conclude that $350,000 is a fair fee for the services rendered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Legal Profession Act</w:t>
      </w:r>
      <w:r>
        <w:rPr>
          <w:rFonts w:ascii="arial" w:eastAsia="arial" w:hAnsi="arial" w:cs="arial"/>
          <w:color w:val="000000"/>
          <w:sz w:val="20"/>
          <w:lang w:val="en-US" w:eastAsia="en-US" w:bidi="ar-SA"/>
        </w:rPr>
        <w:t xml:space="preserve"> makes provision for costs of a review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Costs of a review of a lawyer's bill</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(1) Costs of a review of a lawyer's bill must be paid by the following:</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lawyer whose bill is reviewed, if 1/6 or more of the total amount of the bill is subtracted from it;</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charged, if less than 1/6 of the total amount of the bill is subtracted from it;</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applies for a review of a bill and then withdraws the application for a review.</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the registrar has the discretion, in special circumstances, to order the payment of costs other than as provided in that subsection.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I am of the tentative view that special circumstances exist here. The lack of credibility of the client and his stubborn refusal to discuss a fair fee in this case are what resulted in the need for this review. On that basis I would conclude that each side should bear their own costs. Should either party consider that inappropriate, I will entertain written submissions filed within 21 days of the date of this decision, with response submissions to follow within 14 days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L. MUIR</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2"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1"/>
          <w:headerReference w:type="default" r:id="rId172"/>
          <w:footerReference w:type="even" r:id="rId173"/>
          <w:footerReference w:type="default" r:id="rId174"/>
          <w:headerReference w:type="first" r:id="rId175"/>
          <w:footerReference w:type="first" r:id="rId17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77" w:history="1">
        <w:r>
          <w:rPr>
            <w:rFonts w:ascii="arial" w:eastAsia="arial" w:hAnsi="arial" w:cs="arial"/>
            <w:b/>
            <w:bCs/>
            <w:i/>
            <w:color w:val="0077CC"/>
            <w:kern w:val="32"/>
            <w:sz w:val="28"/>
            <w:szCs w:val="32"/>
            <w:u w:val="single"/>
            <w:shd w:val="clear" w:color="auto" w:fill="FFFFFF"/>
            <w:lang w:val="en-US" w:eastAsia="en-US" w:bidi="ar-SA"/>
          </w:rPr>
          <w:t>Pennie v. Howey, [2003] B.C.J. No. 2079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Brown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July 21, 2003.</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September 8, 2003.</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C990432</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[2003] B.C.J. No. 2079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2003 BCSC 1369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125 A.C.W.S. (3d) 170</w:t>
      </w:r>
    </w:p>
    <w:p>
      <w:pPr>
        <w:spacing w:before="120" w:line="260" w:lineRule="atLeast"/>
        <w:rPr>
          <w:lang w:val="en-US" w:eastAsia="en-US" w:bidi="ar-SA"/>
        </w:rPr>
      </w:pPr>
      <w:r>
        <w:rPr>
          <w:rFonts w:ascii="arial" w:eastAsia="arial" w:hAnsi="arial" w:cs="arial"/>
          <w:color w:val="000000"/>
          <w:sz w:val="20"/>
          <w:lang w:val="en-US" w:eastAsia="en-US" w:bidi="ar-SA"/>
        </w:rPr>
        <w:t>Between Tanya Pennie, plaintiff, and Dr. James Robert Howey,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(14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73" style="position:absolute;z-index:25166848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61" w:name="Keywords_9"/>
      <w:bookmarkEnd w:id="61"/>
      <w:r>
        <w:rPr>
          <w:rFonts w:ascii="arial" w:eastAsia="arial" w:hAnsi="arial" w:cs="arial"/>
          <w:b/>
          <w:color w:val="000000"/>
          <w:sz w:val="20"/>
          <w:lang w:val="en-US" w:eastAsia="en-US" w:bidi="ar-SA"/>
        </w:rPr>
        <w:t>Practice — Dismissal of action — Grounds, want of prosecution — Failure to comply with court order.</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62" w:name="Case Summary_6"/>
            <w:bookmarkEnd w:id="62"/>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the defendant, Howey, to have Pennie's medical malpractice action dismissed. Pennie alleged that she was injured due to Howey's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while surgically terminating a pregnancy. The action had been outstanding since 1999. Pennie did not appear at the hearing of the application despite being given notice, and failed to file any affidavit or opinion evidence by the time specified in a previous order. Howey filed two opinions stating that he met the standard of care of an obstetrician and gynaecologist in similar circumstances. </w:t>
            </w:r>
            <w:r>
              <w:rPr>
                <w:lang w:val="en-US" w:eastAsia="en-US" w:bidi="ar-SA"/>
              </w:rPr>
              <w:cr/>
            </w:r>
          </w:p>
          <w:p>
            <w:pPr>
              <w:spacing w:before="120" w:line="260" w:lineRule="atLeast"/>
              <w:ind w:left="240"/>
              <w:jc w:val="both"/>
              <w:rPr>
                <w:lang w:val="en-US" w:eastAsia="en-US" w:bidi="ar-SA"/>
              </w:rPr>
            </w:pPr>
            <w:bookmarkStart w:id="63" w:name="Holdings of Court_6"/>
            <w:bookmarkEnd w:id="63"/>
            <w:r>
              <w:rPr>
                <w:rFonts w:ascii="arial" w:eastAsia="arial" w:hAnsi="arial" w:cs="arial"/>
                <w:color w:val="000000"/>
                <w:sz w:val="20"/>
                <w:lang w:val="en-US" w:eastAsia="en-US" w:bidi="ar-SA"/>
              </w:rPr>
              <w:t>HELD: Application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Pennie did not appear, did not file any evidence, and did not seek an adjournment. There was no evidence to support the claims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was not unjust to dismiss her action. </w:t>
            </w:r>
            <w:r>
              <w:rPr>
                <w:lang w:val="en-US" w:eastAsia="en-US" w:bidi="ar-SA"/>
              </w:rPr>
              <w:cr/>
            </w:r>
          </w:p>
          <w:p>
            <w:pPr>
              <w:rPr>
                <w:lang w:val="en-US" w:eastAsia="en-US" w:bidi="ar-SA"/>
              </w:rPr>
            </w:pPr>
          </w:p>
        </w:tc>
      </w:tr>
    </w:tbl>
    <w:p>
      <w:pPr>
        <w:jc w:val="both"/>
        <w:rPr>
          <w:lang w:val="en-US" w:eastAsia="en-US" w:bidi="ar-SA"/>
        </w:rPr>
      </w:pPr>
      <w:bookmarkStart w:id="64" w:name="Legislation Cited_6"/>
      <w:bookmarkEnd w:id="64"/>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074" style="position:absolute;z-index:25171968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Rules 18A, 40A.</w:t>
      </w:r>
      <w:r>
        <w:rPr>
          <w:lang w:val="en-US" w:eastAsia="en-US" w:bidi="ar-SA"/>
        </w:rPr>
        <w:cr/>
      </w:r>
    </w:p>
    <w:p>
      <w:pPr>
        <w:keepNext/>
        <w:spacing w:before="240" w:line="340" w:lineRule="atLeast"/>
        <w:rPr>
          <w:lang w:val="en-US" w:eastAsia="en-US" w:bidi="ar-SA"/>
        </w:rPr>
      </w:pPr>
      <w:bookmarkStart w:id="65" w:name="Counsel_9"/>
      <w:bookmarkEnd w:id="65"/>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75" style="position:absolute;z-index:25177088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The plaintiff acted on her own behalf. B.W. Stock, for the defendant.</w:t>
      </w:r>
      <w:r>
        <w:rPr>
          <w:lang w:val="en-US" w:eastAsia="en-US" w:bidi="ar-SA"/>
        </w:rPr>
        <w:cr/>
      </w:r>
    </w:p>
    <w:p>
      <w:pPr>
        <w:spacing w:after="240"/>
        <w:rPr>
          <w:lang w:val="en-US" w:eastAsia="en-US" w:bidi="ar-SA"/>
        </w:rPr>
      </w:pPr>
      <w:bookmarkStart w:id="66" w:name="Judgment_9"/>
      <w:bookmarkEnd w:id="66"/>
      <w:r>
        <w:pict>
          <v:line id="_x0000_s1076" style="position:absolute;z-index:251822080"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67" w:name="BROWN J."/>
            <w:bookmarkEnd w:id="67"/>
            <w:r>
              <w:rPr>
                <w:rFonts w:ascii="arial" w:eastAsia="arial" w:hAnsi="arial" w:cs="arial"/>
                <w:b/>
                <w:color w:val="000000"/>
                <w:sz w:val="30"/>
                <w:lang w:val="en-US" w:eastAsia="en-US" w:bidi="ar-SA"/>
              </w:rPr>
              <w:t>BROWN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Dr. Howey applies to have Ms. Pennie's claim against him in medical malpractice dismissed (R. 18A). In the action, Ms. Pennie alleges that Dr. Howey was negligent when he surgically terminated a pregnancy in February 1997. Ms. Pennie asserts that Dr. Howey negligently perforated her cervix and uterine artery.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action has been outstanding since 1999.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This application originally came on for hearing before Mr. Justice Warren on May 26, 2003. At that time, Mr. Justice Warren ordered that the application proceed peremptorily on July 21, 2003 and that the plaintiff deliver to counsel for the defendant all affidavit material and medical opinions upon which she proposed to rely, by June 30, 2003.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Dr. Howey says that Ms. Pennie has not filed any opinion evidence or affidavit material to support her claim, and that her action must be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Dr. Howey has filed two opinions, which indicate that Dr. Howey met the standard of care expected of an obstetrician and gynaecologist in similar circumstances performing an abortion and treating post operative complications in a patient similar to Ms. Pennie. Dr. Lorena J. Kanke, an obstetrician and gynaecologist practicing in Vancouver, opines "[c]omplications can occur even in experienced hands. In summary, it is my opinion that Dr. Howey met the standard of care expected of him in the treatment and care of Ms. Pennie at all times."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Dr. G.W. Erle Mitchell, also an obstetrician and gynaecologist practicing in Vancouver, and a Clinical Professor in the Department of Obstetrics and Gynaecology at the University of British Columbia, opines "[I]n the best of hands a uterine perforation or cervical laceration can occur even with all due care and attention. Dr. Howey's management was clearly well within the standard of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Pennie has provided what is described as a preliminary opinion from Dr. Keith E. Pearse, dated May 25, 1998. At that time, Dr. Pearse was an associate clinical professor in the Department of Obstetrics and Gynaecology with the Faculty of Medicine at the University of Alberta.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Dr. Pearse's opinion would not be properly admissible in evidence because it is, from its face, a preliminary or draft opinion. It contains speculation, is missing facts and relies on information which is not correct.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Dr. Pearse's preliminary opinion appears to be a series of suggestions about further investigations that may need to be made, rather than an opinion intended to be relied on by the court. It would not be admissible pursuant to Rule 40A.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the evidence before me, Ms. Pennie's action must be dismissed as there is no evidence to support her claim that Dr. Howey was negligent.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This is an application pursuant to Rule 18A. Rule 18A provides that a court may grant judgment in favour of any party unless the court is of the opinion that it would be unjust to decide the issues on the application.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Although this matter was set on May 26, 2003 to proceed peremptorily on July 21, 2003, Ms. Pennie did not appear before me and did not file affidavit or opinion evidence by the time specified in the order of Mr. Justice Warren. On the morning of July 21, 2003, I was advised by the registry that Ms. Pennie telephoned to indicate that she missed the ferry. I stood the matter down to allow Ms. Pennie an opportunity to catch a later ferry and attend. The registry advised me that Ms. Pennie indicated that she would not catch a later ferry. I requested that the solicitor for the defendant have Ms. Pennie telephoned repeatedly throughout the day to advise her that the application was proceeding and I proceeded with the application.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the conclusion of the hearing, I was advised, again by the registry, that Ms. Pennie was aware that the hearing had proceeded.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the circumstances, given that Ms. Pennie did not appear before me, did not seek an adjournment and did not file affidavit or opinion evidence as required by the order of Mr. Justice Warren, I have concluded that it would not be unjust to decide the issues on this application. The action is dismissed.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BROWN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8702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78"/>
          <w:headerReference w:type="default" r:id="rId179"/>
          <w:footerReference w:type="even" r:id="rId180"/>
          <w:footerReference w:type="default" r:id="rId181"/>
          <w:headerReference w:type="first" r:id="rId182"/>
          <w:footerReference w:type="first" r:id="rId18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84" w:history="1">
        <w:r>
          <w:rPr>
            <w:rFonts w:ascii="arial" w:eastAsia="arial" w:hAnsi="arial" w:cs="arial"/>
            <w:b/>
            <w:bCs/>
            <w:i/>
            <w:color w:val="0077CC"/>
            <w:kern w:val="32"/>
            <w:sz w:val="28"/>
            <w:szCs w:val="32"/>
            <w:u w:val="single"/>
            <w:shd w:val="clear" w:color="auto" w:fill="FFFFFF"/>
            <w:lang w:val="en-US" w:eastAsia="en-US" w:bidi="ar-SA"/>
          </w:rPr>
          <w:t>Reichennek v. Archibald, [2008] B.C.J. No. 1939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J.W. Williams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26-27,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14,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40525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Kamloops</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1939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1304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171 A.C.W.S. (3d) 110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Kathryn Reichennek, plaintiff, and Kirk William Archibald and Canadian Road Leasing Company,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8"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8" w:name="Keywords_10"/>
      <w:bookmarkEnd w:id="68"/>
      <w:r>
        <w:rPr>
          <w:rFonts w:ascii="arial" w:eastAsia="arial" w:hAnsi="arial" w:cs="arial"/>
          <w:b/>
          <w:color w:val="000000"/>
          <w:sz w:val="20"/>
          <w:lang w:val="en-US" w:eastAsia="en-US" w:bidi="ar-SA"/>
        </w:rPr>
        <w:t>Damages — Physical and psychological injuries — Physical injuries — Body injuries — Neck — Whiplash — Action by plaintiff to recover damages sustained in a motor vehicle accident allowed in part — Defendant was liable as if had allowed for sufficient space he would not have rear-ended the plaintiff — Plaintiff sustained a moderate soft tissue whiplash injury — Parties agreed on damages for lost wages and special damages $2,164 and $351, respectively — Plaintiff awarded $22,000 in non-pecuniary damages but her loss of earning capacity claim was dismissed — Plaintiff's injuries had effectively resolved and would not impact her aspiration to become a college instructor.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Type of damages — General damages — For personal injuries — Loss of earning capacity — Non-pecuniary loss — Pain and suffering — Action by plaintiff to recover damages sustained in a motor vehicle accident allowed in part — Defendant was liable as if had allowed for sufficient space he would not have rear-ended the plaintiff — Plaintiff sustained a moderate soft tissue whiplash injury — Parties agreed on damages for lost wages and special damages $2,164 and $351, respectively — Plaintiff awarded $22,000 in non-pecuniary damages but her loss of earning capacity claim was dismissed — Plaintiff's injuries had effectively resolved and would not impact her aspiration to become a college instructor.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Proof of — Duty of care — Motor vehicle — Action by plaintiff to recover damages sustained in a motor vehicle accident allowed in part — Defendant was liable as if had allowed for sufficient space he would not have rear-ended the plaintiff — Plaintiff sustained a moderate soft tissue whiplash injury — Parties agreed on damages for lost wages and special damages $2,164 and $351, respectively — Plaintiff awarded $22,000 in non-pecuniary damages but her loss of earning capacity claim was dismissed — Plaintiff's injuries had effectively resolved and would not impact her aspiration to become a college instructor.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9" w:name="Case Summary_7"/>
            <w:bookmarkEnd w:id="6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plaintiff to recover damages sustained in a motor vehicle accident. The plaintiff's vehicle was struck from behind by a vehicle driven by the defendant, who took the position that the manner in which the plaintiff drove her vehicle contributed to the causation of the incident. The defendant alleged the plaintiff accelerated in front of him, cut him off and then braked quite dramatically. The evidence suggested that the plaintiff travelled for about 100 meters ahead of the defendant, in the same lane, before the contact occurred. The plaintiff sustained a moderate soft tissue whiplash injury which caused pain and discomfort in her neck and back and resulted in headaches. The plaintiff's symptoms were initially acute, causing her to miss about three weeks of work, but her pain and discomfort were significantly resolved within three to four months and her prognosis for a full recovery was good. The plaintiff sought non-pecuniary damages and damages for lost wages, loss of earning capacity and special damages. The plaintiff indicated that she aspired to be a college instructor. The parties agreed on damages for lost wages and special damages $2,164 and $351, respectively.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0" w:name="Holdings of Court_7"/>
            <w:bookmarkEnd w:id="70"/>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established herself ahead of the defendant for a sufficient time; if the defendant had allowed for sufficient space he would not have rear-ended the. The plaintiff was awarded $22,000 in non-pecuniary damages, $2,164 for lost wages and $351 in special damages. The plaintiff's loss of earning capacity claim was dismissed; her injuries had effectively resolved and she did not aspire to an occupation that would be impacted by her injuries.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1" w:name="Legislation Cited_7"/>
      <w:bookmarkEnd w:id="7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9" style="position:absolute;z-index:2517207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Court Order Interest Act, </w:t>
      </w:r>
      <w:r>
        <w:rPr>
          <w:rFonts w:ascii="arial" w:eastAsia="arial" w:hAnsi="arial" w:cs="arial"/>
          <w:i/>
          <w:color w:val="000000"/>
          <w:sz w:val="20"/>
          <w:lang w:val="en-US" w:eastAsia="en-US" w:bidi="ar-SA"/>
        </w:rPr>
        <w:t>RSBC 1996, CHAPTER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66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72" w:name="Counsel_10"/>
      <w:bookmarkEnd w:id="7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0" style="position:absolute;z-index:2517719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F.R. Scordo.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 Horne,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3" w:name="Judgment_10"/>
      <w:bookmarkEnd w:id="73"/>
      <w:r>
        <w:pict>
          <v:line id="_x0000_s1081" style="position:absolute;z-index:2518231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4" w:name="J.W. WILLIAMS J."/>
            <w:bookmarkEnd w:id="74"/>
            <w:r>
              <w:rPr>
                <w:rFonts w:ascii="arial" w:eastAsia="arial" w:hAnsi="arial" w:cs="arial"/>
                <w:b/>
                <w:color w:val="000000"/>
                <w:sz w:val="30"/>
                <w:lang w:val="en-US" w:eastAsia="en-US" w:bidi="ar-SA"/>
              </w:rPr>
              <w:t>J.W. WILLIAMS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action brought by the plaintiff to recover damages she sustained in a motor vehicle accident which she alleges was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There are two defendants named in the proceedings. Mr. Archibald was the driver of the automobile involved; he leases that vehicle from the corporate defendant, Canadian Road Leasing Company. The action was defended by Mr. Archibald; when reference is made in these reasons to the defendant, that is Mr. Archibald.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Shortly before 3:00 p.m. on December 24, 2005, the plaintiff was driving her late model Hyundai sedan in North Kamloops. She was enroute to work, with the intention of first stopping at the residence of a co-worker to give him a ride. At the time, the weather conditions were sunny and clear and the roads were dry. It is not disputed that she was wearing the appropriate seat-belting with which her vehicle was equipped.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drove eastbound on Lethbridge Avenue, approaching its intersection with 8th Street. At that point, there are two lanes for both northbound and southbound traffic on 8th Street. The plaintiff stopped at the stop sign, and waited until the two southbound lanes were clear and she was able to safely cross and turn northbound. She did so and then made her way into the right-hand or curb lane. The next cross street was York Avenue, where she intended to turn right. That intersection is controlled by a traffic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As she approached the intersection of 8th Street and York and slowed to make the turn, her car was struck from the rear by a Ford truck driven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force of the collision was significant. The plaintiff's car sustained quite extensive damage to its rear area. The cost of the repair was very nearly $6,000. There was minimal damage to the front of the defendant's truck. The plaintiff was taken by ambulance to hospital where she was examined, x-rayed and released. She experienced soreness and headache which she says was acute for a period of time following, and which has significantly abated and resolved over time. However, she said she still had some lingering symptoms at the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missed nearly three weeks of work as a consequence of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Ms. Reichennek says that the accident is attributable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and that she is not at fault. She says that the injuries she sustained have caused her pain, suffering and loss of enjoyment of life, for which she seeks an award of damages. She has advanced a claim for loss of wages for the time she was unable to work following the accident. In fact, the parties are agreed as to the amount of this loss: $2,164.21. Similarly, there is a claim for special damages which the parties agree to be $351.00. Finally, Ms. Reichennek says she should be awarded damages to compensate her for loss of future earning capacity resulting from the accident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She also claims costs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Archibald takes the position that the blame for the collision is not entirely his. He says the manner in which the plaintiff drove her vehicle contributed to the causation of the incident, and that liability should be apportioned between the two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With respect to the plaintiff's claim for general damages, the defendant contends that her injuries and their aftermath are not as serious as she claims. He argues that her entitlement to non-pecuniary damages is modest. Finally, he disputes that there is any entitlement to an award of damages for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noted, the defendant does not dispute the amounts claimed under the heads of wage loss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following determinations must be made:</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 for the collision;</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quantum of non-pecuniary damages; and</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damages, if any, the plaintiff is entitled to recover for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 AND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There is considerable dispute between the parties as to precisely how each was driving leading up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says that she approached the intersection at 8th Street and Lethbridge; when it was safe to cross to the northbound lanes, she did so. She was initially in the left-hand lane on 8th Street. She then shifted to the curb lane and subsequently slowed to a low speed or near stop at the intersection of 8th and York, intending to turn right. She testified that she signalled her lane change and intention to turn at the corner. It was at that point that she was struck from behind by the defendant's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More specifically, Ms. Reichennek's evidence is that when she first turned onto 8th Street, she travelled for a distance in the left-hand lane. Some cars passed her on the right; she then concluded it was safe to change to the right-hand lane. She accelerated and did so. Once in the right-hand lane, she saw the defendant's truck behind her, moving fast. It caught up to her and was following her closely. Her testimony is that she "flipped him (the driver) the bird". He got closer and she gave the finger motion again. It was as she signalled and slowed to turn that the truck collided with the rear of her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Archibald's description of events is different than that of the plaintiff. He says that he was in the right-hand lane at all times while travelling on 8th Street, and that he was travelling at a speed of approximately 60-65 kms. per hour. He was in or near the intersection at Lethbridge when he saw the plaintiff's vehicle enter the left lane. He continued in his same lane, at the same speed. He testified that he saw the plaintiff then speed up to pass him on the left, that she gave him the finger and without signalling, cut in front of him into the right-hand lane. He took his foot off the accelerator as he approached York. The light turned yellow and the plaintiff braked. At that point, the defendant swung to the left to avoid striking her car, but in fact there was contact.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photographic evidence depicts the imprint of the defendant's (centre mounted) licence plate on the left portion of the plaintiff's rear bumper, confirming that this was a somewhat offset contact, and, to that limited extent, verifying the manner of the collision as he describes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Ordinarily, in the case of a rear end collision, responsibility will lie with the following vehicle unless that driver is able to show that he was not at fault, that is, that the driver of the front vehicle caused or contributed to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this case, the defendant says that the accident was caused by the actions of the plaintiff when she accelerated in front of him, cut him off and then braked quite dramatically at the corner of 8th Street and York.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Initially, Mr. Archibald appeared to say that Ms. Reichennek cut in front of him at a point he believed to be about 20 or 25 feet from the corner. That is strikingly close and would tend to support his description of the event. However, on further questioning, he said that when she moved in front of him, he was at or near the area of a bus pull-out on 8th Street. On clarification, it seems that the defendant's reference to the distance of 20 to 25 feet was with respect to the distance between the point of impact and the York Street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cross-examination, Mr. Archibald was asked about a statement provided to an insurance adjuster five days after the accident. He agreed that, in that statement, he said that the plaintiff's lane change was between Lethbridge and York, "maybe halfway", and, at trial, he adopted that as true. He also said in this statement that the plaintiff had been in the right-hand lane for about 20 seconds before contact, although at trial he said that he had been in error in this assertion, and it was only a couple of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 scale drawing of the scene is in evidence. It shows that the distance from the Lethbridge intersection to the York intersection is 228.2 metres. It also depicts the bus pull-out, which appears to be about halfway along the distance from Lethbridge to York. When this was put to Mr. Archibald in cross-examination, he agreed that the plaintiff's lane change therefore must have taken place approximately 114 meters from York. He also agreed that the plaintiff travelled about 100 meters in the right-hand lane (in front of him) before the contact between the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There is a fair amount of discrepancy between the parties with respect to how exactly each moved before the collision, their speed and their interaction after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my view, it is not necessary to sort through all of these details in order to make the necessary determination. I conclude that the defendant was aware of the plaintiff when she pulled into the right lane, and that the two vehicles travelled in that lane, one following the other, for some distance, probably no less than 80 to 90 metres, before the plaintiff slowed at the intersection and the defendant struck her from behind. Accordingly, it follows that she was established in that lane for a sufficient time such that the defendant must be taken to have been well-aware she was there. He should therefore have spaced himself appropriately and driven his vehicle safely so that there would be no contact with her car. That is an obligation that the law places upon the driver of a following vehicle. On the evidence that is before the Court, he did not meet that obligation.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This is not a case where the evidence supports a conclusion that the plaintiff's vehicle cut in front of the defendant in such a way as to alleviate his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Accordingly, I find the defendant liable for causation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Injuries and the Effect on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force of the impact was substantial. The defendant estimates his speed at the point of collision to be approximately 45 kms per hour. As noted, damage to the plaintiff's vehicle was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says that the force of the impact initially threw her backwards, with her head striking the head-rest; she was then thrown forward. She experienced dizziness and pain in her neck and back. She was transported to Royal Inland Hospital where she was examined. X-rays were taken with negative results. She was then released and went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Initially, for the first few days after the accident, the pain in her neck and back was considerable and she had a painful headache. She found walking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saw her own doctor, Dr. Ritenburg, on December 28. He told her to rest, take Advil and apply heat.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At the time, Ms. Reichennek was holding down two jobs. As a consequence of the pain she was experiencing, she missed work until sometime toward the middle of January.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She attended for a series of physiotherapy treatments between January 10 and May 17. The treatment included heat, ultra-sound and stretching. She testified that this was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the months following the accident, the plaintiff found it difficult to sit for any length of time, and experienced stiffness and soreness in her neck and back. Work was quite uncomfortable when she had to stand or sit for any length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September 2006, the plaintiff enrolled in a B.A. program at the university in Kamloops. She took four courses in the fall term, in addition to holding down her job at a casino.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found the school routine challenging because of her injuries. She experienced headaches and found sitting difficult. It was painful to carry books. She had pain, stiffness in her neck and back and some difficulty sleeping.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At the end of 2006, she quit her job for reasons unrelated to the accident. She continued with her university studies in the new year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June 2007, following the school term, the plaintiff took a first-aid course. At that point she was hoping to secure a job working on oil rigs. Although she obtained the first aid certification, she did not take such a job. She testified that she believed that particular task to be quite physically demanding and did not feel that she would have been able to do it. Instead, she took a job through the summer and into the fall with a construction firm, as both a first-aid attendant and physical labourer. She was able to keep up with the job but had stiffness and soreness in her neck, back and hips. She had fewer headaches but still experienced some difficulty sleeping.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the fall of 2007, the plaintiff relocated to Vancouver and worked at a call centre. At that time, she enrolled in and completed a physical rehabilitation program on the advice of her doctor. She states that she felt some discomfort in the program, but it provided real improvement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March 2008, the call centre job ended and she subsequently obtained work as a marketer.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At the time of trial, thirty months after the accident, the plaintiff's headaches had resolved. She testified that she still continues to experience some soreness and stiffness in her neck, back and 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With respect to the impact this accident has had upon her life, the plaintiff says that prior to the accident she was a moderately active person. She participated in dancing, some recreational tennis and golf and walked her dog. These activities were quite markedly limited by the discomfort that has resulted from the accident. As for housework and ordinary chores around the home, she says that she has to be much more careful in how she does those tasks, and that she sometimes feels soreness as a consequence of having done them. Her sleeping pattern has been disturbed by the injuries she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called her former boyfriend as a witness. He testified as to his observations of her condition in the period following the motor vehicle accident. I find his evidence to be confirmatory of 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Three medical reports were tendered in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Ritenburg prepared a report dated January 4, 2007. He is the plaintiff's family doctor. He concludes that she suffered acute musculoskeletal injuries to her cervical, thoracic and lumbar spine. He states that, as of the date of that writing (some 12 months after the accident), most of those symptoms had resolved and he considers her prognosis for a full recovery to be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 report prepared by Dr. Laidlow dated May 17, 2007 was filed. He examined the plaintiff on May 9, 2007 at the request of her counsel. He opines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she has sustained a musculoligamentous strain of the neck and thoracic spine. As a result of those injuries, she did development (sic) significant tenderness and tightness in the musculature of those areas which persist. She has ongoing mechanical pain from these zones. It is likely, in my opinion, that the degree of tightness that was present in the neck was responsible for the numbness she experienced in her arms earlier on, as typically the nerves get irritated mildly as they pass through the tightened musculature on the way through into the arms. Now that she has restored some movement to the area her symptoms has (sic) settled and they are unlikely to come back. This is not the type of thing that would cause any significant nerve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He recommended an ongoing exercise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 report prepared by Dr. Reedye dated March 31, 2008 was also filed. Dr. Reedye examined the plaintiff on March 6, 2008 at the request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He concludes that the plaintiff sustained mild to moderate soft tissue injuries as a result of the motor vehicle accident. He found no evidence of severe injuries, such as torn muscles or damage to ligaments, intervertebral discs, nerves or nerve roots. He accepts that at the time of the examination she was still experiencing some aches and pains, but he expects complete resolution in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conclude that Ms. Reichennek sustained a moderate soft tissue whiplash injury in December 2005 which caused pain and discomfort to her neck and back and resulted in her experiencing headaches. These symptoms were initially acute, causing her to miss approximately three weeks of work and necessitating that she take pain medication and treatment, most notably physiotherapy. The pain and discomfort at times extended to her hip area. It gradually subsided with the passage of time. It was significantly resolved within three to four months of the accident, but she continued to experience some discomfort and limitation of her activities, albeit on a gradually improving basis, over time, up to the point of trial. At trial, all of the complaint of headache had resolved but there was some lingering discomfort and stiffness in her neck and back. That discomfort is essentially resolved at this time, and there is every reason to conclude that she has not sustained any permanent damage. With proper exercise and self-care, there will be a complete resolution.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had no symptoms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With respect to the quantum of damages for pain, suffering and loss of enjoyment of life, plaintiff's counsel has submitted that an appropriate range is $35,000 - $45,000. He makes reference to the following case authorities: </w:t>
      </w:r>
      <w:r>
        <w:rPr>
          <w:rFonts w:ascii="arial" w:eastAsia="arial" w:hAnsi="arial" w:cs="arial"/>
          <w:b/>
          <w:i/>
          <w:color w:val="000000"/>
          <w:sz w:val="20"/>
          <w:lang w:val="en-US" w:eastAsia="en-US" w:bidi="ar-SA"/>
        </w:rPr>
        <w:t>Ghazgbi v. Hibberd,</w:t>
      </w:r>
      <w:r>
        <w:rPr>
          <w:rFonts w:ascii="arial" w:eastAsia="arial" w:hAnsi="arial" w:cs="arial"/>
          <w:color w:val="000000"/>
          <w:sz w:val="20"/>
          <w:lang w:val="en-US" w:eastAsia="en-US" w:bidi="ar-SA"/>
        </w:rPr>
        <w:t xml:space="preserve"> </w:t>
      </w:r>
      <w:hyperlink r:id="rId185" w:history="1">
        <w:r>
          <w:rPr>
            <w:rFonts w:ascii="arial" w:eastAsia="arial" w:hAnsi="arial" w:cs="arial"/>
            <w:i/>
            <w:color w:val="0077CC"/>
            <w:sz w:val="20"/>
            <w:u w:val="single"/>
            <w:shd w:val="clear" w:color="auto" w:fill="FFFFFF"/>
            <w:lang w:val="en-US" w:eastAsia="en-US" w:bidi="ar-SA"/>
          </w:rPr>
          <w:t>2004 BCSC 1821</w:t>
        </w:r>
      </w:hyperlink>
      <w:r>
        <w:rPr>
          <w:rFonts w:ascii="arial" w:eastAsia="arial" w:hAnsi="arial" w:cs="arial"/>
          <w:color w:val="000000"/>
          <w:sz w:val="20"/>
          <w:lang w:val="en-US" w:eastAsia="en-US" w:bidi="ar-SA"/>
        </w:rPr>
        <w:t xml:space="preserve">, </w:t>
      </w:r>
      <w:hyperlink r:id="rId185" w:history="1">
        <w:r>
          <w:rPr>
            <w:rFonts w:ascii="arial" w:eastAsia="arial" w:hAnsi="arial" w:cs="arial"/>
            <w:i/>
            <w:color w:val="0077CC"/>
            <w:sz w:val="20"/>
            <w:u w:val="single"/>
            <w:shd w:val="clear" w:color="auto" w:fill="FFFFFF"/>
            <w:lang w:val="en-US" w:eastAsia="en-US" w:bidi="ar-SA"/>
          </w:rPr>
          <w:t>[2004] B.C.J. No. 3035</w:t>
        </w:r>
      </w:hyperlink>
      <w:r>
        <w:rPr>
          <w:rFonts w:ascii="arial" w:eastAsia="arial" w:hAnsi="arial" w:cs="arial"/>
          <w:color w:val="000000"/>
          <w:sz w:val="20"/>
          <w:lang w:val="en-US" w:eastAsia="en-US" w:bidi="ar-SA"/>
        </w:rPr>
        <w:t xml:space="preserve"> ($30,000); </w:t>
      </w:r>
      <w:r>
        <w:rPr>
          <w:rFonts w:ascii="arial" w:eastAsia="arial" w:hAnsi="arial" w:cs="arial"/>
          <w:b/>
          <w:i/>
          <w:color w:val="000000"/>
          <w:sz w:val="20"/>
          <w:lang w:val="en-US" w:eastAsia="en-US" w:bidi="ar-SA"/>
        </w:rPr>
        <w:t>Cryderman v. Giesbrecht</w:t>
      </w:r>
      <w:r>
        <w:rPr>
          <w:rFonts w:ascii="arial" w:eastAsia="arial" w:hAnsi="arial" w:cs="arial"/>
          <w:color w:val="000000"/>
          <w:sz w:val="20"/>
          <w:lang w:val="en-US" w:eastAsia="en-US" w:bidi="ar-SA"/>
        </w:rPr>
        <w:t xml:space="preserve">; </w:t>
      </w:r>
      <w:hyperlink r:id="rId186" w:history="1">
        <w:r>
          <w:rPr>
            <w:rFonts w:ascii="arial" w:eastAsia="arial" w:hAnsi="arial" w:cs="arial"/>
            <w:i/>
            <w:color w:val="0077CC"/>
            <w:sz w:val="20"/>
            <w:u w:val="single"/>
            <w:shd w:val="clear" w:color="auto" w:fill="FFFFFF"/>
            <w:lang w:val="en-US" w:eastAsia="en-US" w:bidi="ar-SA"/>
          </w:rPr>
          <w:t>2006 BCSC 798</w:t>
        </w:r>
      </w:hyperlink>
      <w:r>
        <w:rPr>
          <w:rFonts w:ascii="arial" w:eastAsia="arial" w:hAnsi="arial" w:cs="arial"/>
          <w:color w:val="000000"/>
          <w:sz w:val="20"/>
          <w:lang w:val="en-US" w:eastAsia="en-US" w:bidi="ar-SA"/>
        </w:rPr>
        <w:t xml:space="preserve">, </w:t>
      </w:r>
      <w:hyperlink r:id="rId186" w:history="1">
        <w:r>
          <w:rPr>
            <w:rFonts w:ascii="arial" w:eastAsia="arial" w:hAnsi="arial" w:cs="arial"/>
            <w:i/>
            <w:color w:val="0077CC"/>
            <w:sz w:val="20"/>
            <w:u w:val="single"/>
            <w:shd w:val="clear" w:color="auto" w:fill="FFFFFF"/>
            <w:lang w:val="en-US" w:eastAsia="en-US" w:bidi="ar-SA"/>
          </w:rPr>
          <w:t>[2006] B.C.J. No. 1148</w:t>
        </w:r>
      </w:hyperlink>
      <w:r>
        <w:rPr>
          <w:rFonts w:ascii="arial" w:eastAsia="arial" w:hAnsi="arial" w:cs="arial"/>
          <w:color w:val="000000"/>
          <w:sz w:val="20"/>
          <w:lang w:val="en-US" w:eastAsia="en-US" w:bidi="ar-SA"/>
        </w:rPr>
        <w:t xml:space="preserve"> ($35,000); </w:t>
      </w:r>
      <w:r>
        <w:rPr>
          <w:rFonts w:ascii="arial" w:eastAsia="arial" w:hAnsi="arial" w:cs="arial"/>
          <w:b/>
          <w:i/>
          <w:color w:val="000000"/>
          <w:sz w:val="20"/>
          <w:lang w:val="en-US" w:eastAsia="en-US" w:bidi="ar-SA"/>
        </w:rPr>
        <w:t>Mittleton v. Morcke</w:t>
      </w:r>
      <w:r>
        <w:rPr>
          <w:rFonts w:ascii="arial" w:eastAsia="arial" w:hAnsi="arial" w:cs="arial"/>
          <w:color w:val="000000"/>
          <w:sz w:val="20"/>
          <w:lang w:val="en-US" w:eastAsia="en-US" w:bidi="ar-SA"/>
        </w:rPr>
        <w:t xml:space="preserve">, </w:t>
      </w:r>
      <w:hyperlink r:id="rId187" w:history="1">
        <w:r>
          <w:rPr>
            <w:rFonts w:ascii="arial" w:eastAsia="arial" w:hAnsi="arial" w:cs="arial"/>
            <w:i/>
            <w:color w:val="0077CC"/>
            <w:sz w:val="20"/>
            <w:u w:val="single"/>
            <w:shd w:val="clear" w:color="auto" w:fill="FFFFFF"/>
            <w:lang w:val="en-US" w:eastAsia="en-US" w:bidi="ar-SA"/>
          </w:rPr>
          <w:t>2007 BCSC 804</w:t>
        </w:r>
      </w:hyperlink>
      <w:r>
        <w:rPr>
          <w:rFonts w:ascii="arial" w:eastAsia="arial" w:hAnsi="arial" w:cs="arial"/>
          <w:color w:val="000000"/>
          <w:sz w:val="20"/>
          <w:lang w:val="en-US" w:eastAsia="en-US" w:bidi="ar-SA"/>
        </w:rPr>
        <w:t xml:space="preserve">, </w:t>
      </w:r>
      <w:hyperlink r:id="rId187" w:history="1">
        <w:r>
          <w:rPr>
            <w:rFonts w:ascii="arial" w:eastAsia="arial" w:hAnsi="arial" w:cs="arial"/>
            <w:i/>
            <w:color w:val="0077CC"/>
            <w:sz w:val="20"/>
            <w:u w:val="single"/>
            <w:shd w:val="clear" w:color="auto" w:fill="FFFFFF"/>
            <w:lang w:val="en-US" w:eastAsia="en-US" w:bidi="ar-SA"/>
          </w:rPr>
          <w:t>[2007] B.C.J. No. 1237</w:t>
        </w:r>
      </w:hyperlink>
      <w:r>
        <w:rPr>
          <w:rFonts w:ascii="arial" w:eastAsia="arial" w:hAnsi="arial" w:cs="arial"/>
          <w:color w:val="000000"/>
          <w:sz w:val="20"/>
          <w:lang w:val="en-US" w:eastAsia="en-US" w:bidi="ar-SA"/>
        </w:rPr>
        <w:t xml:space="preserve"> (two accidents: $60,000); and </w:t>
      </w:r>
      <w:r>
        <w:rPr>
          <w:rFonts w:ascii="arial" w:eastAsia="arial" w:hAnsi="arial" w:cs="arial"/>
          <w:b/>
          <w:i/>
          <w:color w:val="000000"/>
          <w:sz w:val="20"/>
          <w:lang w:val="en-US" w:eastAsia="en-US" w:bidi="ar-SA"/>
        </w:rPr>
        <w:t>Sudbury v. Kohlen</w:t>
      </w:r>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2007 BCSC 1369</w:t>
        </w:r>
      </w:hyperlink>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[2007] B.C.J. 2008</w:t>
        </w:r>
      </w:hyperlink>
      <w:r>
        <w:rPr>
          <w:rFonts w:ascii="arial" w:eastAsia="arial" w:hAnsi="arial" w:cs="arial"/>
          <w:color w:val="000000"/>
          <w:sz w:val="20"/>
          <w:lang w:val="en-US" w:eastAsia="en-US" w:bidi="ar-SA"/>
        </w:rPr>
        <w:t xml:space="preserve"> ($45,000).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defendant takes a different view of the matter. He submits that the plaintiff's injuries were minor and that only a minimal amount of time was missed at work. He says there is no evidence of inability on the part of the plaintiff to work and pursue her career, and he contends that an appropriate award is in the order of $10,000. The defendant relies on the following authorities: </w:t>
      </w:r>
      <w:r>
        <w:rPr>
          <w:rFonts w:ascii="arial" w:eastAsia="arial" w:hAnsi="arial" w:cs="arial"/>
          <w:b/>
          <w:i/>
          <w:color w:val="000000"/>
          <w:sz w:val="20"/>
          <w:lang w:val="en-US" w:eastAsia="en-US" w:bidi="ar-SA"/>
        </w:rPr>
        <w:t>Boag v. Berna</w:t>
      </w:r>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2003 BCSC 779</w:t>
        </w:r>
      </w:hyperlink>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[2003] B.C.J. No. 1160</w:t>
        </w:r>
      </w:hyperlink>
      <w:r>
        <w:rPr>
          <w:rFonts w:ascii="arial" w:eastAsia="arial" w:hAnsi="arial" w:cs="arial"/>
          <w:color w:val="000000"/>
          <w:sz w:val="20"/>
          <w:lang w:val="en-US" w:eastAsia="en-US" w:bidi="ar-SA"/>
        </w:rPr>
        <w:t xml:space="preserve"> (14,000); </w:t>
      </w:r>
      <w:r>
        <w:rPr>
          <w:rFonts w:ascii="arial" w:eastAsia="arial" w:hAnsi="arial" w:cs="arial"/>
          <w:b/>
          <w:i/>
          <w:color w:val="000000"/>
          <w:sz w:val="20"/>
          <w:lang w:val="en-US" w:eastAsia="en-US" w:bidi="ar-SA"/>
        </w:rPr>
        <w:t>Clark v. Stock</w:t>
      </w:r>
      <w:r>
        <w:rPr>
          <w:rFonts w:ascii="arial" w:eastAsia="arial" w:hAnsi="arial" w:cs="arial"/>
          <w:color w:val="000000"/>
          <w:sz w:val="20"/>
          <w:lang w:val="en-US" w:eastAsia="en-US" w:bidi="ar-SA"/>
        </w:rPr>
        <w:t xml:space="preserve">, </w:t>
      </w:r>
      <w:hyperlink r:id="rId190" w:history="1">
        <w:r>
          <w:rPr>
            <w:rFonts w:ascii="arial" w:eastAsia="arial" w:hAnsi="arial" w:cs="arial"/>
            <w:i/>
            <w:color w:val="0077CC"/>
            <w:sz w:val="20"/>
            <w:u w:val="single"/>
            <w:shd w:val="clear" w:color="auto" w:fill="FFFFFF"/>
            <w:lang w:val="en-US" w:eastAsia="en-US" w:bidi="ar-SA"/>
          </w:rPr>
          <w:t>2002 BCSC 759</w:t>
        </w:r>
      </w:hyperlink>
      <w:r>
        <w:rPr>
          <w:rFonts w:ascii="arial" w:eastAsia="arial" w:hAnsi="arial" w:cs="arial"/>
          <w:color w:val="000000"/>
          <w:sz w:val="20"/>
          <w:lang w:val="en-US" w:eastAsia="en-US" w:bidi="ar-SA"/>
        </w:rPr>
        <w:t xml:space="preserve">, </w:t>
      </w:r>
      <w:hyperlink r:id="rId190" w:history="1">
        <w:r>
          <w:rPr>
            <w:rFonts w:ascii="arial" w:eastAsia="arial" w:hAnsi="arial" w:cs="arial"/>
            <w:i/>
            <w:color w:val="0077CC"/>
            <w:sz w:val="20"/>
            <w:u w:val="single"/>
            <w:shd w:val="clear" w:color="auto" w:fill="FFFFFF"/>
            <w:lang w:val="en-US" w:eastAsia="en-US" w:bidi="ar-SA"/>
          </w:rPr>
          <w:t>[2002] B.C.J. No. 1065</w:t>
        </w:r>
      </w:hyperlink>
      <w:r>
        <w:rPr>
          <w:rFonts w:ascii="arial" w:eastAsia="arial" w:hAnsi="arial" w:cs="arial"/>
          <w:color w:val="000000"/>
          <w:sz w:val="20"/>
          <w:lang w:val="en-US" w:eastAsia="en-US" w:bidi="ar-SA"/>
        </w:rPr>
        <w:t xml:space="preserve"> ($10,000); </w:t>
      </w:r>
      <w:r>
        <w:rPr>
          <w:rFonts w:ascii="arial" w:eastAsia="arial" w:hAnsi="arial" w:cs="arial"/>
          <w:b/>
          <w:i/>
          <w:color w:val="000000"/>
          <w:sz w:val="20"/>
          <w:lang w:val="en-US" w:eastAsia="en-US" w:bidi="ar-SA"/>
        </w:rPr>
        <w:t>Levasseur v. Fraser</w:t>
      </w:r>
      <w:r>
        <w:rPr>
          <w:rFonts w:ascii="arial" w:eastAsia="arial" w:hAnsi="arial" w:cs="arial"/>
          <w:color w:val="000000"/>
          <w:sz w:val="20"/>
          <w:lang w:val="en-US" w:eastAsia="en-US" w:bidi="ar-SA"/>
        </w:rPr>
        <w:t xml:space="preserve">, </w:t>
      </w:r>
      <w:hyperlink r:id="rId191" w:history="1">
        <w:r>
          <w:rPr>
            <w:rFonts w:ascii="arial" w:eastAsia="arial" w:hAnsi="arial" w:cs="arial"/>
            <w:i/>
            <w:color w:val="0077CC"/>
            <w:sz w:val="20"/>
            <w:u w:val="single"/>
            <w:shd w:val="clear" w:color="auto" w:fill="FFFFFF"/>
            <w:lang w:val="en-US" w:eastAsia="en-US" w:bidi="ar-SA"/>
          </w:rPr>
          <w:t>2003 BCSC 946</w:t>
        </w:r>
      </w:hyperlink>
      <w:r>
        <w:rPr>
          <w:rFonts w:ascii="arial" w:eastAsia="arial" w:hAnsi="arial" w:cs="arial"/>
          <w:color w:val="000000"/>
          <w:sz w:val="20"/>
          <w:lang w:val="en-US" w:eastAsia="en-US" w:bidi="ar-SA"/>
        </w:rPr>
        <w:t xml:space="preserve">, </w:t>
      </w:r>
      <w:hyperlink r:id="rId191" w:history="1">
        <w:r>
          <w:rPr>
            <w:rFonts w:ascii="arial" w:eastAsia="arial" w:hAnsi="arial" w:cs="arial"/>
            <w:i/>
            <w:color w:val="0077CC"/>
            <w:sz w:val="20"/>
            <w:u w:val="single"/>
            <w:shd w:val="clear" w:color="auto" w:fill="FFFFFF"/>
            <w:lang w:val="en-US" w:eastAsia="en-US" w:bidi="ar-SA"/>
          </w:rPr>
          <w:t>[2003] B.C.J. No. 1471</w:t>
        </w:r>
      </w:hyperlink>
      <w:r>
        <w:rPr>
          <w:rFonts w:ascii="arial" w:eastAsia="arial" w:hAnsi="arial" w:cs="arial"/>
          <w:color w:val="000000"/>
          <w:sz w:val="20"/>
          <w:lang w:val="en-US" w:eastAsia="en-US" w:bidi="ar-SA"/>
        </w:rPr>
        <w:t xml:space="preserve"> ($14,500); </w:t>
      </w:r>
      <w:r>
        <w:rPr>
          <w:rFonts w:ascii="arial" w:eastAsia="arial" w:hAnsi="arial" w:cs="arial"/>
          <w:b/>
          <w:i/>
          <w:color w:val="000000"/>
          <w:sz w:val="20"/>
          <w:lang w:val="en-US" w:eastAsia="en-US" w:bidi="ar-SA"/>
        </w:rPr>
        <w:t>Nichollson v. Armstrong</w:t>
      </w:r>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2003 BCSC 1988</w:t>
        </w:r>
      </w:hyperlink>
      <w:r>
        <w:rPr>
          <w:rFonts w:ascii="arial" w:eastAsia="arial" w:hAnsi="arial" w:cs="arial"/>
          <w:color w:val="000000"/>
          <w:sz w:val="20"/>
          <w:lang w:val="en-US" w:eastAsia="en-US" w:bidi="ar-SA"/>
        </w:rPr>
        <w:t xml:space="preserve">, </w:t>
      </w:r>
      <w:hyperlink r:id="rId193" w:history="1">
        <w:r>
          <w:rPr>
            <w:rFonts w:ascii="arial" w:eastAsia="arial" w:hAnsi="arial" w:cs="arial"/>
            <w:i/>
            <w:color w:val="0077CC"/>
            <w:sz w:val="20"/>
            <w:u w:val="single"/>
            <w:shd w:val="clear" w:color="auto" w:fill="FFFFFF"/>
            <w:lang w:val="en-US" w:eastAsia="en-US" w:bidi="ar-SA"/>
          </w:rPr>
          <w:t>[2002] B.C.J. No. 3065</w:t>
        </w:r>
      </w:hyperlink>
      <w:r>
        <w:rPr>
          <w:rFonts w:ascii="arial" w:eastAsia="arial" w:hAnsi="arial" w:cs="arial"/>
          <w:color w:val="000000"/>
          <w:sz w:val="20"/>
          <w:lang w:val="en-US" w:eastAsia="en-US" w:bidi="ar-SA"/>
        </w:rPr>
        <w:t xml:space="preserve"> ($6,500); and </w:t>
      </w:r>
      <w:r>
        <w:rPr>
          <w:rFonts w:ascii="arial" w:eastAsia="arial" w:hAnsi="arial" w:cs="arial"/>
          <w:b/>
          <w:i/>
          <w:color w:val="000000"/>
          <w:sz w:val="20"/>
          <w:lang w:val="en-US" w:eastAsia="en-US" w:bidi="ar-SA"/>
        </w:rPr>
        <w:t>Sallis v. Moore</w:t>
      </w:r>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2007 BCPC 356</w:t>
        </w:r>
      </w:hyperlink>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[2007] B.C.J. No. 2457</w:t>
        </w:r>
      </w:hyperlink>
      <w:r>
        <w:rPr>
          <w:rFonts w:ascii="arial" w:eastAsia="arial" w:hAnsi="arial" w:cs="arial"/>
          <w:color w:val="000000"/>
          <w:sz w:val="20"/>
          <w:lang w:val="en-US" w:eastAsia="en-US" w:bidi="ar-SA"/>
        </w:rPr>
        <w:t xml:space="preserve"> (two accidents: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It is trite but true that each case presents its own particular facts. Each plaintiff is an individual; the injuries and their consequences are never precisely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process of comparing cases is not a straightforward exercise, but can be of assistance in that it provides guidance for the assessment by demonstrating what other judges have determined to be reasonable. In this case, I find that the circumstances giving rise to the awards cited by the plaintiff are more serious than those at bar. I find, as well, that the injuries described in the cases relied on by the defendant are less serious than those of Ms. Reichennek.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Considering all of the evidence in this case, I find the appropriate award for non-pecuniary damages to be $22,000.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 claims that she is entitled to an award of damages for loss of earning capacity and that an appropriate amount is in the range of $10,000 to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defendant contests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order to succeed, the plaintiff must prove a real possibility of a future income loss. If that onus is met, the court will then award compensation on an estimation of the chance that event will occur: </w:t>
      </w:r>
      <w:r>
        <w:rPr>
          <w:rFonts w:ascii="arial" w:eastAsia="arial" w:hAnsi="arial" w:cs="arial"/>
          <w:b/>
          <w:i/>
          <w:color w:val="000000"/>
          <w:sz w:val="20"/>
          <w:lang w:val="en-US" w:eastAsia="en-US" w:bidi="ar-SA"/>
        </w:rPr>
        <w:t>Steward v. Berezan</w:t>
      </w:r>
      <w:r>
        <w:rPr>
          <w:rFonts w:ascii="arial" w:eastAsia="arial" w:hAnsi="arial" w:cs="arial"/>
          <w:color w:val="000000"/>
          <w:sz w:val="20"/>
          <w:lang w:val="en-US" w:eastAsia="en-US" w:bidi="ar-SA"/>
        </w:rPr>
        <w:t xml:space="preserve">, </w:t>
      </w:r>
      <w:hyperlink r:id="rId195" w:history="1">
        <w:r>
          <w:rPr>
            <w:rFonts w:ascii="arial" w:eastAsia="arial" w:hAnsi="arial" w:cs="arial"/>
            <w:i/>
            <w:color w:val="0077CC"/>
            <w:sz w:val="20"/>
            <w:u w:val="single"/>
            <w:shd w:val="clear" w:color="auto" w:fill="FFFFFF"/>
            <w:lang w:val="en-US" w:eastAsia="en-US" w:bidi="ar-SA"/>
          </w:rPr>
          <w:t>2007 BCCA 150</w:t>
        </w:r>
      </w:hyperlink>
      <w:r>
        <w:rPr>
          <w:rFonts w:ascii="arial" w:eastAsia="arial" w:hAnsi="arial" w:cs="arial"/>
          <w:color w:val="000000"/>
          <w:sz w:val="20"/>
          <w:lang w:val="en-US" w:eastAsia="en-US" w:bidi="ar-SA"/>
        </w:rPr>
        <w:t xml:space="preserve">, </w:t>
      </w:r>
      <w:hyperlink r:id="rId195" w:history="1">
        <w:r>
          <w:rPr>
            <w:rFonts w:ascii="arial" w:eastAsia="arial" w:hAnsi="arial" w:cs="arial"/>
            <w:i/>
            <w:color w:val="0077CC"/>
            <w:sz w:val="20"/>
            <w:u w:val="single"/>
            <w:shd w:val="clear" w:color="auto" w:fill="FFFFFF"/>
            <w:lang w:val="en-US" w:eastAsia="en-US" w:bidi="ar-SA"/>
          </w:rPr>
          <w:t>[2007] B.C.J. No. 499</w:t>
        </w:r>
      </w:hyperlink>
      <w:r>
        <w:rPr>
          <w:rFonts w:ascii="arial" w:eastAsia="arial" w:hAnsi="arial" w:cs="arial"/>
          <w:color w:val="000000"/>
          <w:sz w:val="20"/>
          <w:lang w:val="en-US" w:eastAsia="en-US" w:bidi="ar-SA"/>
        </w:rPr>
        <w:t>. Where there is no evidence that the plaintiff's capacity to earn income in the future is impaired, then the claim will not be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As a practical matter, it seems to me that the assessment of such a claim must be informed by the actual vocational or professional history, training and aspirations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the present case, I have concluded that the plaintiff's injuries from the accident have effectively resolved. Furthermore, there is no evidence that the plaintiff aspires to any line of occupation in which her prospects will be impacted by the injuries she sustained in this accident. I find that the circumstances of the plaintiff do not give rise to an entitlement to an award for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evidence is that Ms. Reichennek aspires to a career as a college instructor, and that she is in pursuit of this. Given my findings with respect to her injuries, and given the principle which will justify an award of damages for loss of capacity, the facts of this case do not warrant the granting of such a claim, and it stands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wish to offer an observation about the plaintiff. She is a bright, strong-minded, focussed and impressive person. She does not appear to be one who wallows in her problems but, rather, applies herself to achieve her goals. On all of the evidence, she is a good worker, academically able and has a demonstrated ability to know what she wants and to work towards that end. She has indicated that she aspires to become a university instructor, and there is no reason to doubt that she will attain that goal.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parties have agreed that the plaintiff sustained a wage loss as a consequence of the accident and her injuries. The agreed amount of that loss is $2,164.21.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parties have also agreed that the plaintiff incurred out-of-pocket expenses which she is entitled to recover as special damages in the amount of $351.00.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 AND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accident of December 24, 2005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that accident, the plaintiff sustained injuries which entitle her to recover damages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660"/>
        <w:gridCol w:w="2195"/>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$22,000.00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2823"/>
        <w:gridCol w:w="3032"/>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Lost wages</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$ 2,164.21</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241"/>
        <w:gridCol w:w="1464"/>
        <w:gridCol w:w="1150"/>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351.00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1"/>
        <w:gridCol w:w="3137"/>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w:t>
            </w:r>
            <w:r>
              <w:rPr>
                <w:rFonts w:ascii="arial" w:eastAsia="arial" w:hAnsi="arial" w:cs="arial"/>
                <w:color w:val="000000"/>
                <w:sz w:val="18"/>
                <w:lang w:val="en-US" w:eastAsia="en-US" w:bidi="ar-SA"/>
              </w:rPr>
              <w:t>:</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$24,515.21</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plaintiff is entitled to recover pre-judgment interest pursuant to the </w:t>
      </w:r>
      <w:r>
        <w:rPr>
          <w:rFonts w:ascii="arial" w:eastAsia="arial" w:hAnsi="arial" w:cs="arial"/>
          <w:b/>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in respect of the lost wages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the absence of there being considerations of which I am unaware, the plaintiff shall recover her costs of this action. As the matter proceeded under the provisions of Rule 66, the cost regime provided there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J.W. WILLIAMS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2"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Sam v. British Columbia (Ministry of Public Safety and Solicitor General), [2005] B.C.J. No. 496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Meiklem J.</w:t>
      </w:r>
    </w:p>
    <w:p>
      <w:pPr>
        <w:spacing w:before="120" w:line="260" w:lineRule="atLeast"/>
        <w:jc w:val="center"/>
        <w:rPr>
          <w:lang w:val="en-US" w:eastAsia="en-US" w:bidi="ar-SA"/>
        </w:rPr>
      </w:pPr>
      <w:r>
        <w:rPr>
          <w:rFonts w:ascii="arial" w:eastAsia="arial" w:hAnsi="arial" w:cs="arial"/>
          <w:color w:val="000000"/>
          <w:sz w:val="20"/>
          <w:lang w:val="en-US" w:eastAsia="en-US" w:bidi="ar-SA"/>
        </w:rPr>
        <w:t>Heard: September 7 and 8, 2004.</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March 8, 2005.</w:t>
      </w:r>
    </w:p>
    <w:p>
      <w:pPr>
        <w:spacing w:before="120" w:line="260" w:lineRule="atLeast"/>
        <w:jc w:val="center"/>
        <w:rPr>
          <w:lang w:val="en-US" w:eastAsia="en-US" w:bidi="ar-SA"/>
        </w:rPr>
      </w:pPr>
      <w:r>
        <w:rPr>
          <w:rFonts w:ascii="arial" w:eastAsia="arial" w:hAnsi="arial" w:cs="arial"/>
          <w:color w:val="000000"/>
          <w:sz w:val="20"/>
          <w:lang w:val="en-US" w:eastAsia="en-US" w:bidi="ar-SA"/>
        </w:rPr>
        <w:t>Prince George Registry No. 18407/03</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[2005] B.C.J. No. 496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2005 BCSC 331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35 C.C.L.T. (3d) 124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138 A.C.W.S. (3d) 569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2005 CarswellBC 527</w:t>
      </w:r>
    </w:p>
    <w:p>
      <w:pPr>
        <w:spacing w:before="120" w:line="260" w:lineRule="atLeast"/>
        <w:rPr>
          <w:lang w:val="en-US" w:eastAsia="en-US" w:bidi="ar-SA"/>
        </w:rPr>
      </w:pPr>
      <w:r>
        <w:rPr>
          <w:rFonts w:ascii="arial" w:eastAsia="arial" w:hAnsi="arial" w:cs="arial"/>
          <w:color w:val="000000"/>
          <w:sz w:val="20"/>
          <w:lang w:val="en-US" w:eastAsia="en-US" w:bidi="ar-SA"/>
        </w:rPr>
        <w:t>Between Kenneth Robert Sam (Jr.), plaintiff, and Minister of Public Safety and Solicitor General,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(37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83" style="position:absolute;z-index:25167052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75" w:name="Keywords_11"/>
      <w:bookmarkEnd w:id="75"/>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 Professional responsibility — Professions — Other-Police.</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76" w:name="Case Summary_8"/>
            <w:bookmarkEnd w:id="76"/>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the plaintiff, Sam, against the Ministry of Public Safety and the Solicitor General for damages for injuries suffered when he was bitten several times by a police dog. Sam was in his yard when a police dog who was pursuing a suspect bit him. The dog was on a leash held by an officer. The officer claimed that he did not expect the dog to attack Sam and that he had slipped just prior to encountering Sam. He testified that the dog had never bitten someone unless commanded to do so until this incident. Sam argued that the officer fell below the standard of care by allowing the dog to be too close to him and in failing to maintain adequate control of the dog. The officer argued that Sam failed to stop when warned which constituted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his part. </w:t>
            </w:r>
            <w:r>
              <w:rPr>
                <w:lang w:val="en-US" w:eastAsia="en-US" w:bidi="ar-SA"/>
              </w:rPr>
              <w:cr/>
            </w:r>
          </w:p>
          <w:p>
            <w:pPr>
              <w:spacing w:before="120" w:line="260" w:lineRule="atLeast"/>
              <w:ind w:left="240"/>
              <w:jc w:val="both"/>
              <w:rPr>
                <w:lang w:val="en-US" w:eastAsia="en-US" w:bidi="ar-SA"/>
              </w:rPr>
            </w:pPr>
            <w:bookmarkStart w:id="77" w:name="Holdings of Court_8"/>
            <w:bookmarkEnd w:id="77"/>
            <w:r>
              <w:rPr>
                <w:rFonts w:ascii="arial" w:eastAsia="arial" w:hAnsi="arial" w:cs="arial"/>
                <w:color w:val="000000"/>
                <w:sz w:val="20"/>
                <w:lang w:val="en-US" w:eastAsia="en-US" w:bidi="ar-SA"/>
              </w:rPr>
              <w:t>HELD: Action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Sam was awarded damages of $2,000. The police officer did not fall below the standard of care in attempting to investigate who Sam was. The officer was not negligent for the dog's first bite, but his actions fell below the standard of care when he failed to stop the unintended attack in pulling the dog off promptly. Sam was not contributorily negligent. </w:t>
            </w:r>
            <w:r>
              <w:rPr>
                <w:lang w:val="en-US" w:eastAsia="en-US" w:bidi="ar-SA"/>
              </w:rPr>
              <w:cr/>
            </w:r>
          </w:p>
          <w:p>
            <w:pPr>
              <w:rPr>
                <w:lang w:val="en-US" w:eastAsia="en-US" w:bidi="ar-SA"/>
              </w:rPr>
            </w:pPr>
          </w:p>
        </w:tc>
      </w:tr>
    </w:tbl>
    <w:p>
      <w:pPr>
        <w:jc w:val="both"/>
        <w:rPr>
          <w:lang w:val="en-US" w:eastAsia="en-US" w:bidi="ar-SA"/>
        </w:rPr>
      </w:pPr>
      <w:bookmarkStart w:id="78" w:name="Counsel_11"/>
      <w:bookmarkEnd w:id="78"/>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84" style="position:absolute;z-index:25172172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K.M. Fisher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A. Kemp</w:t>
      </w:r>
      <w:r>
        <w:rPr>
          <w:lang w:val="en-US" w:eastAsia="en-US" w:bidi="ar-SA"/>
        </w:rPr>
        <w:cr/>
      </w:r>
    </w:p>
    <w:p>
      <w:pPr>
        <w:spacing w:after="240"/>
        <w:rPr>
          <w:lang w:val="en-US" w:eastAsia="en-US" w:bidi="ar-SA"/>
        </w:rPr>
      </w:pPr>
      <w:bookmarkStart w:id="79" w:name="Judgment_11"/>
      <w:bookmarkEnd w:id="79"/>
      <w:r>
        <w:pict>
          <v:line id="_x0000_s1085" style="position:absolute;z-index:251772928"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80" w:name="MEIKLEM J."/>
            <w:bookmarkEnd w:id="80"/>
            <w:r>
              <w:rPr>
                <w:rFonts w:ascii="arial" w:eastAsia="arial" w:hAnsi="arial" w:cs="arial"/>
                <w:b/>
                <w:color w:val="000000"/>
                <w:sz w:val="30"/>
                <w:lang w:val="en-US" w:eastAsia="en-US" w:bidi="ar-SA"/>
              </w:rPr>
              <w:t>MEIKLEM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Sam was bitten by a police dog on leash that was pursuing a suspect in an attempted break and entry in a residential subdivision. He suffered minor bite injuries to the groin and abdomen. Liability is the main issue.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Sam was a 24-year old drywaller residing with his sister, her boyfriend and two children in a duplex at 244 Ruggles Street in the City of Prince George. The afternoon of January 26, 2001 was sunny and cold, and Mr. Sam was working outdoors preparing to change the radiator in his car that was parked in the driveway at the front of the duplex.</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Sam walked through the side yard and back yard of the duplex and borrowed two cement blocks from a neighbour across the back alley to be used in raising his vehicle for the repair project. As he returned across the alley and re-entered the back yard of 244 Ruggles Street carrying a cement block in each hand, he saw a brown GMC Suburban "creeping" down the alley. He acknowledged on cross-examination that when he saw this vehicle he thought that some police action was unfolding and that he heard a commotion as he walked with the blocks. He continued through the side yard between the duplex and a fence; as he came to the front of the building near the front of his car he heard someone say "Freeze!" and saw a RCMP officer near the other end of the front of the duplex.</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Sam stopped and dropped the cement blocks and remained standing as the police officer came jogging towards him. Mr. Sam saw another police officer with a dog running towards him through the side yard that Mr. Sam had just come through. He said he saw this officer when the officer was at the back corner of the duplex.</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According to Mr. Sam's testimony the officer with the dog stopped five to six feet from him, and after a moment of tension, the dog sniffed his feet and groin and then bit him once in the penis, once in the left testicle, once in the abdomen and got a hold of his left flank. The dog handler pulled the dog away "after a while" and then the police officers put Mr. Sam down on the ground. Mr. Sam said that he was angry, shocked and confused; he asked what was going on and why he was bitten but received no response. Mr. Sam's girlfriend, who had been in the duplex came out and shouted at the police that they had the wrong person. Mr. Sam yelled at her to get his identification and after she produced that the police apologized and released him. He then went into the house and viewed his injuries. He returned outside to question the police about why he had been bitten. He did not get an answer to that question, but he was offered and accepted a ride to the hospital where he was given antibiotics and driven home by the same officer.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cross-examination Mr. Sam acknowledged that he did initially assert that the dog handler had commanded the dog to attack him, but he admitted that he had done this in anger and changed his mind a couple of days later. He agreed that as far as he was aware the dog's action was spontaneous. He estimated that there was a five-second delay between the dog handler and dog stopping and the dog biting him, but when reminded of his examination for discovery evidence he adopted it, and said that the initial delay was "a couple of seconds", followed by a couple of seconds for initial sniffing and then another couple of seconds sniffing up his leg before he was bitten. He further corrected his evidence-in-chief by saying that the dog did not sniff his groin first but just bit his groin after sniffing up his legs. He asserted on cross-examination that the handler, Constable Sullivan, let the dog "gnaw" on him for a couple of seconds before he pulled him off. This contrasts with his examination for discovery evidence in which he said that there was no unusual delay and Constable Sullivan started pulling the dog back right away.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Sam was not arrested or handcuffed and he has taken no issue in this action with the police action in connection with taking him to the ground in the circumstances.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Constable Sullivan testified that he and another officer were dispatched to the scene following a report from a civilian who had observed a person attempting to break and enter the duplex. This was considered a serious offence which ranked as requiring a response as quickly as possible in order to catch the crime in progress. They were instructed to look for a duplex with a green van and car in the back yard but they were not given a description of the alleged offender.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arrival at approximately 3:00 p.m., Constable Sullivan, who was the passenger in the Suburban, noted two people in the back yard of the duplex. One of these he recognized as a known offender, Michael Desjarlais, who was standing in front of the green van parked in the back yard of the duplex and appearing ready to run. Mr. Desjarlais was someone that he had chased before and he knew him to be very violent and an extreme risk to the public. Constable Sullivan saw another man, whom we now know was Mr. Sam, in the back yard near another vehicle that was adjacent to the path across the back yard. Constable Sullivan did not know who Mr. Sam was and he said that upon his arrival at crime scenes he generally assumes all people present are suspects.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officer that had been driving the police Suburban chased Mr. Desjarlais, who ran to the left side of the duplex, and Constable Sullivan quickly removed his police dog "Beau" from the vehicle, shouted "Stop, stop, police" to Mr. Desjarlais and then jogged to the right side of the duplex with Beau. Constable Sullivan said that at that moment his intention was to stop Mr. Desjarlais but he also wanted to find out who and what the other person, namely Mr. Sam, was. Mr. Sam carried on walking out of sight and Constable Sullivan jogged across the back yard to the same side of the duplex that Mr. Sam had taken. He said that he had his dog on a six-foot webbed nylon leash attached to a choke collar but he was holding the leash tightly in his left hand at approximately three feet from the collar. Constable Sullivan testified that as he came around the side of the duplex he saw Mr. Sam standing in front of his car and between the car and a short, gated fence that is level with the front of the duplex. He testified that he continued to jog through the walkway at the side of the duplex and as he arrived at the fence he slipped on the ice and the dog lunged forward and connected with the plaintiff. Although he did not fall onto his hands or knees or loosen his grip on the leash, he said that the leash slackened enough when he lunged forward to allow the dog to make contact with Mr. Sam.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Constable Sullivan testified that he did not command the dog to attack nor did he anticipate that it would attack. He confirmed that there was a series of nipping at Mr. Sam's groin and progressive nips of his abdomen. Constable Sullivan said that it took his "brain a time to react" and for him to pull the dog off the plaintiff. As he was pulling the dog off he was commanding "No, no". Constable Sullivan estimated that the time lapse between his slip and the dog making contact with the plaintiff was less than two or three seconds.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There was no testimony about the specific distance between where Mr. Sam was standing and the open gateway but the photographic evidence suggests that the front of his car was approximately four meters from the gateway, and one concrete block is depicted as lying approximately midway in that distance, and the other was adjacent to the front tire of his car. Mr. Sam said only that he was standing in front of his car. I would estimate from this and the photographic evidence that he was standing between two and three meters from the open gate through which Constable Sullivan and Beau emerged.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 was not suggested that Mr. Sam was mistaken or in error about the proximity of another officer at the front of the duplex, but Constable Sullivan was the only witness for the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photographs in evidence depict the area in the vicinity of the walkway on the side yard between the front and rear of the duplex at 244 Ruggles Street. Specific measurements were not provided in the testimony, but the distance between the building and the fence appears to be approximately two meters. This width is constricted at approximately midway along the side of the house by a set of stairs with a hand railing which reduces the passage to approximately one meter. Near the stairs the walkway was obstructed by a loop of pipe anchored in the compacted snow and once past that pipe there was an accumulation of garbage bags on the right hand side of the passage that restricted the movement of pedestrians to the left half of the space. The remaining walkway space was partially bare adjacent to the building itself but there was frozen compacted snow on a portion of it. As he jogged through that area with the dog on his left, Constable Sullivan would probably have been stepping wholly or in part to the compact snow portion and as he approached the relatively narrow open gateway at the left end of the short fence, and he quite likely stumbled on part of a plastic garbage bag which was partially embedded in the compact snow at that location. There was also a heavy-duty outdoor electrical extension cord running through the open gateway and lying coiled and twisted on the ground between the gateway and where Mr. Sam was standing, which may have caused him to slip.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Constable Sullivan provided evidence regarding the training and experience of his dog and himself as a dog handler. Constable Sullivan began his training as a dog handler in August of 1999, at which time he had been a member of the RCMP for approximately nine years. Before he was teamed up with Beau (born in October 1998) in September 1999, he had worked with two other dogs that were "fired" during training. He and Beau completed their training and passed all levels of testing and graduated together in January 2000, approximately one year before the incident following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Constable Sullivan's dog was trained to apprehend people by tracking, catching and bringing them down and then biting and holding on command. The dog is trained not to bite unless so commanded. The command to bite and hold is "Hag!" The dog is also not supposed to maul or re-bite unless a suspect pulls away or the dog has grabbed loose clothing. The command "Out!" is used to direct the dog to release the suspect and come to heel, and then he is commanded to lie down with the command "Down". Constable Sullivan acknowledged that "No" is not a formal command used in the course of apprehension work but is an informal stopping command used to stop the dog from barking and chasing squirrels and other similar behaviour.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Constable Sullivan testified that his dog did not like biting during his initial training for aggression and although he had bitten up to 15 people in the course of his work, he had only ever done so on command, prior to this incident. Constable Sullivan described his dog as very docile and gentle although he knew when it was time to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Constable Sullivan testified that he was trained not to get too close to a person who is surrendering and, if possible, he is trained to tie up the dog and search an individual, or if necessary trust the dog in the down position, or alternatively hold the dog and wait for back-up. He testified that he did not use the dog to sniff search the plaintiff even though he acknowledged that the plaintiff was a suspect in respect of the break and entry until he was questioned. However, once he saw that the plaintiff was standing and not a threat, his intention was to go around the plaintiff and apprehend Mr. Desjarlais by releasing the dog, if necessary. His usual practice is to avoid putting the dog within 6 feet of innocent bystanders.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Constable Sullivan said that after the incident he was very upset at the dog, the plaintiff and himself. He was angry at the plaintiff because the plaintiff had not stopped in the back yard, which in his view would have prevented the incident. He was angry with the dog because the dog had acted contrary to training and bitten the wrong person. Constable Sullivan did not elaborate on why he was upset with himself, and he was not pressed in cross-examination to do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argued that Constable Sullivan fell below the requisite standard of care for police dog handlers by allowing his dog to be too close to Mr. Sam, contrary to his own guidelines, in failing to maintain adequate control of the dog, and by using the wrong command "No" instead of the correct "Out" when the dog broke from control.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 argued that the officer acted with reasonable care and judgment in discharging his police duties in an unfortunate combination of circumstances and should not be found negligent. It is submitted that he showed prudence in jogging rather than running flat out. I was urged not to believe Mr. Sam's testimony that he did not hear Constable Sullivan shout the warning to stop, and to find that ignoring the warning and continuing to walk was negligent in the circumstances.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As to the evidentiary conflict, I must discount Mr. Sam's reliability on account of his initial untruthful allegation that the dog had been commanded to attack and because of the inconsistencies between trial testimony and examination for discovery. Therefore, I accept Constable Sullivan's evidence that he slipped and lurched forward momentarily in preference to Mr. Sam's evidence of the officer and dog coming to a full stop and an interval of several seconds involving the dog sniffing preceded the bites.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Having said that, however, the photographic evidence confirms that the dog bit Mr. Sam in the lower abdomen and on the left side rib cage area (flank) and there is no evidence to contradict his testimony that he received a puncture wound in his scrotum that "caught" (I presume bruised) a testicle. There was no medical report or other medical evidence. He testified at trial about a separate bite to his penis, but he did not mention that on examination for discovery and it may well have been caught with a single bite to the groin. The photographs of the injuries on his flank support at least two bites to that area.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evidence, therefore, demonstrates at least 4 separate bites, that is, at least 3 bites following the initial bite to his groin. This is prima facie incongruous with Constable Sullivan's evidence that he always maintained a hold on the leash about 3 feet from the dog's collar and the dog's opportunity for aberrant behaviour was when he lurched momentarily. Constable Sullivan's explanation for how he was able to observe the dog making a series "nipping" at the groin and working his way up was that it took his "brain a time to react". When he did finally react, he reacted by using the wrong command in conjunction with pulling the dog off.</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What Standard of Care Should Apply to Police Officers Who Work with Police Dogs?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plaintiff relies solely on Rosario v. Canada (Royal Canadian Mounted Police), </w:t>
      </w:r>
      <w:hyperlink r:id="rId203" w:history="1">
        <w:r>
          <w:rPr>
            <w:rFonts w:ascii="arial" w:eastAsia="arial" w:hAnsi="arial" w:cs="arial"/>
            <w:i/>
            <w:color w:val="0077CC"/>
            <w:sz w:val="20"/>
            <w:u w:val="single"/>
            <w:shd w:val="clear" w:color="auto" w:fill="FFFFFF"/>
            <w:lang w:val="en-US" w:eastAsia="en-US" w:bidi="ar-SA"/>
          </w:rPr>
          <w:t>[2000] B.C.J. No. 242</w:t>
        </w:r>
      </w:hyperlink>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2000 BCSC 214</w:t>
        </w:r>
      </w:hyperlink>
      <w:r>
        <w:rPr>
          <w:rFonts w:ascii="arial" w:eastAsia="arial" w:hAnsi="arial" w:cs="arial"/>
          <w:color w:val="000000"/>
          <w:sz w:val="20"/>
          <w:lang w:val="en-US" w:eastAsia="en-US" w:bidi="ar-SA"/>
        </w:rPr>
        <w:t>, which applies a standard of care approaching strict liability on "RCMP dogs and their handlers" in circumstances sharing some similar features with the present case. Paragraph 78 of the decision in Rosario sets out the description of the standard of care that was applied: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Considerable documentary and oral evidence was led with respect to the training of police dogs generally, and Kaiser in particular. Both Kaiser and Constable Gladney had completed all levels of training at the time of this incident. Both the dogs and their handlers undergo extensive training in a number of areas, including obedience, criminal apprehension, and controlled aggression. The training manual and records make it clear that maintenance of control over the dog by the handler at all times is central to this training. In particular, in learning apprehension and aggression, the dogs are taught the "bite and hold" method. With this method, the handler, rather than the dog, makes the decision about how to approach a suspect, and the dog will only grab the suspect with its mouth on the command "hag". The dog does not attack on its own volition. I find this evidence sufficient to establish the standard of care expected of RCMP dogs and their handlers, and find that standard includes control of the dogs at all times. The dogs are to attack only on the command of their handlers.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case is factually similar in that the dog Beau in the present case was trained in the same manner as the dog Kaiser was in Rosario, and the court found that the dog lunged toward the plaintiff of its own accord, contrary to training. In that case, it was the dog's lunge toward the plaintiff that caused the handler to lose his footing and this played a role in the loss of control persisting for 20 to 30 seconds. The court's analysis of the officer's breach of the standard of care was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80 I find that this action by Kaiser was essentially the "find and bark" method of apprehension, in which the dog, rather than the handler, decides whether to bite a suspect. This method is specifically not taught by the RCMP. It is contrary to Kaiser's training. In this instance, the effect of his lunge was compounded by the fact that it caused Constable. Gladney to lose his footing, and he was unable to regain control of Kaiser quickly, prolonging the attack.</w:t>
      </w:r>
    </w:p>
    <w:p>
      <w:pPr>
        <w:spacing w:before="120" w:line="260" w:lineRule="atLeast"/>
        <w:ind w:left="720"/>
        <w:rPr>
          <w:lang w:val="en-US" w:eastAsia="en-US" w:bidi="ar-SA"/>
        </w:rPr>
      </w:pPr>
      <w:r>
        <w:rPr>
          <w:rFonts w:ascii="arial" w:eastAsia="arial" w:hAnsi="arial" w:cs="arial"/>
          <w:color w:val="000000"/>
          <w:sz w:val="20"/>
          <w:lang w:val="en-US" w:eastAsia="en-US" w:bidi="ar-SA"/>
        </w:rPr>
        <w:t>81 I appreciate that both Constable Gladney and Kaiser were confused. However, in my view that does not excuse the failure to maintain control of the dog. I would think control remains particularly important during moments of confusion and surprise if innocent civilians are to escape unnecessary attacks from police dogs.</w:t>
      </w:r>
    </w:p>
    <w:p>
      <w:pPr>
        <w:spacing w:before="120" w:line="260" w:lineRule="atLeast"/>
        <w:ind w:left="720"/>
        <w:rPr>
          <w:lang w:val="en-US" w:eastAsia="en-US" w:bidi="ar-SA"/>
        </w:rPr>
      </w:pPr>
      <w:r>
        <w:rPr>
          <w:rFonts w:ascii="arial" w:eastAsia="arial" w:hAnsi="arial" w:cs="arial"/>
          <w:color w:val="000000"/>
          <w:sz w:val="20"/>
          <w:lang w:val="en-US" w:eastAsia="en-US" w:bidi="ar-SA"/>
        </w:rPr>
        <w:t>82 Moreover, other options were open to Constable Gladney before Kaiser lunged. He could have given him the commands "heel" or "down" before the attack, which would have had the effect of bringing Kaiser under control while he remained in the vicinity of Mr. Rosario and Mr. Owen. Constable Gladney could also have pulled Kaiser back and waited for the arrival of Constables Maillette and McCarthy who were close at hand.</w:t>
      </w:r>
    </w:p>
    <w:p>
      <w:pPr>
        <w:spacing w:before="120" w:line="260" w:lineRule="atLeast"/>
        <w:ind w:left="720"/>
        <w:rPr>
          <w:lang w:val="en-US" w:eastAsia="en-US" w:bidi="ar-SA"/>
        </w:rPr>
      </w:pPr>
      <w:r>
        <w:rPr>
          <w:rFonts w:ascii="arial" w:eastAsia="arial" w:hAnsi="arial" w:cs="arial"/>
          <w:color w:val="000000"/>
          <w:sz w:val="20"/>
          <w:lang w:val="en-US" w:eastAsia="en-US" w:bidi="ar-SA"/>
        </w:rPr>
        <w:t>83 I find that Constable Gladney's inability to control Kaiser in these circumstances, and the resulting attack on Mr. Rosario, amount to a breach of the standard of care expected of police dog handlers and their dogs.</w:t>
      </w:r>
    </w:p>
    <w:p>
      <w:pPr>
        <w:spacing w:before="120" w:line="260" w:lineRule="atLeast"/>
        <w:ind w:left="720"/>
        <w:rPr>
          <w:lang w:val="en-US" w:eastAsia="en-US" w:bidi="ar-SA"/>
        </w:rPr>
      </w:pPr>
      <w:r>
        <w:rPr>
          <w:rFonts w:ascii="arial" w:eastAsia="arial" w:hAnsi="arial" w:cs="arial"/>
          <w:color w:val="000000"/>
          <w:sz w:val="20"/>
          <w:lang w:val="en-US" w:eastAsia="en-US" w:bidi="ar-SA"/>
        </w:rPr>
        <w:t>84 I find support for that conclusion in the fact that Constable Gladney chose not to reveal the extent of the attack in his notes of the event, or in the Police Dog Service Report which he was required to complete. There is no doubt that he knew Mr. Rosario had been bitten by Kaiser, and suffered injuries. This was an unusual and significant event, and his failure to record it indicates to me that he knew it should not have happened, and he did not want it known. As well, his comment after the attack to Mr. Rosario, to the effect that he should back off or he would be bitten again, was inappropriate. It suggests a defensive response characteristic of someone who knows his dog has behaved badly and inappropriately.</w:t>
      </w:r>
    </w:p>
    <w:p>
      <w:pPr>
        <w:spacing w:before="120" w:line="260" w:lineRule="atLeast"/>
        <w:ind w:left="720"/>
        <w:rPr>
          <w:lang w:val="en-US" w:eastAsia="en-US" w:bidi="ar-SA"/>
        </w:rPr>
      </w:pPr>
      <w:r>
        <w:rPr>
          <w:rFonts w:ascii="arial" w:eastAsia="arial" w:hAnsi="arial" w:cs="arial"/>
          <w:color w:val="000000"/>
          <w:sz w:val="20"/>
          <w:lang w:val="en-US" w:eastAsia="en-US" w:bidi="ar-SA"/>
        </w:rPr>
        <w:t>85 Finally, I note the evaluation done of Constable Gladney and Kaiser by Staff Sergeant Haworth in February 1996. I appreciate Staff Sergeant Haworth did not give evidence, but Constable Gladney testified that he agreed with everything in the assessment. The only critical comment in it exhorts Constable Gladney to improve his control of Kaiser when he is in close contact to suspects, to remedy any concerns of undue action. This also supports the conclusion that the dog's behaviour with Mr. Rosario breached the expected standard of care.</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86 Accordingly, I find Constable Gladney was negligent in failing to maintain control over Kaiser through his dealings with Mr. Rosario, and I find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Mr. Rosario's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present case is factually distinguishable in that Constable Sullivan did not lose his footing as a result of a preceding failure to adequately control his dog, but rather as a result of slipping while he jogged along the walkway beside the duplex. That distinction is significant, but if the standard of care is control of the dog at all times, it may not be sufficient to distinguish the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defendant relies upon the Supreme Court of Canada decision in Priestman v. Colangelo and others </w:t>
      </w:r>
      <w:hyperlink r:id="rId204" w:history="1">
        <w:r>
          <w:rPr>
            <w:rFonts w:ascii="arial" w:eastAsia="arial" w:hAnsi="arial" w:cs="arial"/>
            <w:i/>
            <w:color w:val="0077CC"/>
            <w:sz w:val="20"/>
            <w:u w:val="single"/>
            <w:shd w:val="clear" w:color="auto" w:fill="FFFFFF"/>
            <w:lang w:val="en-US" w:eastAsia="en-US" w:bidi="ar-SA"/>
          </w:rPr>
          <w:t>(1959), 19 D.L.R. (2d) 1</w:t>
        </w:r>
      </w:hyperlink>
      <w:r>
        <w:rPr>
          <w:rFonts w:ascii="arial" w:eastAsia="arial" w:hAnsi="arial" w:cs="arial"/>
          <w:color w:val="000000"/>
          <w:sz w:val="20"/>
          <w:lang w:val="en-US" w:eastAsia="en-US" w:bidi="ar-SA"/>
        </w:rPr>
        <w:t>, which applied the basic principle that police officers performing duties imposed upon them may place the public at risk or harm individuals without liability provided that they act reasonably in the performance of their duties.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defendant also cited Noel (Committee of) v. Royal Canadian Mounted Police </w:t>
      </w:r>
      <w:hyperlink r:id="rId205" w:history="1">
        <w:r>
          <w:rPr>
            <w:rFonts w:ascii="arial" w:eastAsia="arial" w:hAnsi="arial" w:cs="arial"/>
            <w:i/>
            <w:color w:val="0077CC"/>
            <w:sz w:val="20"/>
            <w:u w:val="single"/>
            <w:shd w:val="clear" w:color="auto" w:fill="FFFFFF"/>
            <w:lang w:val="en-US" w:eastAsia="en-US" w:bidi="ar-SA"/>
          </w:rPr>
          <w:t>(1995), 9 B.C.L.R. (3d) 21</w:t>
        </w:r>
      </w:hyperlink>
      <w:r>
        <w:rPr>
          <w:rFonts w:ascii="arial" w:eastAsia="arial" w:hAnsi="arial" w:cs="arial"/>
          <w:color w:val="000000"/>
          <w:sz w:val="20"/>
          <w:lang w:val="en-US" w:eastAsia="en-US" w:bidi="ar-SA"/>
        </w:rPr>
        <w:t xml:space="preserve"> (B.C.S.C.) for an analysis of standard of care in a police pursuit. Reference was made (p. 35) to Doern v. Phillips Estate </w:t>
      </w:r>
      <w:hyperlink r:id="rId206" w:history="1">
        <w:r>
          <w:rPr>
            <w:rFonts w:ascii="arial" w:eastAsia="arial" w:hAnsi="arial" w:cs="arial"/>
            <w:i/>
            <w:color w:val="0077CC"/>
            <w:sz w:val="20"/>
            <w:u w:val="single"/>
            <w:shd w:val="clear" w:color="auto" w:fill="FFFFFF"/>
            <w:lang w:val="en-US" w:eastAsia="en-US" w:bidi="ar-SA"/>
          </w:rPr>
          <w:t>(1994), 2 B.C.L.R. (3d) 349</w:t>
        </w:r>
      </w:hyperlink>
      <w:r>
        <w:rPr>
          <w:rFonts w:ascii="arial" w:eastAsia="arial" w:hAnsi="arial" w:cs="arial"/>
          <w:color w:val="000000"/>
          <w:sz w:val="20"/>
          <w:lang w:val="en-US" w:eastAsia="en-US" w:bidi="ar-SA"/>
        </w:rPr>
        <w:t xml:space="preserve"> (B.C.S.C.) (at p. 372) for the following statement of the standard of care: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 . there is little doubt that the standard of care to which a police officer will be held is that of a reasonable police officer, acting reasonably and within the statutory powers imposed upon him or her, according to the circumstances of the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At page 38, Clancy J. summarized his findings on standard of care: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In summary, the question to be asked in assessing the conduct of police officers during pursuit is whether they, viewed objectively from the viewpoint of a reasonable police officer, acted reasonably and within the statutory powers conferred upon them. In considering that question, the Court must take into account that officers will be expected to perform the duties imposed on them by statute and to comply with policies adopted by the force to which they belong. A failure to comply with policy will not necessarily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nor will an error in judgment. Officers are exempted from compliance with certain traffic rules, provided they meet they meet the requirements of s. 118 of the Motor Vehicle Act. There must be a recognition that officers are required to exercise judgment in balancing the competing interests of arresting wrongdoers and protecting citizens.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With the greatest of respect to the decision in Rosario, which makes no mention of these or other authorities on the question of the standard of care, I see no sound basis for imposing a higher standard of care when the police officer's tool is a dog, than when it is a motor vehicle or a firearm. The fact that training and policy insist on maintenance of control over the dog at all times is not something that distinguishes the dog from other tools.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the facts in this case, I do not think that Constable Sullivan fell below the appropriate standard of care in jogging along the walkway in his efforts to apprehend Mr. Desjarlais and investigate who Mr. Sam was. Anything less would have been ineffectual in fulfilling his pursuit duties. He did approach closer than his standard distance of separation of 6 feet from a stationary or submissive suspect, but this was because of his accidental slip, which frustrated his intention to dart around Mr. Sam and continue the pursuit of Mr. Desjarlais.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my assessment, Constable Sullivan cannot be held negligent for the dog's first bite, but I think that he fell below the standard of care that we should reasonably expect in these circumstances when he failed to stop the unintended attack with the first bite by his delayed reaction and then failing to use the appropriate command in conjunction with pulling the dog off. On his evidence of having a short hold on the leash and absent any evidence that he was partially disabled for more than the momentary lurch forward from the slip, there is no explanation for the multiple bites that negates the inference of a lack of appropriate care for the submissive Mr. Sam.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defendant argued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in failing to heed the police command to stop and proceeding to walk to the front of the duplex. This argument depends on a finding that Mr. Sam heard the command. In light of his denial, and the dearth of evidence which could refute the denial, I am unable to find on a balance of probabilities that Mr. Sam heard that command. I cannot find him negligent.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small puncture in Mr. Sam's lower abdomen was a minor injury that healed fully in 2 weeks.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lacerations on his flank were not sutured, and were fully healed in 6 weeks without further difficulty. They left scars, but there was no evidence that these are unsightly enough to concern the plaintiff. He has no intention of undergoing plastic surgery.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assess general damages at $2,000. Counsel asked me to defer a decision on costs; liberty to apply is granted if that becomes necessary.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MEIKLEM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6" style="position:absolute;z-index:2518241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07"/>
          <w:headerReference w:type="default" r:id="rId208"/>
          <w:footerReference w:type="even" r:id="rId209"/>
          <w:footerReference w:type="default" r:id="rId210"/>
          <w:headerReference w:type="first" r:id="rId211"/>
          <w:footerReference w:type="first" r:id="rId21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13" w:history="1">
        <w:r>
          <w:rPr>
            <w:rFonts w:ascii="arial" w:eastAsia="arial" w:hAnsi="arial" w:cs="arial"/>
            <w:b/>
            <w:bCs/>
            <w:i/>
            <w:color w:val="0077CC"/>
            <w:kern w:val="32"/>
            <w:sz w:val="28"/>
            <w:szCs w:val="32"/>
            <w:u w:val="single"/>
            <w:shd w:val="clear" w:color="auto" w:fill="FFFFFF"/>
            <w:lang w:val="en-US" w:eastAsia="en-US" w:bidi="ar-SA"/>
          </w:rPr>
          <w:t>Sauvé v. Insurance Corp. of British Columbia, [2010] B.C.J. No. 1020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Chilliwack,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B.M. Joyce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4,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28,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S19580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Chilliwack</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1020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763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87 C.C.L.I. (4th) 104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1340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87 C.P.C. (6th) 217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189 A.C.W.S. (3d) 340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Susanne Sauvé, Plaintiff, and Insurance Corporation of British Columbia, Shane Gregory Bowles and ABCO Marine Developments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7"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1" w:name="Keywords_12"/>
      <w:bookmarkEnd w:id="81"/>
      <w:r>
        <w:rPr>
          <w:rFonts w:ascii="arial" w:eastAsia="arial" w:hAnsi="arial" w:cs="arial"/>
          <w:b/>
          <w:color w:val="000000"/>
          <w:sz w:val="20"/>
          <w:lang w:val="en-US" w:eastAsia="en-US" w:bidi="ar-SA"/>
        </w:rPr>
        <w:t>Civil litigation — Civil procedure — Discovery — Production and inspection of documents — Privileged documents — Documents prepared in contemplation of litigation — Waiver of privilege — Application by plaintiff in person injury action for order requiring Insurance Corporation to disclose two reports dismissed — Although no litigation yet commenced when reports prepared, Corporation reasonably contemplated litigation given seriousness of plaintiff's injuries, involvement of unidentified driver and issues existing about relative liability of plaintiff and named defendant — Reports prepared for dominant purpose of litigation — Disclosure of reports to named defendant not waiver of privilege, as these parties shared common interest in litigation.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2" w:name="Case Summary_9"/>
            <w:bookmarkEnd w:id="8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Sauve for an order requiring the Insurance Corporation to disclose two reports prepared by an independent adjuster. Sauve was seriously injured in a motor vehicle accident involving a car operated by Bowles. SauvÚ claimed against Bowles as well as the corporation, as Sauve believed another unidentified motorist was at fault for the collision. The adjuster's reports, prepared at the request of the Corporation before any litigation was commenced, contained statements from witnesses identified on police reports and photographs of the accident scene, along with the adjuster's opinion of the likely performance of each witness in court and the commonalities in their evidence. Sauve was able to obtain copies of the witnesses' statements and the photographs through an application to the RCMP. The Insurance Corporation refused to disclose two reports on the basis that they were prepared for the dominant purpose of litigation and were therefore subject to litigation privilege. The Corporation had, however, disclosed the reports to Bowles, denying this constituted a waiver of privilege because the parties shared a common interest in the litigation and therefore the reports.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3" w:name="Holdings of Court_9"/>
            <w:bookmarkEnd w:id="83"/>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circumstances of the accident were such that the Corporation would have reasonably anticipated litigation was going to result. These included the seriousness of SauvÚ's injuries, the allegations of an unknown, liable driver, and the apportionment of liability between Sauve and Bowles. It commissioned the adjuster's report knowing litigation was a reasonable prospect. It was clear the adjuster considered her duty to create reports for use for litigation purposes. Any collateral use the Corporation may have made of the reports at the investigation stage was secondary. The reports were prepared for the dominant purpose of litigation. The Corporation did not waive privilege by disclosing the reports to Bowles. There was sufficient commonality of their interests to give rise to this exception to waiver.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4" w:name="Legislation Cited_8"/>
      <w:bookmarkEnd w:id="8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8" style="position:absolute;z-index:2517227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Freedom of Information and Protection of Privacy Act, </w:t>
      </w:r>
      <w:r>
        <w:rPr>
          <w:rFonts w:ascii="arial" w:eastAsia="arial" w:hAnsi="arial" w:cs="arial"/>
          <w:i/>
          <w:color w:val="000000"/>
          <w:sz w:val="20"/>
          <w:lang w:val="en-US" w:eastAsia="en-US" w:bidi="ar-SA"/>
        </w:rPr>
        <w:t>RSBC 1996, CHAPTER 165</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Insurance (Vehicle) Act, </w:t>
      </w:r>
      <w:r>
        <w:rPr>
          <w:rFonts w:ascii="arial" w:eastAsia="arial" w:hAnsi="arial" w:cs="arial"/>
          <w:i/>
          <w:color w:val="000000"/>
          <w:sz w:val="20"/>
          <w:lang w:val="en-US" w:eastAsia="en-US" w:bidi="ar-SA"/>
        </w:rPr>
        <w:t>RSBC 1996, CHAPTER 231</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85" w:name="Counsel_12"/>
      <w:bookmarkEnd w:id="8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9" style="position:absolute;z-index:2517739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 Larson, Articled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Insurance Corporation of British Columbia: A.R. Ayliffe.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6" w:name="Judgment_12"/>
      <w:bookmarkEnd w:id="86"/>
      <w:r>
        <w:pict>
          <v:line id="_x0000_s1090" style="position:absolute;z-index:2518251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7" w:name="B.M. JOYCE J."/>
            <w:bookmarkEnd w:id="87"/>
            <w:r>
              <w:rPr>
                <w:rFonts w:ascii="arial" w:eastAsia="arial" w:hAnsi="arial" w:cs="arial"/>
                <w:b/>
                <w:color w:val="000000"/>
                <w:sz w:val="30"/>
                <w:lang w:val="en-US" w:eastAsia="en-US" w:bidi="ar-SA"/>
              </w:rPr>
              <w:t>B.M. JOYCE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1. Introduction and Nature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was injured when the car she was driving was involved in a collision with another vehicle that was being driven by the defendant Bowles. The plaintiff alleges that Bowles was negligent. She also alleges that the driver of another vehicle was also negligent and caused or contributed to the accident. The identity of that other driver is unknown and, as a consequence, the plaintiff has sued The Insurance Corporation of British Columbia ("ICBC") as nominal defendant, under the provisions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application arises out of the plaintiff's demand for discovery of documents. ICBC has claimed privilege over and refused production of two reports prepared by an independent adjuster, on the ground that they were prepared for the dominant purpose of litigation and are subject to what is known as "litigation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submits there are two reasons why the reports should be disclosed: first, she says the reports were not prepared in circumstances that attracted litigation privilege; and second, she says that even if the reports were protected by litigation privilege when they were created, ICBC waived that privilege when it disclosed the reports to the defendant Bowles.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on the other hand, asserts that it did not waive the privilege by providing the reports to a co-defendant because Bowles and ICBC share a common interest in the litigation and in the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application, therefore, raises two issues:</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reports subject to "litigation privilege" when they were prepared for ICBC?</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ICBC waive the privilege when it provided the reports to Bowles?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 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January 27, 2008, the plaintiff was driving her vehicle northbound across the Agassiz-Rosedale Bridge on Highway 9, in British Columbia. She alleges that another vehicle, travelling southbound, came into her lane of traffic. In order to avoid a collision with this vehicle, she swerved to the right, struck the side rail on the bridge and careened across the roadway into the southbound lane, where she then struck a vehicle being driven southbound by the defendant Bowles. The plaintiff alleges that the driver of the vehicle that she swerved to avoid failed to stop at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and Mr. Bowles both independently reported this accident to ICBC on January 28, 2008. The claim file was assigned to Claims Adjuster, Sidney Taylor. On March 6, 2008, Mr. Taylor retained an independent insurance adjuster, Ms. Cathy Webber, to obtain statements from a number of witnesses who were identified on police reports concerning the accident. Ms. Webber was also asked to provide "any further appropriate commentary" (affidavit of Mr. Taylor,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Webber recorded the terms of her retainer on a form entitled "New Loss Report". Under the heading "Assignment", she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Serious injuries. Driver Susanne Sauve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Head on collision crest of Rosedale Bridge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Alleged unknown responsible - liability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Assignment is to interview/statements from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witnesses (5 or 6) as per police report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supplied by CHWK RCMP.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Also supply photos of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accordance with her retainer, Ms. Webber interviewed a number of witnesses and obtained written statements from them. She also took some photographs of the scene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Webber prepared two reports, one dated March 17, 2008 and the other dated April 2, 2008 (the "reports"), which she provided to Mr. Taylor, along with the witness statements and the photographs she had taken. Ms. Webber describes the content of the reports in her affidavit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used my expertise and experience as an Insurance Adjuster to describe each of the Witnesses, including their physical appearance, demeanor and presentation. I also provided an analysis as to the likely performance of each witness in court. I further provided analysis of the commonalities between various witness accounts for the purpose of assessing credibility and preparing the case of the Defendant, ICBC should litigation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the meantime, on March 10, 2008, a solicitor retained by Ms. Sauvé wrote to ICBC advising that he had been retained to represent the plaintiff in connection with the accident. He requested various information from ICBC and requested that all further communication be with him, rather than with the plaintiff directly.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April 14, 2008, Mr. Taylor transferred his file to an ICBC litigation adjuster; and, on May 5, 2008, the file was transferred to ICBC's Head Office Claims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As a result of an application under </w:t>
      </w:r>
      <w:r>
        <w:rPr>
          <w:rFonts w:ascii="arial" w:eastAsia="arial" w:hAnsi="arial" w:cs="arial"/>
          <w:i/>
          <w:color w:val="000000"/>
          <w:sz w:val="20"/>
          <w:lang w:val="en-US" w:eastAsia="en-US" w:bidi="ar-SA"/>
        </w:rPr>
        <w:t>the Freedom of Information and Protection of Privacy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165</w:t>
      </w:r>
      <w:r>
        <w:rPr>
          <w:rFonts w:ascii="arial" w:eastAsia="arial" w:hAnsi="arial" w:cs="arial"/>
          <w:color w:val="000000"/>
          <w:sz w:val="20"/>
          <w:lang w:val="en-US" w:eastAsia="en-US" w:bidi="ar-SA"/>
        </w:rPr>
        <w:t>, the plaintiff obtained copies of the witness statements and photographs that Ms. Webber had obtained, but not the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ICBC has provided the reports to the lawyer acting for the defendant Bowles.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 The law relating to litigation privilege and waiver of privilege</w:t>
      </w:r>
      <w:r>
        <w:rPr>
          <w:rFonts w:ascii="arial" w:eastAsia="arial" w:hAnsi="arial" w:cs="arial"/>
          <w:sz w:val="20"/>
          <w:lang w:val="en-US" w:eastAsia="en-US" w:bidi="ar-SA"/>
        </w:rPr>
        <w:cr/>
      </w:r>
    </w:p>
    <w:p>
      <w:pPr>
        <w:numPr>
          <w:numId w:val="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The test for litigation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Hamalainen (Committee of) v. Sippola</w:t>
      </w:r>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(1991), 62 B.C.L.R. (2d) 254</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Hamalainen</w:t>
      </w:r>
      <w:r>
        <w:rPr>
          <w:rFonts w:ascii="arial" w:eastAsia="arial" w:hAnsi="arial" w:cs="arial"/>
          <w:color w:val="000000"/>
          <w:sz w:val="20"/>
          <w:lang w:val="en-US" w:eastAsia="en-US" w:bidi="ar-SA"/>
        </w:rPr>
        <w:t xml:space="preserve">") at para. 17, the Court of Appeal set out the test to be applied when determining whether privilege should apply to documents in litigation. Wood J.A. first adopted the following from </w:t>
      </w:r>
      <w:r>
        <w:rPr>
          <w:rFonts w:ascii="arial" w:eastAsia="arial" w:hAnsi="arial" w:cs="arial"/>
          <w:i/>
          <w:color w:val="000000"/>
          <w:sz w:val="20"/>
          <w:lang w:val="en-US" w:eastAsia="en-US" w:bidi="ar-SA"/>
        </w:rPr>
        <w:t>Grant v. Downs</w:t>
      </w:r>
      <w:r>
        <w:rPr>
          <w:rFonts w:ascii="arial" w:eastAsia="arial" w:hAnsi="arial" w:cs="arial"/>
          <w:color w:val="000000"/>
          <w:sz w:val="20"/>
          <w:lang w:val="en-US" w:eastAsia="en-US" w:bidi="ar-SA"/>
        </w:rPr>
        <w:t xml:space="preserve"> (1976), 135 C.L.R. 674 at 677 (Aust. H.C.)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as an accurate statement of the law in this Province: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Having considered the decisions, the writings and the various aspects of the public interest which claim attention, I have come to the conclusion that the court should state the relevant principle as follows: a document which was produced or brought into existence either with the dominant purpose of its author, or of the person or authority under whose direction, whether particular or general, it was produced or brought into existence, of using it or its contents in order to obtain legal advice or to conduct or aid in the conduct of litigation, at the time of its production in reasonable prospect, should be privileged and excluded from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Justice Wood then set out the following two-part test at para.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attempt to apply the rule when determining a claim of privilege with respect to a document necessarily requires that two factual determinations be made:</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Was litigation in reasonable prospect at the time it was produced; and</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what was the dominant purpose for its production?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party claiming privilege must satisfy both parts of the test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With regard to the first part of the test, Wood J.A. said at para.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 am not aware of any case in which the meaning of "in reasonable prospect" has been considered by this Court. Common sense suggests that it must mean something more than a mere possibility, for such possibility must necessarily exist in every claim for loss due to injury whether that claim be advanced in tort or in contract. On the other hand, a reasonable prospect clearly does not mean a certainty, which could hardly ever be established unless a writ had actually issued. In my view litigation can properly be said to be in reasonable prospect when a reasonable person, possessed of all pertinent information including that peculiar to one party or the other, would conclude it is unlikely that the claim for loss will be resolved without it. The test is not one that will be particularly difficult to meet. I am satisfied it was met in this case in connection with all of the documents in issue. The circumstances of this accident, and the nature of Mr. Hamalainen's injuries, were such that litigation was clearly a reasonable prospect from the time the claim was first reported on December 1, 1986.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With regard to the second part of the test, Wood J.A. commented at para.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Even in cases where litigation is in reasonable prospect from the time a claim first arises, there is bound to be a preliminary period during which the parties are attempting to discover the cause of the accident on which it is based. At some point in the information gathering process the focus of such an inquiry will shift such that its dominant purpose will become that of preparing the party for whom it was conducted for the anticipated litigation. In other words, there is a continuum which begins with the incident giving rise to the claim and during which the focus of the inquiry changes. At what point the dominant purpose becomes that of furthering the course of litigation will necessarily fall to be determined by the facts peculiar to each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court must determine whether litigation privilege exists must be made in respect of each individual document in dispute. Some closely related documents may be privileged and others not: see </w:t>
      </w:r>
      <w:r>
        <w:rPr>
          <w:rFonts w:ascii="arial" w:eastAsia="arial" w:hAnsi="arial" w:cs="arial"/>
          <w:i/>
          <w:color w:val="000000"/>
          <w:sz w:val="20"/>
          <w:lang w:val="en-US" w:eastAsia="en-US" w:bidi="ar-SA"/>
        </w:rPr>
        <w:t>Shaughnessy Golf &amp; Country Club v. Drake International Inc.</w:t>
      </w:r>
      <w:r>
        <w:rPr>
          <w:rFonts w:ascii="arial" w:eastAsia="arial" w:hAnsi="arial" w:cs="arial"/>
          <w:color w:val="000000"/>
          <w:sz w:val="20"/>
          <w:lang w:val="en-US" w:eastAsia="en-US" w:bidi="ar-SA"/>
        </w:rPr>
        <w:t xml:space="preserve"> </w:t>
      </w:r>
      <w:hyperlink r:id="rId215" w:history="1">
        <w:r>
          <w:rPr>
            <w:rFonts w:ascii="arial" w:eastAsia="arial" w:hAnsi="arial" w:cs="arial"/>
            <w:i/>
            <w:color w:val="0077CC"/>
            <w:sz w:val="20"/>
            <w:u w:val="single"/>
            <w:shd w:val="clear" w:color="auto" w:fill="FFFFFF"/>
            <w:lang w:val="en-US" w:eastAsia="en-US" w:bidi="ar-SA"/>
          </w:rPr>
          <w:t>(1986), 1 B.C.L.R. (2d) 309</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(b) Waiver of privilege and the common interest exception to waiver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accept as correct the following statements of law set out in ICBC's memorandum of argument regarding waiver of privilege:</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evidentiary burden to demonstrate waiver of privilege rests with the party asserting waiver.</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Hayes Heli-Log Services Ltd. v. Acro Aerospace Inc.,</w:t>
      </w:r>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2006 BCSC 61</w:t>
        </w:r>
      </w:hyperlink>
      <w:r>
        <w:rPr>
          <w:rFonts w:ascii="arial" w:eastAsia="arial" w:hAnsi="arial" w:cs="arial"/>
          <w:color w:val="000000"/>
          <w:sz w:val="20"/>
          <w:lang w:val="en-US" w:eastAsia="en-US" w:bidi="ar-SA"/>
        </w:rPr>
        <w:t xml:space="preserve"> at para. 38.</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test for waiver of privilege was described by Madam Justice McLaughlin (as she then was) in </w:t>
      </w:r>
      <w:r>
        <w:rPr>
          <w:rFonts w:ascii="arial" w:eastAsia="arial" w:hAnsi="arial" w:cs="arial"/>
          <w:i/>
          <w:color w:val="000000"/>
          <w:sz w:val="20"/>
          <w:lang w:val="en-US" w:eastAsia="en-US" w:bidi="ar-SA"/>
        </w:rPr>
        <w:t>S. &amp; K. Processors Ltd. v. Campbell Avenues Herring Producers Ltd.</w:t>
      </w:r>
      <w:r>
        <w:rPr>
          <w:rFonts w:ascii="arial" w:eastAsia="arial" w:hAnsi="arial" w:cs="arial"/>
          <w:color w:val="000000"/>
          <w:sz w:val="20"/>
          <w:lang w:val="en-US" w:eastAsia="en-US" w:bidi="ar-SA"/>
        </w:rPr>
        <w:t xml:space="preserve"> </w:t>
      </w:r>
      <w:hyperlink r:id="rId217" w:history="1">
        <w:r>
          <w:rPr>
            <w:rFonts w:ascii="arial" w:eastAsia="arial" w:hAnsi="arial" w:cs="arial"/>
            <w:i/>
            <w:color w:val="0077CC"/>
            <w:sz w:val="20"/>
            <w:u w:val="single"/>
            <w:shd w:val="clear" w:color="auto" w:fill="FFFFFF"/>
            <w:lang w:val="en-US" w:eastAsia="en-US" w:bidi="ar-SA"/>
          </w:rPr>
          <w:t>(1983), 45 B.C.L.R. 218</w:t>
        </w:r>
      </w:hyperlink>
      <w:r>
        <w:rPr>
          <w:rFonts w:ascii="arial" w:eastAsia="arial" w:hAnsi="arial" w:cs="arial"/>
          <w:color w:val="000000"/>
          <w:sz w:val="20"/>
          <w:lang w:val="en-US" w:eastAsia="en-US" w:bidi="ar-SA"/>
        </w:rPr>
        <w:t xml:space="preserve"> (S.C.) as follows: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Waiver of privilege is ordinarily established where it is shown that the possessor of the privilege (1) knows of the existence of the privilege, and (2) voluntarily evinces an intention to waive that privilege.</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transfer of a privileged document to a third party by the privilege holder does not, without more, demonstrate an intent to waive privilege; there must be deliberate and/or intentional acts, rather than mere inadvertence.</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Hayes Heli-Log</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 38, citing </w:t>
      </w:r>
      <w:r>
        <w:rPr>
          <w:rFonts w:ascii="arial" w:eastAsia="arial" w:hAnsi="arial" w:cs="arial"/>
          <w:i/>
          <w:color w:val="000000"/>
          <w:sz w:val="20"/>
          <w:lang w:val="en-US" w:eastAsia="en-US" w:bidi="ar-SA"/>
        </w:rPr>
        <w:t>Kamengo Systems Inc. v. Seabulk Systems Inc.</w:t>
      </w:r>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(1998), 86 C.P.R. (3d) 44</w:t>
        </w:r>
      </w:hyperlink>
      <w:r>
        <w:rPr>
          <w:rFonts w:ascii="arial" w:eastAsia="arial" w:hAnsi="arial" w:cs="arial"/>
          <w:color w:val="000000"/>
          <w:sz w:val="20"/>
          <w:lang w:val="en-US" w:eastAsia="en-US" w:bidi="ar-SA"/>
        </w:rPr>
        <w:t xml:space="preserve"> (S.C.) at para. 19, citing </w:t>
      </w:r>
      <w:r>
        <w:rPr>
          <w:rFonts w:ascii="arial" w:eastAsia="arial" w:hAnsi="arial" w:cs="arial"/>
          <w:i/>
          <w:color w:val="000000"/>
          <w:sz w:val="20"/>
          <w:lang w:val="en-US" w:eastAsia="en-US" w:bidi="ar-SA"/>
        </w:rPr>
        <w:t>Sommerville Belkin Industries Ltd. v. Brocklesby Transport and others</w:t>
      </w:r>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(1985), 65 B.C.L.R. 260</w:t>
        </w:r>
      </w:hyperlink>
      <w:r>
        <w:rPr>
          <w:rFonts w:ascii="arial" w:eastAsia="arial" w:hAnsi="arial" w:cs="arial"/>
          <w:color w:val="000000"/>
          <w:sz w:val="20"/>
          <w:lang w:val="en-US" w:eastAsia="en-US" w:bidi="ar-SA"/>
        </w:rPr>
        <w:t xml:space="preserve"> (S.C.)</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waiver where the privilege holder discloses the document to a third party pursuant to an understanding that the document will be held in confidence and not disclosed to others.</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Kamengo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Merritt v. Imasco Enterprises Inc.,</w:t>
      </w:r>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[1992] B.C.J. No. 2319</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Kemp v. Wittenberg</w:t>
      </w:r>
      <w:r>
        <w:rPr>
          <w:rFonts w:ascii="arial" w:eastAsia="arial" w:hAnsi="arial" w:cs="arial"/>
          <w:color w:val="000000"/>
          <w:sz w:val="20"/>
          <w:lang w:val="en-US" w:eastAsia="en-US" w:bidi="ar-SA"/>
        </w:rPr>
        <w:t xml:space="preserve"> </w:t>
      </w:r>
      <w:hyperlink r:id="rId221" w:history="1">
        <w:r>
          <w:rPr>
            <w:rFonts w:ascii="arial" w:eastAsia="arial" w:hAnsi="arial" w:cs="arial"/>
            <w:i/>
            <w:color w:val="0077CC"/>
            <w:sz w:val="20"/>
            <w:u w:val="single"/>
            <w:shd w:val="clear" w:color="auto" w:fill="FFFFFF"/>
            <w:lang w:val="en-US" w:eastAsia="en-US" w:bidi="ar-SA"/>
          </w:rPr>
          <w:t>(1997), 32 B.C.L.R. (3d) 268</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law recognizes an exception to waiver by disclosure to a third party where the third party and the holder of the privilege have a common interest in the litigation: see </w:t>
      </w:r>
      <w:r>
        <w:rPr>
          <w:rFonts w:ascii="arial" w:eastAsia="arial" w:hAnsi="arial" w:cs="arial"/>
          <w:i/>
          <w:color w:val="000000"/>
          <w:sz w:val="20"/>
          <w:lang w:val="en-US" w:eastAsia="en-US" w:bidi="ar-SA"/>
        </w:rPr>
        <w:t>Wade v. Ray,</w:t>
      </w:r>
      <w:r>
        <w:rPr>
          <w:rFonts w:ascii="arial" w:eastAsia="arial" w:hAnsi="arial" w:cs="arial"/>
          <w:color w:val="000000"/>
          <w:sz w:val="20"/>
          <w:lang w:val="en-US" w:eastAsia="en-US" w:bidi="ar-SA"/>
        </w:rPr>
        <w:t xml:space="preserve"> </w:t>
      </w:r>
      <w:hyperlink r:id="rId222" w:history="1">
        <w:r>
          <w:rPr>
            <w:rFonts w:ascii="arial" w:eastAsia="arial" w:hAnsi="arial" w:cs="arial"/>
            <w:i/>
            <w:color w:val="0077CC"/>
            <w:sz w:val="20"/>
            <w:u w:val="single"/>
            <w:shd w:val="clear" w:color="auto" w:fill="FFFFFF"/>
            <w:lang w:val="en-US" w:eastAsia="en-US" w:bidi="ar-SA"/>
          </w:rPr>
          <w:t>[1997] B.C.J. No. 2877</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Wade</w:t>
      </w:r>
      <w:r>
        <w:rPr>
          <w:rFonts w:ascii="arial" w:eastAsia="arial" w:hAnsi="arial" w:cs="arial"/>
          <w:color w:val="000000"/>
          <w:sz w:val="20"/>
          <w:lang w:val="en-US" w:eastAsia="en-US" w:bidi="ar-SA"/>
        </w:rPr>
        <w:t xml:space="preserve">"), citing </w:t>
      </w:r>
      <w:r>
        <w:rPr>
          <w:rFonts w:ascii="arial" w:eastAsia="arial" w:hAnsi="arial" w:cs="arial"/>
          <w:i/>
          <w:color w:val="000000"/>
          <w:sz w:val="20"/>
          <w:lang w:val="en-US" w:eastAsia="en-US" w:bidi="ar-SA"/>
        </w:rPr>
        <w:t>Buttes Gas and Oil Co. v. Hammer (No. 3)</w:t>
      </w:r>
      <w:r>
        <w:rPr>
          <w:rFonts w:ascii="arial" w:eastAsia="arial" w:hAnsi="arial" w:cs="arial"/>
          <w:color w:val="000000"/>
          <w:sz w:val="20"/>
          <w:lang w:val="en-US" w:eastAsia="en-US" w:bidi="ar-SA"/>
        </w:rPr>
        <w:t xml:space="preserve">, [1980] 3 All E.R. 475 (C.A.) and </w:t>
      </w:r>
      <w:r>
        <w:rPr>
          <w:rFonts w:ascii="arial" w:eastAsia="arial" w:hAnsi="arial" w:cs="arial"/>
          <w:i/>
          <w:color w:val="000000"/>
          <w:sz w:val="20"/>
          <w:lang w:val="en-US" w:eastAsia="en-US" w:bidi="ar-SA"/>
        </w:rPr>
        <w:t>Emil Anderson Construction Co. v. British Columbia Railway Co.</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[1987] B.C.J. No. 615</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Wade</w:t>
      </w:r>
      <w:r>
        <w:rPr>
          <w:rFonts w:ascii="arial" w:eastAsia="arial" w:hAnsi="arial" w:cs="arial"/>
          <w:color w:val="000000"/>
          <w:sz w:val="20"/>
          <w:lang w:val="en-US" w:eastAsia="en-US" w:bidi="ar-SA"/>
        </w:rPr>
        <w:t xml:space="preserve"> is instructive in determining what amounts to a common interest in the litigation. The facts in </w:t>
      </w:r>
      <w:r>
        <w:rPr>
          <w:rFonts w:ascii="arial" w:eastAsia="arial" w:hAnsi="arial" w:cs="arial"/>
          <w:i/>
          <w:color w:val="000000"/>
          <w:sz w:val="20"/>
          <w:lang w:val="en-US" w:eastAsia="en-US" w:bidi="ar-SA"/>
        </w:rPr>
        <w:t>Wade</w:t>
      </w:r>
      <w:r>
        <w:rPr>
          <w:rFonts w:ascii="arial" w:eastAsia="arial" w:hAnsi="arial" w:cs="arial"/>
          <w:color w:val="000000"/>
          <w:sz w:val="20"/>
          <w:lang w:val="en-US" w:eastAsia="en-US" w:bidi="ar-SA"/>
        </w:rPr>
        <w:t xml:space="preserve"> were briefly as follows. The plaintiff was injured when a car driven by the defendant Ray, in which she was a passenger, was in a collision with a car driven by another defendant Khan. The defendant's counsel had shared between them the statements of the defendants and an expert engineering report over which they claimed privilege. The plaintiff sought production of the documents, asserting that any privilege had been waived. In holding that the defendants had not waived privilege, Sinclair Prowse J. said at paras. 18 - 21: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deciding if the persons that have exchanged the information have a common interest, it is their interest in the litigation rather than the fact that they have separate counsel that is determinative: </w:t>
      </w:r>
      <w:r>
        <w:rPr>
          <w:rFonts w:ascii="arial" w:eastAsia="arial" w:hAnsi="arial" w:cs="arial"/>
          <w:i/>
          <w:color w:val="000000"/>
          <w:sz w:val="20"/>
          <w:lang w:val="en-US" w:eastAsia="en-US" w:bidi="ar-SA"/>
        </w:rPr>
        <w:t>Buttes Gas and Oil Co. v. Hammer (No. 3)</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[[1980] 3 All E.R. 475 (C.A.)].</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Moreover, their common interest in the litigation has to go beyond the fact that they are both defending against the claims of the plaintiff, namely, that there is a commonality of some of the specific defences presented: </w:t>
      </w:r>
      <w:r>
        <w:rPr>
          <w:rFonts w:ascii="arial" w:eastAsia="arial" w:hAnsi="arial" w:cs="arial"/>
          <w:i/>
          <w:color w:val="000000"/>
          <w:sz w:val="20"/>
          <w:lang w:val="en-US" w:eastAsia="en-US" w:bidi="ar-SA"/>
        </w:rPr>
        <w:t>Joseph v. Charlie</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(1991), 57 B.C.L.R. (2d) 68</w:t>
        </w:r>
      </w:hyperlink>
      <w:r>
        <w:rPr>
          <w:rFonts w:ascii="arial" w:eastAsia="arial" w:hAnsi="arial" w:cs="arial"/>
          <w:color w:val="000000"/>
          <w:sz w:val="20"/>
          <w:lang w:val="en-US" w:eastAsia="en-US" w:bidi="ar-SA"/>
        </w:rPr>
        <w:t xml:space="preserve"> (S.C.).</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the present case, although the defendants are adverse in interest to some extent (Mr. Khan is alleging that the accident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Ray), there is also a commonality of interest in that both are claiming that the plaintiff was contributorily negligent in that he failed to wear a seat belt and further that the proximate cause of his injuries, in any event, was not the accident.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Given the commonality of some of the pleadings of the defendants, I have concluded that they do have a common interest in the litigation and that consequently, their privilege over the contested documents was not waived when they exchanged them with each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factual situation in </w:t>
      </w:r>
      <w:r>
        <w:rPr>
          <w:rFonts w:ascii="arial" w:eastAsia="arial" w:hAnsi="arial" w:cs="arial"/>
          <w:i/>
          <w:color w:val="000000"/>
          <w:sz w:val="20"/>
          <w:lang w:val="en-US" w:eastAsia="en-US" w:bidi="ar-SA"/>
        </w:rPr>
        <w:t>Joseph v. Charlie</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(1991), 57 B.C.L.R. (2d) 68</w:t>
        </w:r>
      </w:hyperlink>
      <w:r>
        <w:rPr>
          <w:rFonts w:ascii="arial" w:eastAsia="arial" w:hAnsi="arial" w:cs="arial"/>
          <w:color w:val="000000"/>
          <w:sz w:val="20"/>
          <w:lang w:val="en-US" w:eastAsia="en-US" w:bidi="ar-SA"/>
        </w:rPr>
        <w:t xml:space="preserve"> (S.C.), was different from that in </w:t>
      </w:r>
      <w:r>
        <w:rPr>
          <w:rFonts w:ascii="arial" w:eastAsia="arial" w:hAnsi="arial" w:cs="arial"/>
          <w:i/>
          <w:color w:val="000000"/>
          <w:sz w:val="20"/>
          <w:lang w:val="en-US" w:eastAsia="en-US" w:bidi="ar-SA"/>
        </w:rPr>
        <w:t>Wade</w:t>
      </w:r>
      <w:r>
        <w:rPr>
          <w:rFonts w:ascii="arial" w:eastAsia="arial" w:hAnsi="arial" w:cs="arial"/>
          <w:color w:val="000000"/>
          <w:sz w:val="20"/>
          <w:lang w:val="en-US" w:eastAsia="en-US" w:bidi="ar-SA"/>
        </w:rPr>
        <w:t xml:space="preserve"> in that in </w:t>
      </w:r>
      <w:r>
        <w:rPr>
          <w:rFonts w:ascii="arial" w:eastAsia="arial" w:hAnsi="arial" w:cs="arial"/>
          <w:i/>
          <w:color w:val="000000"/>
          <w:sz w:val="20"/>
          <w:lang w:val="en-US" w:eastAsia="en-US" w:bidi="ar-SA"/>
        </w:rPr>
        <w:t>Joseph</w:t>
      </w:r>
      <w:r>
        <w:rPr>
          <w:rFonts w:ascii="arial" w:eastAsia="arial" w:hAnsi="arial" w:cs="arial"/>
          <w:color w:val="000000"/>
          <w:sz w:val="20"/>
          <w:lang w:val="en-US" w:eastAsia="en-US" w:bidi="ar-SA"/>
        </w:rPr>
        <w:t xml:space="preserve">, the plaintiff, who was injured in a single car collision, sued Mr. Charlie and another defendant, Mr. Baker, both of whom denied liability and blamed the other for causing the accident. ICBC asserted that both defendants were in breach of their insurance and instructed two separate counsel to file third party notices. The principal issue in the action was which of Baker and Charlie was driving the vehicle. The plaintiff sought production of an expert report that had been shared between counsel for the two defendants. In allowing the application, Master McCallum held, at para. 18, that "the third parties here have a common interest only to the extent that I.C.B.C. is a common insurer and in terms of the doctrine [referring to </w:t>
      </w:r>
      <w:r>
        <w:rPr>
          <w:rFonts w:ascii="arial" w:eastAsia="arial" w:hAnsi="arial" w:cs="arial"/>
          <w:i/>
          <w:color w:val="000000"/>
          <w:sz w:val="20"/>
          <w:lang w:val="en-US" w:eastAsia="en-US" w:bidi="ar-SA"/>
        </w:rPr>
        <w:t>Buttes Gas and Oil Co. v. Hammer (No. 3)</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should, in my view, be treated as independent and adverse in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Maier v. Fischer,</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2004 BCSC 196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Maier</w:t>
      </w:r>
      <w:r>
        <w:rPr>
          <w:rFonts w:ascii="arial" w:eastAsia="arial" w:hAnsi="arial" w:cs="arial"/>
          <w:color w:val="000000"/>
          <w:sz w:val="20"/>
          <w:lang w:val="en-US" w:eastAsia="en-US" w:bidi="ar-SA"/>
        </w:rPr>
        <w:t xml:space="preserve">") is another case in which the court dealt with whether privilege was waived when defendants shared documents between them. The defendants claimed they had a common interest because both alleged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against the plaintiff. Master Bolton appeared to distinguish </w:t>
      </w:r>
      <w:r>
        <w:rPr>
          <w:rFonts w:ascii="arial" w:eastAsia="arial" w:hAnsi="arial" w:cs="arial"/>
          <w:i/>
          <w:color w:val="000000"/>
          <w:sz w:val="20"/>
          <w:lang w:val="en-US" w:eastAsia="en-US" w:bidi="ar-SA"/>
        </w:rPr>
        <w:t>Wade</w:t>
      </w:r>
      <w:r>
        <w:rPr>
          <w:rFonts w:ascii="arial" w:eastAsia="arial" w:hAnsi="arial" w:cs="arial"/>
          <w:color w:val="000000"/>
          <w:sz w:val="20"/>
          <w:lang w:val="en-US" w:eastAsia="en-US" w:bidi="ar-SA"/>
        </w:rPr>
        <w:t xml:space="preserve"> on the basis that, in </w:t>
      </w:r>
      <w:r>
        <w:rPr>
          <w:rFonts w:ascii="arial" w:eastAsia="arial" w:hAnsi="arial" w:cs="arial"/>
          <w:i/>
          <w:color w:val="000000"/>
          <w:sz w:val="20"/>
          <w:lang w:val="en-US" w:eastAsia="en-US" w:bidi="ar-SA"/>
        </w:rPr>
        <w:t>Wade,</w:t>
      </w:r>
      <w:r>
        <w:rPr>
          <w:rFonts w:ascii="arial" w:eastAsia="arial" w:hAnsi="arial" w:cs="arial"/>
          <w:color w:val="000000"/>
          <w:sz w:val="20"/>
          <w:lang w:val="en-US" w:eastAsia="en-US" w:bidi="ar-SA"/>
        </w:rPr>
        <w:t xml:space="preserve"> there was an underlying factual dispute as to whether the plaintiff was in fact wearing a seat belt, whereas there was no such dispute in the case before him. As I read his reasons, Master Bolton concluded that, even on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 there were significant areas of difference between the two defendants and that the degree of commonality was slight. Further, he concluded that the documents in question did not relate to any common issues between the defendants, but rather to matters where their interests were opposed to each other. He therefore ordered production of the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Lessard (Public Trustee of) v. Canosa</w:t>
      </w:r>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[1995] B.C.J. No. 3054</w:t>
        </w:r>
      </w:hyperlink>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12 B.C.L.R. (3d) 78</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Lessard</w:t>
      </w:r>
      <w:r>
        <w:rPr>
          <w:rFonts w:ascii="arial" w:eastAsia="arial" w:hAnsi="arial" w:cs="arial"/>
          <w:color w:val="000000"/>
          <w:sz w:val="20"/>
          <w:lang w:val="en-US" w:eastAsia="en-US" w:bidi="ar-SA"/>
        </w:rPr>
        <w:t xml:space="preserve">"), Stewart J. also dealt with the common interest exception to waiver. </w:t>
      </w:r>
      <w:r>
        <w:rPr>
          <w:rFonts w:ascii="arial" w:eastAsia="arial" w:hAnsi="arial" w:cs="arial"/>
          <w:i/>
          <w:color w:val="000000"/>
          <w:sz w:val="20"/>
          <w:lang w:val="en-US" w:eastAsia="en-US" w:bidi="ar-SA"/>
        </w:rPr>
        <w:t>Lessard</w:t>
      </w:r>
      <w:r>
        <w:rPr>
          <w:rFonts w:ascii="arial" w:eastAsia="arial" w:hAnsi="arial" w:cs="arial"/>
          <w:color w:val="000000"/>
          <w:sz w:val="20"/>
          <w:lang w:val="en-US" w:eastAsia="en-US" w:bidi="ar-SA"/>
        </w:rPr>
        <w:t xml:space="preserve"> involved a claim on behalf of an infant, eight years after a motor vehicle accident. The plaintiff sued two defendants, each of whom was alleged to be at fault in the accident. The plaintiff sought production of statements that had been shared between the defendants. At first instance, the master held that the documents remained privileged. In dismissing an appeal, Stewart J. referred to the pleadings and, while he noted that the positions of the two defendants were not identical, he concluded there was sufficient commonality of interest to maintain the privilege. At para. 13,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issue in law, as I understand it, is not whether the position of the two defendants is identical, it is whether there was a sufficient common interest between them to preserve the privilege regardless of the sharing. In this case, on the face of the pleadings, I accept the proposition that the fundamental proposition by each of the defendants is adverse to the plaintiff. It is only in a secondary sense that they point the finger at one another. There is a significant common interest between them in defeating the plaintiff's case before they turn to pointing the finger at one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(a) Do the reports meet the test for litigation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submits that the evidence fails to establish that litigation was in reasonable prospect when the reports were prepared, let alone that the dominant purpose in preparing the reports was for use in litigation. The plaintiff refers to the following three circumstances to argue that the case was merely at the investigation stage when the independent adjuster was retained:</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had not made any mention of a tort claim;</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adjuster had not secured a statement from the plaintiff about the accident; and</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adjuster was not aware the plaintiff had retained a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submits that the following circumstances described by Mr. Taylor in his affidavit are not sufficient to meet the test that litigation was in reasonable contemplation. Mr. Taylor deposed that from the initial reporting of the claim he expected it would be transferred promptly to a litigation adjuster. He further deposed that he retained Ms. Webber because he was of the opinion that the claim would almost certainly be litigated for the following ten reasons:</w:t>
      </w:r>
      <w:r>
        <w:rPr>
          <w:rFonts w:ascii="arial" w:eastAsia="arial" w:hAnsi="arial" w:cs="arial"/>
          <w:sz w:val="20"/>
          <w:lang w:val="en-US" w:eastAsia="en-US" w:bidi="ar-SA"/>
        </w:rPr>
        <w:cr/>
      </w:r>
    </w:p>
    <w:p>
      <w:pPr>
        <w:numPr>
          <w:numId w:val="1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 for the accident was contentious;</w:t>
      </w:r>
    </w:p>
    <w:p>
      <w:pPr>
        <w:numPr>
          <w:numId w:val="1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it involved an alleged unknown driver;</w:t>
      </w:r>
    </w:p>
    <w:p>
      <w:pPr>
        <w:numPr>
          <w:numId w:val="1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insurance limits were $200,000.00;</w:t>
      </w:r>
    </w:p>
    <w:p>
      <w:pPr>
        <w:numPr>
          <w:numId w:val="1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evidence of a possible traumatic brain injury;</w:t>
      </w:r>
    </w:p>
    <w:p>
      <w:pPr>
        <w:numPr>
          <w:numId w:val="1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appeared to be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Ms. Sauvé;</w:t>
      </w:r>
    </w:p>
    <w:p>
      <w:pPr>
        <w:numPr>
          <w:numId w:val="1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significant factual issues;</w:t>
      </w:r>
    </w:p>
    <w:p>
      <w:pPr>
        <w:numPr>
          <w:numId w:val="1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accident was significant involving multiple vehicles and high material damage;</w:t>
      </w:r>
    </w:p>
    <w:p>
      <w:pPr>
        <w:numPr>
          <w:numId w:val="1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Ms. Sauvé suffered serious injury;</w:t>
      </w:r>
    </w:p>
    <w:p>
      <w:pPr>
        <w:numPr>
          <w:numId w:val="1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involved an excess insurer and a subrogated claim; and</w:t>
      </w:r>
    </w:p>
    <w:p>
      <w:pPr>
        <w:numPr>
          <w:numId w:val="1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the potential for a substantial loss of income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plaintiff refers to </w:t>
      </w:r>
      <w:r>
        <w:rPr>
          <w:rFonts w:ascii="arial" w:eastAsia="arial" w:hAnsi="arial" w:cs="arial"/>
          <w:i/>
          <w:color w:val="000000"/>
          <w:sz w:val="20"/>
          <w:lang w:val="en-US" w:eastAsia="en-US" w:bidi="ar-SA"/>
        </w:rPr>
        <w:t>Snow v. Friesen,</w:t>
      </w:r>
      <w:r>
        <w:rPr>
          <w:rFonts w:ascii="arial" w:eastAsia="arial" w:hAnsi="arial" w:cs="arial"/>
          <w:color w:val="000000"/>
          <w:sz w:val="20"/>
          <w:lang w:val="en-US" w:eastAsia="en-US" w:bidi="ar-SA"/>
        </w:rPr>
        <w:t xml:space="preserve"> </w:t>
      </w:r>
      <w:hyperlink r:id="rId227" w:history="1">
        <w:r>
          <w:rPr>
            <w:rFonts w:ascii="arial" w:eastAsia="arial" w:hAnsi="arial" w:cs="arial"/>
            <w:i/>
            <w:color w:val="0077CC"/>
            <w:sz w:val="20"/>
            <w:u w:val="single"/>
            <w:shd w:val="clear" w:color="auto" w:fill="FFFFFF"/>
            <w:lang w:val="en-US" w:eastAsia="en-US" w:bidi="ar-SA"/>
          </w:rPr>
          <w:t>2008 BCSC 1664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Snow</w:t>
      </w:r>
      <w:r>
        <w:rPr>
          <w:rFonts w:ascii="arial" w:eastAsia="arial" w:hAnsi="arial" w:cs="arial"/>
          <w:color w:val="000000"/>
          <w:sz w:val="20"/>
          <w:lang w:val="en-US" w:eastAsia="en-US" w:bidi="ar-SA"/>
        </w:rPr>
        <w:t xml:space="preserve">"), and argues that even though the circumstances in that case were similar to those in the present case, the chambers judge was not satisfied litigation was in reasonable contemplation when the documents in issue were created. In </w:t>
      </w:r>
      <w:r>
        <w:rPr>
          <w:rFonts w:ascii="arial" w:eastAsia="arial" w:hAnsi="arial" w:cs="arial"/>
          <w:i/>
          <w:color w:val="000000"/>
          <w:sz w:val="20"/>
          <w:lang w:val="en-US" w:eastAsia="en-US" w:bidi="ar-SA"/>
        </w:rPr>
        <w:t>Snow</w:t>
      </w:r>
      <w:r>
        <w:rPr>
          <w:rFonts w:ascii="arial" w:eastAsia="arial" w:hAnsi="arial" w:cs="arial"/>
          <w:color w:val="000000"/>
          <w:sz w:val="20"/>
          <w:lang w:val="en-US" w:eastAsia="en-US" w:bidi="ar-SA"/>
        </w:rPr>
        <w:t>, the adjuster deposed that when he received the file, ICBC was already aware that the plaintiff had been in an accident, had suffered significant injuries, was in intensive care, a senior litigation lawyer had reported the claim on the plaintiff's behalf, there was media attention surrounding the incident, the file was immediately transferred to ICBC's bodily injury department and breach and coverage issues were identified. The learned chambers judge found that the affidavit material failed to establish that the adjuster had personal knowledge of those facts. He held, further, that those facts did not meet the first branch of the test and ordered the production of documents predating the commencement of the action. The precise nature of those documents does not appear from the reasons, no doubt because of the failure to meet the first branch of the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Obviously, the court must consider the particular circumstances of each case when applying the legal test. As was stated in </w:t>
      </w:r>
      <w:r>
        <w:rPr>
          <w:rFonts w:ascii="arial" w:eastAsia="arial" w:hAnsi="arial" w:cs="arial"/>
          <w:i/>
          <w:color w:val="000000"/>
          <w:sz w:val="20"/>
          <w:lang w:val="en-US" w:eastAsia="en-US" w:bidi="ar-SA"/>
        </w:rPr>
        <w:t>Hamalainen</w:t>
      </w:r>
      <w:r>
        <w:rPr>
          <w:rFonts w:ascii="arial" w:eastAsia="arial" w:hAnsi="arial" w:cs="arial"/>
          <w:color w:val="000000"/>
          <w:sz w:val="20"/>
          <w:lang w:val="en-US" w:eastAsia="en-US" w:bidi="ar-SA"/>
        </w:rPr>
        <w:t>, the first part of the test will often not be hard to meet. "Reasonable prospect" does not mean certainty. It does not require the commencement of an action. The essential question is this: would a reasonable person being aware of the circumstances conclude that the claim will not likely be resolved without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the present case, I would answer that question in the affirmative. I am satisfied that the circumstances that were known to Mr. Taylor justify his conclusion that litigation was a reasonable prospect. The seriousness of the injuries alone might support the belief that litigation was a reasonable prospect (see </w:t>
      </w:r>
      <w:r>
        <w:rPr>
          <w:rFonts w:ascii="arial" w:eastAsia="arial" w:hAnsi="arial" w:cs="arial"/>
          <w:i/>
          <w:color w:val="000000"/>
          <w:sz w:val="20"/>
          <w:lang w:val="en-US" w:eastAsia="en-US" w:bidi="ar-SA"/>
        </w:rPr>
        <w:t>Wade</w:t>
      </w:r>
      <w:r>
        <w:rPr>
          <w:rFonts w:ascii="arial" w:eastAsia="arial" w:hAnsi="arial" w:cs="arial"/>
          <w:color w:val="000000"/>
          <w:sz w:val="20"/>
          <w:lang w:val="en-US" w:eastAsia="en-US" w:bidi="ar-SA"/>
        </w:rPr>
        <w:t xml:space="preserve"> at para. 14). But, here, there was more. Mr. Taylor was aware that there were allegations of an unknown driver in addition to the involvement of Mr. Bowles and Ms. Sauvé in the events that led to the collision. In my view, the circumstances in this case satisfy the first part of the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any event, I am satisfied that the proper time to consider whether the test is met is when the particular documents that are in issue, namely the reports that accompanied the witness statements and photographs, were created. As was stated in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xml:space="preserve"> and adopted in </w:t>
      </w:r>
      <w:r>
        <w:rPr>
          <w:rFonts w:ascii="arial" w:eastAsia="arial" w:hAnsi="arial" w:cs="arial"/>
          <w:i/>
          <w:color w:val="000000"/>
          <w:sz w:val="20"/>
          <w:lang w:val="en-US" w:eastAsia="en-US" w:bidi="ar-SA"/>
        </w:rPr>
        <w:t>Hamalainen</w:t>
      </w:r>
      <w:r>
        <w:rPr>
          <w:rFonts w:ascii="arial" w:eastAsia="arial" w:hAnsi="arial" w:cs="arial"/>
          <w:color w:val="000000"/>
          <w:sz w:val="20"/>
          <w:lang w:val="en-US" w:eastAsia="en-US" w:bidi="ar-SA"/>
        </w:rPr>
        <w:t xml:space="preserve"> at para.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 [A] document which was produced ... either with the dominant purpose of its author, or of the person or authority under whose direction ... it was produced ... of using it or its contents in order to ... conduct or aid in the conduct of litigation, at the time of its production in reasonable prospect, should be privileged.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documents in question in this case are not the witness statements or photographs. Those documents have been produced. The documents in question are the reports that Ms. Webber created on March 17 and April 2, 2008, which she provided when she forwarded the witness statements and photographs. By the time she created the reports Ms. Webber knew what the witnesses had to say, and had concluded that, litigation of the plaintiff's claim was "a near certainty". She not only knew at that time, the severity of the accident, the severity of the injuries and the involvement of an unidentified driver, but she also knew what the witnesses had to say. I am satisfied that when Ms. Webber wrote her reports, litigation of the plaintiff's claim was in reasonable prospect.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turn to the second part of the test: were the documents created for the dominant purpose of assisting the defendant in the conduct of the anticipated litigation by Ms. Sauvé?</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Once again in answering that question, it is important to focus on when the reports were created and to consider them separate from any consideration of whether the witness statements and photographs would meet the dominant purpose test. I can certainly accept that the witness statements and photographs may well have come into existence for two purposes:</w:t>
      </w:r>
      <w:r>
        <w:rPr>
          <w:rFonts w:ascii="arial" w:eastAsia="arial" w:hAnsi="arial" w:cs="arial"/>
          <w:sz w:val="20"/>
          <w:lang w:val="en-US" w:eastAsia="en-US" w:bidi="ar-SA"/>
        </w:rPr>
        <w:cr/>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to investigate the circumstances of the accident, and</w:t>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to assist in the conduct of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Therefore, whether those documents would satisfy the second part of the test might have been a difficult question to answer. The defendant might not have been able to meet the test for the first group of documents on a balance of probabilities, but that is not the question that I have to decide.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my view, when deciding whether the reports were prepared for the dominant purpose of litigation I have to consider not only what was known by Mr. Taylor and communicated to Ms. Webber; I also have to consider what Ms. Webber knew when she prepared the reports, as well as the nature of the reports. Ms. Webber has deposed that when she prepared the reports, she believed that the dominant purpose for their creation was litigation. She came to that conclusion being aware of the information that the witnesses could give with respect to the circumstances of the accident. According to Ms. Webber, the reports consist of her descriptions of the witness, her impressions or opinions concerning their credibility and her own analysis of how the evidence of the various witnesses matched or conflicted. While it might be possible that such information might assist ICBC at the investigation stage, I am of the view that any such use of the documents would clearly be secondary to their use in assisting counsel in the conduct of the action. I am, therefore, satisfied that the reports were created for the dominant purpose of litigation and attracted litigation privilege.</w:t>
      </w:r>
      <w:r>
        <w:rPr>
          <w:rFonts w:ascii="arial" w:eastAsia="arial" w:hAnsi="arial" w:cs="arial"/>
          <w:sz w:val="20"/>
          <w:lang w:val="en-US" w:eastAsia="en-US" w:bidi="ar-SA"/>
        </w:rPr>
        <w:cr/>
      </w:r>
    </w:p>
    <w:p>
      <w:pPr>
        <w:numPr>
          <w:numId w:val="1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Has privilege been waived?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my view, sharing the reports in this case was intentional and privilege was waived unless the defendant can establish the common interest exception.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To determine whether there is a common interest, I must have regard to the pleadings. The defendant ICBC denies there was an accident, but goes on to plead that the plaintiff was negligent for whatever injury and loss she suffered. The defendant Bowles admits there was an accident, denies that he was negligent and alleges that the accident was caused in whole or in part by an unidentified driver. Bowles also alleges that the accident was caused by the plaintiff's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plaintiff submits that the commonality of the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by the two defendants in this case is not sufficient to support the common interest exception to waiver. She suggests that the positions of the two defendants are essentially opposed to one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It is my view that this case is similar to both </w:t>
      </w:r>
      <w:r>
        <w:rPr>
          <w:rFonts w:ascii="arial" w:eastAsia="arial" w:hAnsi="arial" w:cs="arial"/>
          <w:i/>
          <w:color w:val="000000"/>
          <w:sz w:val="20"/>
          <w:lang w:val="en-US" w:eastAsia="en-US" w:bidi="ar-SA"/>
        </w:rPr>
        <w:t>Wade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Lessard</w:t>
      </w:r>
      <w:r>
        <w:rPr>
          <w:rFonts w:ascii="arial" w:eastAsia="arial" w:hAnsi="arial" w:cs="arial"/>
          <w:color w:val="000000"/>
          <w:sz w:val="20"/>
          <w:lang w:val="en-US" w:eastAsia="en-US" w:bidi="ar-SA"/>
        </w:rPr>
        <w:t xml:space="preserve">. Bowles' claim that the accident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is not simply alternative to his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an unidentified driver. Those allegations stand on an equal footing. In my opinion, there is sufficient commonality of interest between the two defendants in their assertion that the accident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to support the common interest exception to waiver. Further, I am satisfied the reports in issue relate to that common issue. I conclude, therefore, that privilege over the reports has not been lost and they need not be produced.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 JOYCE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1" style="position:absolute;z-index:2518722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34" w:history="1">
        <w:r>
          <w:rPr>
            <w:rFonts w:ascii="arial" w:eastAsia="arial" w:hAnsi="arial" w:cs="arial"/>
            <w:b/>
            <w:bCs/>
            <w:i/>
            <w:color w:val="0077CC"/>
            <w:kern w:val="32"/>
            <w:sz w:val="28"/>
            <w:szCs w:val="32"/>
            <w:u w:val="single"/>
            <w:shd w:val="clear" w:color="auto" w:fill="FFFFFF"/>
            <w:lang w:val="en-US" w:eastAsia="en-US" w:bidi="ar-SA"/>
          </w:rPr>
          <w:t>Scott v. TD Waterhouse Investor Services (Canada) Inc., [2001] B.C.J. No. 1874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Martinson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22 - 25,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17,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S002736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1874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1299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94 B.C.L.R. (3d) 320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108 A.C.W.S. (3d) 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CarswellBC 2081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Mark S.C. Scott and Chris A. Ballingall, plaintiffs, and TD Waterhouse Investor Services (Canada) Inc. and TD Securities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2"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8" w:name="Keywords_13"/>
      <w:bookmarkEnd w:id="88"/>
      <w:r>
        <w:rPr>
          <w:rFonts w:ascii="arial" w:eastAsia="arial" w:hAnsi="arial" w:cs="arial"/>
          <w:b/>
          <w:color w:val="000000"/>
          <w:sz w:val="20"/>
          <w:lang w:val="en-US" w:eastAsia="en-US" w:bidi="ar-SA"/>
        </w:rPr>
        <w:t>Practice — Persons who can sue and be sued — Individuals and corporations, status or standing — Class actions, members of class — Class actions, certification, considerations (including when class action appropriate).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9" w:name="Case Summary_10"/>
            <w:bookmarkEnd w:id="8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Scott and Ballingall for certification of their action against TD Waterhouse Investor Services (Canada) for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unjust enrichment as a class proceeding. Scott and Ballingall made trades through a foreign exchange with TD. They alleged that TD made an undisclosed profit when it set the foreign exchange rate on the trades and that, as their agent, TD was not entitled to make a profit unless it had provided full disclosure and obtained their consent to the profit. They proposed a class proceeding involving all individual customers who had made foreign exchange trades through TD. TD argued that it acted as principal and its only obligation was to set reasonable rates. TD further argued that the case would involve the individual assessment of each customer's knowledge of the rate and of the individual trades conducted, which would be complex and time-consuming.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0" w:name="Holdings of Court_10"/>
            <w:bookmarkEnd w:id="90"/>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an identifiable class of persons who had common issues. They all entered into a standard form agreement which created a broker and client relationship. All of the individual claims required an initial determination of how TD set its rates. A class proceeding was the preferable procedure. The individual inquiries did not need to take place until the common issues were resolved. Without certification, the issues would have gone unresolved because of the relatively insignificant quantum of each individual claim. The other means of resolving the claims were less practical and efficient. Scott and Ballingall set out an appropriate case management plan as proposed representative plaintiffs.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1" w:name="Legislation Cited_9"/>
      <w:bookmarkEnd w:id="9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3" style="position:absolute;z-index:2517237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1(5), 18, 18A, 19(24), 40, 40(44), 40A.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Class Proceedings Act, </w:t>
      </w:r>
      <w:hyperlink r:id="rId235" w:history="1">
        <w:r>
          <w:rPr>
            <w:rFonts w:ascii="arial" w:eastAsia="arial" w:hAnsi="arial" w:cs="arial"/>
            <w:i/>
            <w:color w:val="0077CC"/>
            <w:sz w:val="20"/>
            <w:u w:val="single"/>
            <w:shd w:val="clear" w:color="auto" w:fill="FFFFFF"/>
            <w:lang w:val="en-US" w:eastAsia="en-US" w:bidi="ar-SA"/>
          </w:rPr>
          <w:t>R.S.B.C. 1996, c. 50, ss. 1</w:t>
        </w:r>
      </w:hyperlink>
      <w:r>
        <w:rPr>
          <w:rFonts w:ascii="arial" w:eastAsia="arial" w:hAnsi="arial" w:cs="arial"/>
          <w:color w:val="000000"/>
          <w:sz w:val="20"/>
          <w:lang w:val="en-US" w:eastAsia="en-US" w:bidi="ar-SA"/>
        </w:rPr>
        <w:t>, 4, 4(1)(a), 4(1)(b), 4(1)(d), 4(1)(e), 4(2), 7(a), 10, 12, 15, 19, 20, 21, 22, 23, 26, 27, 35, 37, 38, 39, 40.</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Brought pursuant to the Class Proceedings Act,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2" w:name="Counsel_13"/>
      <w:bookmarkEnd w:id="9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4" style="position:absolute;z-index:2517749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W.K. Branch and J. Groia, for the plaintiffs. D.G. Cowper, Q.C., and A.D. Borrell,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3" w:name="Judgment_13"/>
      <w:bookmarkEnd w:id="93"/>
      <w:r>
        <w:pict>
          <v:line id="_x0000_s1095" style="position:absolute;z-index:25182617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[Quicklaw note: A Corrigendum was released by the Court September 19, 2001.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4" w:name="MARTINSON J."/>
            <w:bookmarkEnd w:id="94"/>
            <w:r>
              <w:rPr>
                <w:rFonts w:ascii="arial" w:eastAsia="arial" w:hAnsi="arial" w:cs="arial"/>
                <w:b/>
                <w:color w:val="000000"/>
                <w:sz w:val="30"/>
                <w:lang w:val="en-US" w:eastAsia="en-US" w:bidi="ar-SA"/>
              </w:rPr>
              <w:t>MARTINSON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Does the way the defendants, TD Waterhouse and its predecessor TD Securities, set the foreign exchange rate on their clients' securities transactions amount to a scheme to obtain millions of dollars of undisclosed profit, as suggested by the plaintiffs in this action? Or, as the defendants argue, is the method employed a transparent and universally used industry procedure that allows them to manage the risk created by the need for conversion and to cover the costs of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answer is at the core of this application by the plaintiffs to have their claims against the defendants for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unjust enrichment certified as a class proceeding.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Mark Scott and Chris Ballingall, say that the defendants, TD Waterhouse Investor Services (Canada) Inc. ("TD Waterhouse") and TD Securities Inc. ("TD Securities") made an undisclosed profit when setting the foreign exchange rate on four trades made by them through the Jakarta stock exchange in December 1999. They say the defendants not only profited at their expense, but profited and continue to profit at the expense of a class of clients of which they are a part. The proposed class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clients of the defendants resident in British Columbia who conducted securities trades through the defendants from May 16, 1994 that included a foreign exchange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evidence showed that the proposed class covers between 19,533 and 29,331 individual accounts and between 119,110 and 178,665 individual transactions.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Scott and Ms. Ballingall were not comforted by the fact that TD Waterhouse now claims to have discovered that it made substantial errors on three of the four trades in issue, and offered to settle the claims for $35,000. It did not make these concessions until after the court action seeking certification was started. The plaintiffs rejected the settlement proposal and continued to pursue the class proceedings certification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It is not in dispute that the proposed class members entered into a broker/client agreement with the defendants whereby the defendants would process securities trades for the class members for a stated commission. The defendants are discount brokers who do not provide trading advice. Nor is it in dispute that the account documentation relating to the proposed class members does not say how the foreign exchange rate should be set. Rather, the only reference to the rate is the provision that the rate will be set as at the date of trading, unless otherwise 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It is also agreed that the defendants unilaterally set the foreign exchange rate and advise the client of the rate used in the next account statement. For all Canada-US trades the defendants set the rates themselves. However, with respect to Canada/US - Other trades, like the plaintiffs' trades, the defendants do not set their own rates, but instead use rates set by their affiliate. The vast majority of trades made by the proposed class are Canada-US trades. The defendants agree that in setting the rates, a point spread is added to the interbank spot market bid - ask spread.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Summary of the Certification Arguments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Deciding whether a proceeding should be certified under the Class Proceedings Act,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(the "Act") as a class proceeding involves a five-step analysis. If the requirements of each step are met, the court must certify the proceeding as a class proceeding: s. 4 of the 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Step One - Cause of Action Disclosed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court must examine the pleadings (the written statement of claim and defence) in the action commenced by the plaintiffs (the originating proceeding) to see if a cause of action is disclosed.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Step Two - Identifiable Class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court must determine whether the plaintiffs in the originating proceeding form part of an identifiable class of two or more persons. This determination is made by comparing the plaintiffs and their claims with the proposed class and their potential claims.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Step Three - Common Issues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court must examine the claims of the class members to see if they raise common issues. To do so the court will examine the issues raised in the pleadings in the originating proceeding to the issues raised by the class as a whole.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Step Four - Preferable Procedure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court must decide whether a class proceeding is the preferable proceeding to resolve the common issues, taking into account a number of factors.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Step Five - Representative Plaintiff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Court must determine whether there is a representative plaintiff with a workable case management plan for the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plaintiffs in this case say the pleadings do disclose causes of action, there is an identifiable class because of the broker/client relationship, and there are common issues created as a result of a standard form contract. They say that a class proceeding is the only viable procedure because the claims of individual class members are in the range of $40 to $500 and would not be worth pursuing on an individual basis. Yet the rate set can be more than the commission charged and the total profit could be in the millions of dollars. Class members would not know about the problem in the absence of notice to the class members required in a class proceeding. A goal of class proceedings legislation is behaviour modification. The defendants' behaviour is in need of modification because they take the view that they can set whatever rates they want with impunity.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defendants say that the pleadings do not disclose all of the causes of action alleged at the certification hearing. There is not an identifiable class, but rather two classes, one relating to exotic trades, like the plaintiffs, and another relating to North American trades, that constitute the vast majority of the proposed class. They argue that there are no common issues because of the individual nature of the inquiries that must be undertaken with respect to any proposed legal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They also argue that a class proceeding is not the preferable procedure. Rather, class proceeding would become a "monster of complexity" and not meet the class proceedings' goals of efficiency and access to the courts. That is because of the individual nature and complexity of the inquiries needed and the very large size of the proposed class. In a cost benefit analysis, the cost of a class proceeding would far outweigh any benefits, particularly in view of the small amount of money involved in the case of individual class members. In addition, the plaintiffs are the only people in Canada who have complained about the setting of the rates, so there are not multiple claims to be managed.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have concluded that the plaintiffs' originating proceeding must be certified as a class proceeding. I will give my reasons for reaching that conclusion under these headings:</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Originating Proceeding - The Issues</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Method Used to Set the Foreign Exchange Rate</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Certification Process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Step One - Cause of Action Disclosed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Step Two - Identifiable Class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Step Three - Common Issues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Step Four - Preferable Procedure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Step Five - Representative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When considering the steps in the certification process, I will review the legal principles that apply, discuss the arguments raised by the defendants in further detail, and then explain why I have decided that each requirement has been met.</w:t>
      </w:r>
      <w:r>
        <w:rPr>
          <w:rFonts w:ascii="arial" w:eastAsia="arial" w:hAnsi="arial" w:cs="arial"/>
          <w:sz w:val="20"/>
          <w:lang w:val="en-US" w:eastAsia="en-US" w:bidi="ar-SA"/>
        </w:rPr>
        <w:cr/>
      </w:r>
    </w:p>
    <w:p>
      <w:pPr>
        <w:numPr>
          <w:numId w:val="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ORIGINATING PROCEEDING - THE ISSUES</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Scott and Ms. Ballingall carried out a series of securities transactions with the defendant TD Waterhouse in December 1999. The transactions involved the sale of shares of an Indonesian company, T.T. Medco, on the Jakarta Stock Exchange, and the conversion of Indonesian Rupiah to US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When TD Waterhouse advised them of the foreign exchange conversion rates used on the trades in their next account statement, Mr. Scott noticed that the rates charged by TD Waterhouse were higher than the Reuter's rate for the time period in question. The Reuter's rate tracks currency exchanges between financial institutions for a given currency.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Scott, an experienced investment banker, made further inquiries and claims to have discovered a scheme whereby TD Waterhouse and TD Securities both made substantial undisclosed profits on the foreign exchange component of all of their trades. This profit at times was more than the commission 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Mr. Scott and Ms. Ballingall therefore started this court proceeding, claiming damages for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unjust enrichment. They say that while the standard form contract between them and the defendants does not specifically say how the foreign exchange rates should be set, the contract creates a broker/client, agent/principal relationship: Reed v. McDermid St. Lawrence Ltd. </w:t>
      </w:r>
      <w:hyperlink r:id="rId236" w:history="1">
        <w:r>
          <w:rPr>
            <w:rFonts w:ascii="arial" w:eastAsia="arial" w:hAnsi="arial" w:cs="arial"/>
            <w:i/>
            <w:color w:val="0077CC"/>
            <w:sz w:val="20"/>
            <w:u w:val="single"/>
            <w:shd w:val="clear" w:color="auto" w:fill="FFFFFF"/>
            <w:lang w:val="en-US" w:eastAsia="en-US" w:bidi="ar-SA"/>
          </w:rPr>
          <w:t>(1990), 52 B.C.L.R. (2d) 265</w:t>
        </w:r>
      </w:hyperlink>
      <w:r>
        <w:rPr>
          <w:rFonts w:ascii="arial" w:eastAsia="arial" w:hAnsi="arial" w:cs="arial"/>
          <w:color w:val="000000"/>
          <w:sz w:val="20"/>
          <w:lang w:val="en-US" w:eastAsia="en-US" w:bidi="ar-SA"/>
        </w:rPr>
        <w:t xml:space="preserve"> (C.A.); Varcoe v. Sterling </w:t>
      </w:r>
      <w:hyperlink r:id="rId237" w:history="1">
        <w:r>
          <w:rPr>
            <w:rFonts w:ascii="arial" w:eastAsia="arial" w:hAnsi="arial" w:cs="arial"/>
            <w:i/>
            <w:color w:val="0077CC"/>
            <w:sz w:val="20"/>
            <w:u w:val="single"/>
            <w:shd w:val="clear" w:color="auto" w:fill="FFFFFF"/>
            <w:lang w:val="en-US" w:eastAsia="en-US" w:bidi="ar-SA"/>
          </w:rPr>
          <w:t>(1992), 7 O.R. (3d) 204</w:t>
        </w:r>
      </w:hyperlink>
      <w:r>
        <w:rPr>
          <w:rFonts w:ascii="arial" w:eastAsia="arial" w:hAnsi="arial" w:cs="arial"/>
          <w:color w:val="000000"/>
          <w:sz w:val="20"/>
          <w:lang w:val="en-US" w:eastAsia="en-US" w:bidi="ar-SA"/>
        </w:rPr>
        <w:t xml:space="preserve"> (Gen. Div.), appeal and cross-appeal dismissed, </w:t>
      </w:r>
      <w:hyperlink r:id="rId238" w:history="1">
        <w:r>
          <w:rPr>
            <w:rFonts w:ascii="arial" w:eastAsia="arial" w:hAnsi="arial" w:cs="arial"/>
            <w:i/>
            <w:color w:val="0077CC"/>
            <w:sz w:val="20"/>
            <w:u w:val="single"/>
            <w:shd w:val="clear" w:color="auto" w:fill="FFFFFF"/>
            <w:lang w:val="en-US" w:eastAsia="en-US" w:bidi="ar-SA"/>
          </w:rPr>
          <w:t>10 O.R. (3d) 574</w:t>
        </w:r>
      </w:hyperlink>
      <w:r>
        <w:rPr>
          <w:rFonts w:ascii="arial" w:eastAsia="arial" w:hAnsi="arial" w:cs="arial"/>
          <w:color w:val="000000"/>
          <w:sz w:val="20"/>
          <w:lang w:val="en-US" w:eastAsia="en-US" w:bidi="ar-SA"/>
        </w:rPr>
        <w:t xml:space="preserve">n (C.A.), leave to appeal to S.C.C. refused with costs on a solicitor-client basis, </w:t>
      </w:r>
      <w:hyperlink r:id="rId239" w:history="1">
        <w:r>
          <w:rPr>
            <w:rFonts w:ascii="arial" w:eastAsia="arial" w:hAnsi="arial" w:cs="arial"/>
            <w:i/>
            <w:color w:val="0077CC"/>
            <w:sz w:val="20"/>
            <w:u w:val="single"/>
            <w:shd w:val="clear" w:color="auto" w:fill="FFFFFF"/>
            <w:lang w:val="en-US" w:eastAsia="en-US" w:bidi="ar-SA"/>
          </w:rPr>
          <w:t>[1992] S.C.C.A. No. 440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Once the relationship of principal and agent exists, a complex set of duties attach to the agent. Underlying these duties is the requirement that the agent must not let its own personal interest conflict with the obligations it owes to its principal: G.H.L. Fridman, The Law of Agency, 7th ed. (Toronto: Butterworths, 1996) at 174. These duties apply to all three claims. The regulatory environment governing brokers and the custom and practice of the industry assist in determining the nature of the duties 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plaintiffs say that as their broker and agent the defendants are not entitled to make a profit over and above the commission earned, either themselves, or through an affiliate, unless the defendants prove two things. First, they must prove that there has been full and meaningful disclosure not only of the exchange rate used, but of the method used to set the rate, and the nature and extent of any profit. Second, the defendants must prove that the plaintiffs consented to the profit. See R. v. Kelly </w:t>
      </w:r>
      <w:hyperlink r:id="rId240" w:history="1">
        <w:r>
          <w:rPr>
            <w:rFonts w:ascii="arial" w:eastAsia="arial" w:hAnsi="arial" w:cs="arial"/>
            <w:i/>
            <w:color w:val="0077CC"/>
            <w:sz w:val="20"/>
            <w:u w:val="single"/>
            <w:shd w:val="clear" w:color="auto" w:fill="FFFFFF"/>
            <w:lang w:val="en-US" w:eastAsia="en-US" w:bidi="ar-SA"/>
          </w:rPr>
          <w:t>[1992] 2 S.C.R. 170</w:t>
        </w:r>
      </w:hyperlink>
      <w:r>
        <w:rPr>
          <w:rFonts w:ascii="arial" w:eastAsia="arial" w:hAnsi="arial" w:cs="arial"/>
          <w:color w:val="000000"/>
          <w:sz w:val="20"/>
          <w:lang w:val="en-US" w:eastAsia="en-US" w:bidi="ar-SA"/>
        </w:rPr>
        <w:t xml:space="preserve">; Reed v. McDermid St. Lawrence Ltd, above; R. v. Roy </w:t>
      </w:r>
      <w:hyperlink r:id="rId241" w:history="1">
        <w:r>
          <w:rPr>
            <w:rFonts w:ascii="arial" w:eastAsia="arial" w:hAnsi="arial" w:cs="arial"/>
            <w:i/>
            <w:color w:val="0077CC"/>
            <w:sz w:val="20"/>
            <w:u w:val="single"/>
            <w:shd w:val="clear" w:color="auto" w:fill="FFFFFF"/>
            <w:lang w:val="en-US" w:eastAsia="en-US" w:bidi="ar-SA"/>
          </w:rPr>
          <w:t>(1994), 70 O.A.C. 127</w:t>
        </w:r>
      </w:hyperlink>
      <w:r>
        <w:rPr>
          <w:rFonts w:ascii="arial" w:eastAsia="arial" w:hAnsi="arial" w:cs="arial"/>
          <w:color w:val="000000"/>
          <w:sz w:val="20"/>
          <w:lang w:val="en-US" w:eastAsia="en-US" w:bidi="ar-SA"/>
        </w:rPr>
        <w:t xml:space="preserve">; R.H. Deacon &amp; Co. Ltd. v. Varga [1972] 1 O.R. 233 (C.A.), aff'd </w:t>
      </w:r>
      <w:hyperlink r:id="rId242" w:history="1">
        <w:r>
          <w:rPr>
            <w:rFonts w:ascii="arial" w:eastAsia="arial" w:hAnsi="arial" w:cs="arial"/>
            <w:i/>
            <w:color w:val="0077CC"/>
            <w:sz w:val="20"/>
            <w:u w:val="single"/>
            <w:shd w:val="clear" w:color="auto" w:fill="FFFFFF"/>
            <w:lang w:val="en-US" w:eastAsia="en-US" w:bidi="ar-SA"/>
          </w:rPr>
          <w:t>[1975] 1 S.C.R. 39</w:t>
        </w:r>
      </w:hyperlink>
      <w:r>
        <w:rPr>
          <w:rFonts w:ascii="arial" w:eastAsia="arial" w:hAnsi="arial" w:cs="arial"/>
          <w:color w:val="000000"/>
          <w:sz w:val="20"/>
          <w:lang w:val="en-US" w:eastAsia="en-US" w:bidi="ar-SA"/>
        </w:rPr>
        <w:t xml:space="preserve">; Scherer v. Zacks </w:t>
      </w:r>
      <w:hyperlink r:id="rId243" w:history="1">
        <w:r>
          <w:rPr>
            <w:rFonts w:ascii="arial" w:eastAsia="arial" w:hAnsi="arial" w:cs="arial"/>
            <w:i/>
            <w:color w:val="0077CC"/>
            <w:sz w:val="20"/>
            <w:u w:val="single"/>
            <w:shd w:val="clear" w:color="auto" w:fill="FFFFFF"/>
            <w:lang w:val="en-US" w:eastAsia="en-US" w:bidi="ar-SA"/>
          </w:rPr>
          <w:t>[1952] 4 D.L.R. 503</w:t>
        </w:r>
      </w:hyperlink>
      <w:r>
        <w:rPr>
          <w:rFonts w:ascii="arial" w:eastAsia="arial" w:hAnsi="arial" w:cs="arial"/>
          <w:color w:val="000000"/>
          <w:sz w:val="20"/>
          <w:lang w:val="en-US" w:eastAsia="en-US" w:bidi="ar-SA"/>
        </w:rPr>
        <w:t xml:space="preserve"> (Ont. H.C.); Johnson v. Birkett </w:t>
      </w:r>
      <w:hyperlink r:id="rId244" w:history="1">
        <w:r>
          <w:rPr>
            <w:rFonts w:ascii="arial" w:eastAsia="arial" w:hAnsi="arial" w:cs="arial"/>
            <w:i/>
            <w:color w:val="0077CC"/>
            <w:sz w:val="20"/>
            <w:u w:val="single"/>
            <w:shd w:val="clear" w:color="auto" w:fill="FFFFFF"/>
            <w:lang w:val="en-US" w:eastAsia="en-US" w:bidi="ar-SA"/>
          </w:rPr>
          <w:t>(1910), 21 O.L.R. 319</w:t>
        </w:r>
      </w:hyperlink>
      <w:r>
        <w:rPr>
          <w:rFonts w:ascii="arial" w:eastAsia="arial" w:hAnsi="arial" w:cs="arial"/>
          <w:color w:val="000000"/>
          <w:sz w:val="20"/>
          <w:lang w:val="en-US" w:eastAsia="en-US" w:bidi="ar-SA"/>
        </w:rPr>
        <w:t xml:space="preserve"> (H.C.J.); Anangel v. IHI [1990] 1 Lloyd's L.R. 167 (Q.B. (Com-Ct.)).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Even if the defendants acted as principals, not agents, as the defendants suggest, they did not disclose that fact. Therefore, they were acting as undisclosed principals and meaningful disclosure and informed consent are still required before they are entitled to profit.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plaintiffs say that if the defendants are entitled to a profit, then, and only then, does the question of the reasonableness of the rates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Scott and Ms. Ballingall say there was a profit and that there was no meaningful disclosure and no informed consent. They say that they tried to obtain information about the setting of the rates before they started court proceedings but received no meaningful response. They were not told that spreads were being added. They were not told of the involvement of an affiliate. The rates used were not reasonable and not the best rates available. The defendants conduct their necessary foreign currency trading exclusively through their affiliate TD Bank. Yet, the defendants do not conduct any surveys to ensure that TD Bank's rates are competitive. Nor do they negotiate for rates with TD Bank on behalf of the client unless directed to do so by the client.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defendants take an entirely different view of the matter. They say that when setting foreign exchange rates they met and continue to meet all their legal obligations in a transparent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defendants argue that there is a valid reason why the written account documentation does not stipulate a formula or method by which the rate is established. The reason is that they follow the universal practice of purchasing and selling currencies on stated conversion rates, rather than by reference to some other "market" rate with a charge or commission in favour of the converter added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defendants say that any disclosure requirements they may have are met because the rate is disclosed to the client in the account statement. As noted above, they agree that they, or their affiliate, do add a point spread to both the bid and ask price on the interbank spot market rate (explained below under the heading "The Method Used To Set Foreign Exchange Rates"). The reason they do so is that there is a monetary risk to them created because there is a difference between the trade and settlement dates. The spread permits them to manage that risk and cover the cost of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They explain the risk involved this way. The account agreements say that foreign currency conversion will take place at the trade date unless otherwise agreed. When selling a foreign security the proceeds of the sale are denominated in a foreign currency, and when purchasing a security, the purchase price must be delivered in a foreign currency. Yet TD Waterhouse must make the debits or credits relating to such trades in the currency of the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either case there is a currency risk between the date when the trade takes place and the date when the trade actually settles. The settlement period for trades can as much as thirty business days. This can leave a client exposed to fluctuations in the relative value of the currencies between the trade date and the settlement date when the currency must either be delivered or received. Currencies can move quite significantly in periods of minutes or hours and can move dramatically over days or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requirement that currency be converted on the trade date unless otherwise agreed establishes a default rule that permits both TD Waterhouse and its clients to determine with certainty, as of the trade date, what the conversion rate will be and what the net funds to be credited to or deducted from the account are. This, they argue, eliminates the risk to the client that the currency will move against the client in the intervening time period between trade date and settlement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spread that is added is therefore not profit, though it provides the opportunity for profit. In any case, the plaintiffs' trades that were over $60,000 US did not result in any revenue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defendants submit that their contract with the plaintiffs allowed them to act as principal or agent. They chose to act as principal. As principal, their only obligation is to set reasonable rates. There is no duty of selflessness. The rates they used were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defendants suggest that in assessing reasonableness the court must consider that the Rupiah is an exotic, highly volatile currency. These trades, like the others the plaintiffs engaged in, are rare. The defendants presented extensive evidence explaining how the nature of the currency and the volatility of the market affects the rates that are set. They also presented extensive evidence which they say shows that the nature of the wholesale foreign exchange market must be examined as it cannot be compared with retail rates like those provided by Reuters or similar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TD Waterhouse and TD Securities argue that even if the defendants are required to make the kind of disclosure claimed, disclosure cannot be separated from knowledge. There can be no liability if the plaintiffs knew or ought to have known of the opportunity to profit: Orangeville Raceway Ltd. v. Wood Gundy Inc. </w:t>
      </w:r>
      <w:hyperlink r:id="rId245" w:history="1">
        <w:r>
          <w:rPr>
            <w:rFonts w:ascii="arial" w:eastAsia="arial" w:hAnsi="arial" w:cs="arial"/>
            <w:i/>
            <w:color w:val="0077CC"/>
            <w:sz w:val="20"/>
            <w:u w:val="single"/>
            <w:shd w:val="clear" w:color="auto" w:fill="FFFFFF"/>
            <w:lang w:val="en-US" w:eastAsia="en-US" w:bidi="ar-SA"/>
          </w:rPr>
          <w:t>(1995), 6 B.C.L.R. (3d) 391</w:t>
        </w:r>
      </w:hyperlink>
      <w:r>
        <w:rPr>
          <w:rFonts w:ascii="arial" w:eastAsia="arial" w:hAnsi="arial" w:cs="arial"/>
          <w:color w:val="000000"/>
          <w:sz w:val="20"/>
          <w:lang w:val="en-US" w:eastAsia="en-US" w:bidi="ar-SA"/>
        </w:rPr>
        <w:t>, (C.A.); Hippisley v. Knee Brothers [1905] 1 K.B.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defendants point out that Mr. Scott is an experienced investment banker. He traded securities using the defendants' services many times before the trades in issue took place, was advised then of the rates used, and had access to quote services. He knew that there was the opportunity for profit. The officious bystander would see that inevitably there was an opportunity to profit and cover the risk. Mr. Scott, and through him Ms. Ballingall, therefore knew or ought to have known the process used by the defendants to set the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the question of affiliate liability, the defendants submit that there is no basis in law for finding the defendants liable for any profits made by their affiliates. This will be discussed below under the heading "Cause of Action Disclosed."</w:t>
      </w:r>
      <w:r>
        <w:rPr>
          <w:rFonts w:ascii="arial" w:eastAsia="arial" w:hAnsi="arial" w:cs="arial"/>
          <w:sz w:val="20"/>
          <w:lang w:val="en-US" w:eastAsia="en-US" w:bidi="ar-SA"/>
        </w:rPr>
        <w:cr/>
      </w:r>
    </w:p>
    <w:p>
      <w:pPr>
        <w:numPr>
          <w:numId w:val="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METHOD USED TO SET FOREIGN EXCHANGE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defendants presented extensive evidence regarding the process they say they use to set the rates. This is a summary of the process used now, and does not purport to contain all the complexities of that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setting foreign exchange rates on transactions involving foreign currency, TD Waterhouse uses the services and assistance of a group now called DirecTrade. DirecTrade is the division of TD Bank that facilitates the TD Bank Financial Group's foreign exchange dealings. It produces a bulletin each day that lists the current exchange rates that are used for the retail foreign currency conversions carried out by most entities in the TD Bank Financial Group, including its retail banks. It sets rates, called bulletin rates, for trades below a certain US dollar value (in this case $60,000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 brief overview of the wholesale foreign exchange market is helpful in understanding the process used to set the rates. The evidence presented by the defendants shows that the wholesale foreign exchange market is, with some exceptions, not a formally established market. It is a largely self-regulated, over-the-counter market. The business is transacted either directly between principals such as large international banks, who transact with each other directly, or through an electronic broking system or voice-broking system. The market in any currency exists only to the extent that there are willing buyers and sellers who have agreed on a price for exchanging currencies.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wholesale foreign exchange market for a currency depends on the presence of large international banks that function as primary market-makers. A market-maker is a professional trader employed by a bank, who continuously quotes two-way dealing prices to other market-makers. A two-way dealing price is the bid price and the offer (ask) price at which a market-maker will quote and transact with an enquiring bank. There is always a spread between the bid and ask prices. The spread is the difference between the rate at which someone will buy currency X in units of currency Y and the rate they will sell currency X in units of currency 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When a two-way dealing price is quoted to an enquiring bank, the market-maker is willing to either purchase units of the quoted currency at the bid price, or sell units of the quoted currency at the ask price, without first knowing the side of the market the enquiring bank wishes to transact. A common amount that is traded in the spot foreign exchange market between primary market-makers would be for the currency equivalent of $10 million US. Banks normally cumulate their transactions in individual currencies until they have a sufficient amount to trade.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When entering into a transaction, a "value date" is established which is the day that both parties agree to pay/receive the currencies contracted in the transaction. For some currencies, where the interbank participants are on similar time-zones, like Canada and the United States, the "spot" market is quoted for settlement the next business day. It can be different for other currencies.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DirecTrade, when producing the bulletin for TD Bank, reviews each morning the interbank currency markets for each currency for which it sets bulletin rates to determine the spot market bid and ask prices for that currency. Once the spot market prices have been determined, DirecTrade establishes a "settle rate" and a "customer rate" by adding a spread on both the spot market bid and ask. The settle rate is the rate at which DirecTrade provides currency to TD Waterhouse and the customer rate is the suggested retail conversion rate for transactions with retail customers. The spread that is added varies from currency to currency.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Exchange rates in the interbank market are not static but change throughout the day. As a result, the bulletin rates set by the DirecTrade bulletin may be reset during the day in response to market volatility, particularly on those currencies where there is a large volume and smaller spreads. Extremely volatile days can see rates reset frequently.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There are a number of different ways rates can be set by or through TD Waterhouse. The method used depends on the size of the security transaction and the type of foreign currency that is involved. There are many different combinations and permutations. However, there are four broad categories:</w:t>
      </w:r>
      <w:r>
        <w:rPr>
          <w:rFonts w:ascii="arial" w:eastAsia="arial" w:hAnsi="arial" w:cs="arial"/>
          <w:sz w:val="20"/>
          <w:lang w:val="en-US" w:eastAsia="en-US" w:bidi="ar-SA"/>
        </w:rPr>
        <w:cr/>
      </w:r>
    </w:p>
    <w:p>
      <w:pPr>
        <w:numPr>
          <w:numId w:val="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Canada-US trades below the bulletin rate;</w:t>
      </w:r>
    </w:p>
    <w:p>
      <w:pPr>
        <w:numPr>
          <w:numId w:val="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Canada-US trades above the bulletin rate;</w:t>
      </w:r>
    </w:p>
    <w:p>
      <w:pPr>
        <w:numPr>
          <w:numId w:val="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Canada/US - Other trades below the bulletin rate;</w:t>
      </w:r>
    </w:p>
    <w:p>
      <w:pPr>
        <w:numPr>
          <w:numId w:val="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Canada/US - Other trades above the bulletin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vast majority of all trades are Canada-US trades and the vast majority of all trades happen within the bulletin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all currency conversions other than the Canada-US dollar conversions, TD Waterhouse adopts the DirecTrade bulletin customer rate for its own bulletin rates for trades under $60,000 US. It has DirecTrade book a rate for trades over $60,000 US. However with respect to all its Canada-US dollar conversions, TD Waterhouse sets its own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For Canada-US trades under $60,000 US TD Waterhouse adds 90 basis points to the spot market spread. For trades from $60,000 US to $100,000 US, it adds 30 points and DirecTrade adds 25 points. For trades over $100,000 US, TD Waterhouse adds 30 points and DirecTrade adds 10 points.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It is possible to negotiate a different exchange rate, (except with respect to internet trades, which are only possible on Canada-US trades). If there is no negotiation, the default rule is the bulletin rate. Clients are not routinely told of the possibility of negotiating the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With respect to trades below the bulletin rate, the default rule is the bulletin rate. The evidence indicated that in a large number of trades there is no negotiation. If there is, the defendants only occasionally reduce the bulletin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With respect to Canada-US trades over the bulletin rate, the default rule is the normal mark up. With respect to Canada/US - Other trades over $60,000 US, the default rule is to take the DirecTrade rate. The evidence indicated that this almost always happens.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It is possible to bulk (combine) trades to reach the $60,000 US limit. In some RRSP accounts the rate on one account may be washed against the rate on another trade. Washing rates is the process of applying the same conversion rate to a buy and a sell transaction happening on the same day so that either no spread is incurred or spread is incurred only on the net difference between the buy and sell transactions.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CERTIFICATION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STEP ONE - CAUSE OF ACTION DISCLOSED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test under s. 4(1)(a) of the Act is to determine whether a cause of action exists. It is similar to the test applied in an application to dismiss a claim on the grounds that it fails to disclose a cause of action, found in Rule 19(24) of the Supreme Court Rules (the "Rules"). That is, it must be plain and obvious that there is no such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only difference between the two tests is that the onus to show a cause of action falls upon the party bringing the class action, rather than on the party challenging the proceeding. The court will presume the facts alleged in the pleadings are true, and will determine whether it is plain and obvious that no claim exists. This is not a preliminary merits test. The threshold to prove the existence of a cause of action is very low. The court should err on the side of protecting people who have a right of access to the courts: Elms v. Laurentian Bank of Canada, </w:t>
      </w:r>
      <w:hyperlink r:id="rId246" w:history="1">
        <w:r>
          <w:rPr>
            <w:rFonts w:ascii="arial" w:eastAsia="arial" w:hAnsi="arial" w:cs="arial"/>
            <w:i/>
            <w:color w:val="0077CC"/>
            <w:sz w:val="20"/>
            <w:u w:val="single"/>
            <w:shd w:val="clear" w:color="auto" w:fill="FFFFFF"/>
            <w:lang w:val="en-US" w:eastAsia="en-US" w:bidi="ar-SA"/>
          </w:rPr>
          <w:t>[2001] B.C.J. No. 1284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defendants say that many of the arguments raised at the certification hearing are not pleaded in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For example, the plaintiffs argued at the certification hearing that the defendants acted as agents in all transactions and that in all transactions the defendants have a duty not to profit. The defendants say this was not pleaded. Similarly, the plaintiffs argued at the certification hearing that if the defendants are acting as principal, they are undisclosed principals and there is therefore the same duty not to profit. The defendants say this was not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defendants also argue that there is no legal basis upon which a principal can be required not to make a profit, and the only possible claim is that the rates are not reasonable. Therefore, even amended pleadings would not disclose a cause of action that meets the Rule 19(24)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Finally, the defendants say that there is no cause of action that meets the Rule 19(24) test on the question of affiliate liability. That is, there is no legal basis upon which TD Bank or any other affiliate could be found liable for any profit that TD Bank (or its predecessor) may make.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It is not plain and obvious that in the particular circumstances of this case the court could not find a duty not to profit. A generous reading of the Amended Statement of Claim could result in the conclusion that it does allege that the defendants or their affiliates are not entitled to profit when they act as agent or undisclosed principal. However, these allegations should be pleaded more clearly.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With respect to affiliate liability, the plaintiffs allege that it is a term of the standard form contract that an affiliate of the defendants is not entitled to make a profit. In any case they, in the alternative, advance a claim of sub-agency. It is not plain and obvious that there is no such cause of action. However, the pleadings should be amended to specifically plead sub-agency.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plaintiffs have until October 17, 2001 to amend the pleadings accordingly and the defendants have until October 31, 2001 to file an Amended Reply.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STEP TWO - IDENTIFIABLE CLASS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It will be recalled that there must be an identifiable class of two or more persons: s. 4(1)(b) Act. The court must determine whether the plaintiffs form part of an identifiable class. It does so by comparing the plaintiffs and their originating claims with the proposed class and their potential claims.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Defendants' Position - Identifiable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defendants argue that there is not an identifiable class. Instead, there are two classes.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first class includes the plaintiffs and their trades, trades that the defendants call exotic trades. The currency is volatile and thinly traded, and these types of transactions comprise only a very small percentage of the trades carried out by the defendants. The trades relate to the idiosyncratic experiences of a sophisticated market participant in circumstances where TD Waterhouse and DirecTrade made an unusual and substantial error in calculating the foreign exchange rate. The second class includes the Canada-US trades. These trades constitute the vast majority of the trades carried out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defendants point to other differences between the two classes. They set the foreign exchange rates for Canada-US trades, but do not set the rates for exotic trades. The defendants point to the extensive evidence they presented to show that the way clients participate in the process is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defendants argue that the plaintiffs treat every currency conversion over the past six years as raising issues identical to those at issue involving their Indonesian securities. In doing so they do not acknowledge that as to the 99% of the currency conversions at issue involving Canada-US conversions, each client could have arranged for the conversion before the trade (a fact that the plaintiffs dispute). The defendants say that with respect to each Canada-US currency conversion the client can elect to have a US account (as did the plaintiffs) rather than converting the currency through the defendants. Even for RRSP accounts, which must be denominated in Canadian currency, in most cases a client could carry out a wash trade and thus avoid any currency conversion for US holdings.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defendants say the result is that in over 99% of the transactions by dollar volume, the conversion is not imposed arbitrarily on the clients. Rather, it flows from the client's election not to carry out the transaction in a US dollar account or to otherwise arrange for the deposit of US currency to meet his or her obligations. Therefore, they argue, the conversion is required not only by reasons of a securities transaction, but also the client's voluntary choice to use the defendants' conversion rates rather than to carry out the conversion on their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defendants further say that the facts demonstrate that the rates offered by them with respect to Canada-US conversions are, in contrast to highly volatile and thinly traded currencies, extremely close to the rates available from any other commercial or financial enterprise offering to purchase or sell US dollars. For this reason, clients will only rarely choose to carry out their own conversions. However, the fact that this difference exists supports that argument that there is not one class, but rather two classes of clients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defendants suggest that this "yawning gulf" that separates currencies such as the Indonesian Rupiah and the US dollar is demonstrated on the facts of this case. The volatility of approximately 30% within just one of the days on which a transaction was carried out in Indonesian Rupiah by the plaintiffs was greater than the volatility experienced by the Canadian dollar over many years. In such circumstances the rates offered by any financial institution will be less favourable to a customer because of the absence of an established market, the thinly traded market in the currency, and the volatility hour-to-hour as well as day-to-day.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defendants point to other differences between the plaintiffs and the proposed class. Ontario law likely applies to the plaintiffs' claims because the written account documentation provides that the applicable law is that of the province through which the application is submitted, in their case Ontario. In contrast, British Columbia law will apply to the bulk of the class. Given the differences between the statutory regimes under the British Columbia and Ontario Securities Acts, a determination of the obligations of fair dealing and disclosure in relation to Mr. Scott and Ms. Ballingall does not apply to the bulk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Finally, the defendants say that the contractual documents that apply to persons who open their accounts outside Canada may also include a form of Introducing Brokers Agreement. That was the case with Mr. Scott. That document says that the "usual or customary terms of business and the practices, rules and regulations of the TD Member and of the market or exchange on which the transaction is effected will apply." This, they say, introduces a significant variation between the assessment of the contractual obligations which prevail between the plaintiffs and the defendants, and that same assessment in relation to the balance of the class, with respect to a matter that goes to the heart of the determinations to be made.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Conclusion - Identifiable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this case there is an identifiable class of two or more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It is true that there are some differences between the plaintiffs' and their claims and the proposed class and their potential claims, as suggested by the defendants. However, there are factors that identify them as a class: they all entered into a basic standard form agreement ("basic agreement") that created a broker/client relationship; the agreement does not say how foreign currency exchange rates are to be set; the exchange rate is unilaterally set by TD Waterhouse and TD Securities, or their affiliates; in setting the exchange rate spreads are added to the spot market spread that can lead to a profit; they are all notified of the rate used in writing in the account statement for the trade; there is no other formal means of disclosure of how the rate is set, whether there is a profit or what that profit is; and the dealings between the defendants and each class member raise questions with respect to unauthorized profits and unreasonable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It may be that the impact of the Introducing Brokers Agreement upon the obligations created by the basic agreement will have to be determined separately. As well, there are some similarities and some differences in the securities laws of Ontario and British Columbia. The provisions in those laws that are different may have to be analysed separately. Other differences may require separate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It does not, however, follow that because there are differences, there cannot be an identifiable class. The issues that are different can be dealt with as the litigation proceeds, either by way of a sub-class or on an individual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STEP THREE - COMMON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claims of class members must raise common issues, whether or not those common issues predominate over issues affecting only individual members: s. 4(1) of the Act. "Common issues" means common but not necessarily identical issues of fact, or common but not necessarily identical issues of law that arise from common but not necessarily identical facts: s. 1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It will be recalled that in determining whether there are common issues, the court will examine the issues raised in the pleadings in the originating proceeding to those raised by the class as a whole. The British Columbia Court of Appeal has recently discussed the law as it applies to common issues in Harrington v. Dow Corning Corp. </w:t>
      </w:r>
      <w:hyperlink r:id="rId247" w:history="1">
        <w:r>
          <w:rPr>
            <w:rFonts w:ascii="arial" w:eastAsia="arial" w:hAnsi="arial" w:cs="arial"/>
            <w:i/>
            <w:color w:val="0077CC"/>
            <w:sz w:val="20"/>
            <w:u w:val="single"/>
            <w:shd w:val="clear" w:color="auto" w:fill="FFFFFF"/>
            <w:lang w:val="en-US" w:eastAsia="en-US" w:bidi="ar-SA"/>
          </w:rPr>
          <w:t>(2000), 82 B.C.L.R. (3d) 1</w:t>
        </w:r>
      </w:hyperlink>
      <w:r>
        <w:rPr>
          <w:rFonts w:ascii="arial" w:eastAsia="arial" w:hAnsi="arial" w:cs="arial"/>
          <w:color w:val="000000"/>
          <w:sz w:val="20"/>
          <w:lang w:val="en-US" w:eastAsia="en-US" w:bidi="ar-SA"/>
        </w:rPr>
        <w:t>, and Elms v. Laurentian Bank of Canada, noted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 common issue of fact or law need not be one that determines liability, but rather one that moves the litigation forward in a legally material way. An issue, in this context, means a point in question - a point affirmed by the plaintiff and denied by the defendant. If the point of fact or law is necessary to the successful prosecution of the cause of action (the claim) or to its defence, then its resolution will inevitably move the litigation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answer to the question must be capable of extrapolation to the class or sub-class. The role of the court at this stage is not to weigh the ultimate merits of the proposed common issues, but to determine whether there are triable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question of whether a common issue exists should not be confused with the question of the significance of that common issue to the cause of action as a whole, a matter to be considered in the preferable procedure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Finally, a common issues trial cannot be avoided because the defendants admit certain facts or issues. Class members do not become parties to the litigation until after certification. Therefore, a public statement admitting issues at a certification hearing or in the originating proceeding cannot be a legal admission. It is a bare promise to admit: Bywater v. Toronto Transit Commission </w:t>
      </w:r>
      <w:hyperlink r:id="rId248" w:history="1">
        <w:r>
          <w:rPr>
            <w:rFonts w:ascii="arial" w:eastAsia="arial" w:hAnsi="arial" w:cs="arial"/>
            <w:i/>
            <w:color w:val="0077CC"/>
            <w:sz w:val="20"/>
            <w:u w:val="single"/>
            <w:shd w:val="clear" w:color="auto" w:fill="FFFFFF"/>
            <w:lang w:val="en-US" w:eastAsia="en-US" w:bidi="ar-SA"/>
          </w:rPr>
          <w:t>(1998), 27 C.P.C. (4th) 172</w:t>
        </w:r>
      </w:hyperlink>
      <w:r>
        <w:rPr>
          <w:rFonts w:ascii="arial" w:eastAsia="arial" w:hAnsi="arial" w:cs="arial"/>
          <w:color w:val="000000"/>
          <w:sz w:val="20"/>
          <w:lang w:val="en-US" w:eastAsia="en-US" w:bidi="ar-SA"/>
        </w:rPr>
        <w:t>, (Ont. Gen. Div.).</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Proposed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plaintiffs say that there are issues raised in the pleadings in the originating proceeding that are common to the class. There is a standard form contract with a gap as to how rates are to be fixed. That contract applies to all class members. The court must fill in the gaps. They say the purpose of the law suit is to establish for all class members what restrictions exist, within the context of the contractual relationship between the parties, the regulatory environment, the industry practice and the other circumstances set out in the statement of claim. They propose a series of issues relating to determining the express and implied terms of the contract, the nature of the regulatory duties and the actual industry practice that they say are common to all class members. They include a consideration of affiliate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plaintiffs propose a number of common factual issues. Among them is an examination of the method used by the defendants to set rates. Another is the related issue of the meaning of the word profit.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Defendants' Position -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defendants say there is no common issue that can be devised with respect to any of the causes of action because any legal analysis will lead to a determination of either reasonableness of the rates charged or knowledge of the class member as to the rate. Both of these determinations are necessarily trade specific, individual inquiries. The answer to any question posed cannot therefore bind the class as a whole, as the law requires.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defendants say that the proposed common issue relating to the methods used to set the rates is not material to and does not advance the causes of actions alleged. The answer does not assist in determining whether any of the alleged obligations were breached. There is nothing about knowing how rates are set generally that will tell the court whether any obligations of disclosure were breached or whether any specific rate was reasonable or otherwise in breach of whatever obligations may be found. It is not the setting of the rate that is said to be wrong, but rather the quantum of the rates, relative to reasonable rates, the best rates available or rates which do not yield a profit.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With respect to the cause of action in contract, the defendants say that there is no standard contract. Rather, the contractual rights and obligations can only be determined by considering not only the written documentation, but also the oral dealings between the defendants and each class member and the past conduct of each class member. Generally the duties that a broker owes to a client depend on the particular dealings between the broker and the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They say that even if the contractual rights and obligations could be determined on a common basis, the question of whether or not there has been a breach must be determined individually. No matter what the defendants' legal obligations are, there must be either a determination of the reasonableness of the rates or the knowledge of the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If the defendants acted as principal, as they say they did, the question will be the reasonableness of the rates. This is necessarily an individual inquiry. The extensive affidavit evidence presented at the certification hearing shows that this will be an extremely complex and time-consuming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If the plaintiffs are correct and the defendants acted either as an agent or an undisclosed principal, disclosure of any profit will be an issue. The law is clear that the class members would have to prove not only lack of disclosure, but lack of knowledge. As noted above in the defendants' arguments with respect to the plaintiffs' originating claim, they say that there can be no liability if the class member knew or ought to have known that the defendants' could profit. The extensive evidence presented at the certification hearing shows that there are numerous ways in which knowledge can be acquired. The question of knowledge is necessarily an individual inquiry and its determination will be complex and time-consuming.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Even if the defendants are liable, the question of damages requires individual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 defendants say that the same general analysis applies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They agree that the common law imposes certain duties on brokers that, at a minimum, require the broker to carry out instructions and to be honest. There are regulatory duties as well. However, the real question is not whether there is a duty, but what the duty requires in the circumstances. This necessitates individual examination. The duties owed depend upon the dealings between the defendants and the individual class members. The court cannot, for example, try the duty of honesty alone. There is also no duty of care separate from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defendants also repeat their argument made under the heading "Identifiable Class" that any duties owed are not common between the plaintiffs and other class members. That is because Ontario rules apply to the plaintiffs and British Columbia rules apply to the rest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defendants argue that the cause of action alleging unjust enrichment will also be a transaction specific inquiry.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defendants therefore say that this is not a quintessential class action. Rather, it is like the numerous misrepresentation cases where certification has been denied because the initial analysis requires a consideration of individual factors and proof is generally dependant on a multitude of circumstances specific to the individual class members.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Conclusion -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To successfully prosecute a cause of action in a civil law case, the plaintiff is generally required to prove the elements of the causes of action alleged on a balance of probabilities. In this case this is true for the claims of the class members for breach of contract,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and the claims for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a claim for breach of contract the plaintiff must prove that there was a contract with express or implied terms creating the legal obligations at issue, that there was a breach of those contractual obligations and that damage to the plaintiff resulted.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Contractual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defendants do not dispute the fact that they acted as broker for each class member to process the class member's securities transactions for a fee. They do not deny that there was a basic agreement as described above in the "Identifiable Class" analysis. What the defendants do say is that the contractual obligations of their many thousands of clients are not common, but rather must be determined on a client-by-client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Even if that is so, the first step in determining their contractual obligations to each class member is to determine what rights and obligations flow from the basic agreement. Only then will it be necessary to determine whether those rights and obligations are modified in some way in individual instances.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their statement of defence the defendants themselves raise issues as to the interpretation of the basic agreement that apply to the class. They say a debtor/creditor relationship is created. They say that it is a term of the contract that the defendants can choose to act as principal or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They also plead that it is a term of the contract that they have the authority to do everything necessary for and incidental to carrying out their express authority according to the usual or customary way in which such authority is exercised. This, they say, includes the authority to convert the currency of the account to the currency required to settle the purchase of securities, or to convert currency received on settlement on the sale of securities to the currency of the account as may be. They also argue that the contract requires the client to check the rate set out in their account statement and report any problems with it, within 30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Therefore, the following common issues relating to contractual obligations arise:</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nature of the relationship created between the defendants (and their affiliate) and the class members as a result of the basic agreement?</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the express or implied terms of the contract relating to the setting of the foreign exchange rate?</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the regulatory duties owed by the defendants relating to the setting of the foreign exchange rate? How, if at all, are the contractual rights and obligations affected by the regulatory duties that apply to the defendants?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the industry customs or practices relating to the setting of foreign exchange rates? How, if at all, are the contractual rights and obligations affected by industry custom or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answers to these common issues bind all class members and advance the litigation in a legally material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Common issues also arise in the breach of contract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order to decide whether the defendants have profited, there must be an initial determination of how they generally set their rates. The court has the defendants' version of how they set their rates and why. However, the methods used and rational for them are not yet tested by the disclosure process, nor have they been tested against other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If the court decides that the defendants are required to charge reasonable rates, or the best rates available, the court will have to make an initial determination as to whether the general methods used to set the rates are reasonable or to determine the best rates available. There is also a factual dispute as to what is meant by the term profit in the context of the setting of foreign exchange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If it is found that there are disclosure obligations, the court will have to determine who has the onus of proving that there was disclosure and informed consent. The court will also have to decide whether those obligations are met by the provision of the actual rate used for the client in the account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There is a dispute as to whether the plaintiffs have to prove knowledge that must be resolved. As the plaintiffs put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say that the legal focus for this case is on the knowledge of the plaintiffs: "Equity would never say you have to disclose that profit or disgorge it if the person knew about it". The plaintiffs say that the law is clear and to the contrary. The law clearly requires an obligation of disclosure by the agent and informed consent by the principal in relation to any conflict.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All of these issues are common issues that bind the class, the resolution of which will move the litigation forward in a legally material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Therefore, the following additional common issues arise.</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methods do and did the defendants use to set their foreign exchange rates?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methods used to set the foreign exchange rates fair and reasonable?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determining whether the defendants profited, how is profit defined?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are disclosure duties as alleged, who has the onus of proving that there was disclosure and informed consent?</w:t>
      </w:r>
    </w:p>
    <w:p>
      <w:pPr>
        <w:numPr>
          <w:numId w:val="1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providing the rate in the account statement meet the disclosure requirements?</w:t>
      </w:r>
    </w:p>
    <w:p>
      <w:pPr>
        <w:numPr>
          <w:numId w:val="1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significance of knowledge to the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In a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class members must prove that the defendants owed them a duty of care generally or by virtue of the regulatory obligations that apply to brokers. They must prove a breach of that duty and that damages result. The answers to the common questions posed in the contracts' analysis also apply to the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an unjust enrichment claim, each class member must prove that there was an enrichment of the defendants, a corresponding deprivation and the absence of any juristic reason for the enrichment. The answers to the common questions posed in the contracts analysis apply to the claims of unjust enrichment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Admissions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defendants have made certain admissions with respect to the way it sets rates and the duties it owes to its clients that would apply to all three causes of action. For the reasons stated above, those cannot be legal admissions dispensing with the need for proof of an issue that would otherwise be a common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STEP FOUR - PREFERABLE PROCEDURE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court must determine whether a class proceeding would be the preferable procedure for the fair and efficient resolution of the common issues: s. 4(1)(d)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determining whether a class proceeding would be the preferable procedure the court must consider all relevant matters including the following: whether questions of fact or law common to the members of the class predominate over any questions affecting only individual members; whether a significant number of members of the class have a valid interest in individually controlling the prosecution of separate actions; whether the class proceeding would involve claims that are or have been the subject of any other proceedings; whether other means of resolving the claims are less practical or less efficient; and whether the administration of the class proceeding would create greater difficulties than those likely to be experienced if relief were sought by other means: s. 4(2)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court must not refuse to certify a proceeding as a class proceeding merely because the relief claimed includes a claim for damages that would require individual assessment after determination of the common issues: s. 7 (a)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policy goals of the Act are efficiency, access to the courts and modification of the behaviour of wrongdoers. A class proceeding must be fair to all the parties to the litigation. It is not enough that a common issue be capable of fair and efficient resolution by a class proceeding. A class proceeding must be the preferable procedure, having regard to all relevant criteria, including those found in s. 4(2) of the Act. The question of whether common issues predominate over individual issues is only one of the relevant factors. In determining the question of preferability a cost benefit analysis is required: Harrington v. Dow Corning Corp., noted above; Elms v. Oliver Drabak Carruthers and Chalcraft, noted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There are a number of advantages to a class proceeding. The action is case managed by a single judge. The class is able to attract sophisticated lawyers through the aggregation of potential damages and the availability of contingency fee arrangements: s. 38. Class members are given the ability to apply to participate in the litigation if they wish to do so: s. 15. A formal notice program is created which will alert all interested persons to the status of the litigation: s. 19. In addition, the court is given a number of powers designed to protect the interests of the absent class members. Subsequent notices can be issued at any time: ss. 20-23.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With respect to individual issues, a class proceeding allows the court to create simplified structures and procedures: s. 27. The court approves any settlement: s. 35. Class members are protected from adverse cost awards in relation to the common issues stage of the proceeding: s. 37. Whatever limitation period is found to be applicable to the claim is tolled for the entire class: s. 39. Through the operation of the statute any order or settlement will accrue to the benefit of the entire class without the necessity of resorting to principles of estoppel: s.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There are also dangers inherent in class proceedings. A class proceeding has the potential of becoming a "monster of complexity and cost" when individual issues overwhelm the common issues. This frustrates the goals of access to justice and efficiency: Tiemstra v. Insurance Corp. of British Columbia </w:t>
      </w:r>
      <w:hyperlink r:id="rId249" w:history="1">
        <w:r>
          <w:rPr>
            <w:rFonts w:ascii="arial" w:eastAsia="arial" w:hAnsi="arial" w:cs="arial"/>
            <w:i/>
            <w:color w:val="0077CC"/>
            <w:sz w:val="20"/>
            <w:u w:val="single"/>
            <w:shd w:val="clear" w:color="auto" w:fill="FFFFFF"/>
            <w:lang w:val="en-US" w:eastAsia="en-US" w:bidi="ar-SA"/>
          </w:rPr>
          <w:t>(1997), 38 B.C.L.R. (3d) 377</w:t>
        </w:r>
      </w:hyperlink>
      <w:r>
        <w:rPr>
          <w:rFonts w:ascii="arial" w:eastAsia="arial" w:hAnsi="arial" w:cs="arial"/>
          <w:color w:val="000000"/>
          <w:sz w:val="20"/>
          <w:lang w:val="en-US" w:eastAsia="en-US" w:bidi="ar-SA"/>
        </w:rPr>
        <w:t xml:space="preserve"> at 379 (C.A.). See also Collette v. Great Pacific Management Co. Ltd. et al., </w:t>
      </w:r>
      <w:hyperlink r:id="rId250" w:history="1">
        <w:r>
          <w:rPr>
            <w:rFonts w:ascii="arial" w:eastAsia="arial" w:hAnsi="arial" w:cs="arial"/>
            <w:i/>
            <w:color w:val="0077CC"/>
            <w:sz w:val="20"/>
            <w:u w:val="single"/>
            <w:shd w:val="clear" w:color="auto" w:fill="FFFFFF"/>
            <w:lang w:val="en-US" w:eastAsia="en-US" w:bidi="ar-SA"/>
          </w:rPr>
          <w:t>[2001] B.C.J. No. 253</w:t>
        </w:r>
      </w:hyperlink>
      <w:r>
        <w:rPr>
          <w:rFonts w:ascii="arial" w:eastAsia="arial" w:hAnsi="arial" w:cs="arial"/>
          <w:color w:val="000000"/>
          <w:sz w:val="20"/>
          <w:lang w:val="en-US" w:eastAsia="en-US" w:bidi="ar-SA"/>
        </w:rPr>
        <w:t xml:space="preserve">; Koo v. Canadian Airlines International Ltd. </w:t>
      </w:r>
      <w:hyperlink r:id="rId251" w:history="1">
        <w:r>
          <w:rPr>
            <w:rFonts w:ascii="arial" w:eastAsia="arial" w:hAnsi="arial" w:cs="arial"/>
            <w:i/>
            <w:color w:val="0077CC"/>
            <w:sz w:val="20"/>
            <w:u w:val="single"/>
            <w:shd w:val="clear" w:color="auto" w:fill="FFFFFF"/>
            <w:lang w:val="en-US" w:eastAsia="en-US" w:bidi="ar-SA"/>
          </w:rPr>
          <w:t>[2000] B.C.J. No. 329</w:t>
        </w:r>
      </w:hyperlink>
      <w:r>
        <w:rPr>
          <w:rFonts w:ascii="arial" w:eastAsia="arial" w:hAnsi="arial" w:cs="arial"/>
          <w:color w:val="000000"/>
          <w:sz w:val="20"/>
          <w:lang w:val="en-US" w:eastAsia="en-US" w:bidi="ar-SA"/>
        </w:rPr>
        <w:t xml:space="preserve"> (S.C.); and Bittner v. Louisiana-Pacific Corp. </w:t>
      </w:r>
      <w:hyperlink r:id="rId252" w:history="1">
        <w:r>
          <w:rPr>
            <w:rFonts w:ascii="arial" w:eastAsia="arial" w:hAnsi="arial" w:cs="arial"/>
            <w:i/>
            <w:color w:val="0077CC"/>
            <w:sz w:val="20"/>
            <w:u w:val="single"/>
            <w:shd w:val="clear" w:color="auto" w:fill="FFFFFF"/>
            <w:lang w:val="en-US" w:eastAsia="en-US" w:bidi="ar-SA"/>
          </w:rPr>
          <w:t>(1997), 43 B.C.L.R. (3d) 324</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There are alternatives to a class proceeding aside from the pursuit of individual actions. One is a representative action, or test case. There are advantages to a representative action in terms of time and cost. However, the result of the representative action would not bind the defendants in the individual claims: Chace v. Crane Canada Inc. </w:t>
      </w:r>
      <w:hyperlink r:id="rId253" w:history="1">
        <w:r>
          <w:rPr>
            <w:rFonts w:ascii="arial" w:eastAsia="arial" w:hAnsi="arial" w:cs="arial"/>
            <w:i/>
            <w:color w:val="0077CC"/>
            <w:sz w:val="20"/>
            <w:u w:val="single"/>
            <w:shd w:val="clear" w:color="auto" w:fill="FFFFFF"/>
            <w:lang w:val="en-US" w:eastAsia="en-US" w:bidi="ar-SA"/>
          </w:rPr>
          <w:t>(1996), 26 B.C.L.R. (3d) 339</w:t>
        </w:r>
      </w:hyperlink>
      <w:r>
        <w:rPr>
          <w:rFonts w:ascii="arial" w:eastAsia="arial" w:hAnsi="arial" w:cs="arial"/>
          <w:color w:val="000000"/>
          <w:sz w:val="20"/>
          <w:lang w:val="en-US" w:eastAsia="en-US" w:bidi="ar-SA"/>
        </w:rPr>
        <w:t xml:space="preserve"> (S.C.). As a result each individual plaintiff would have to prove his or her own case in its entirely, including the calling of expert witnesses, unless the defendants agreed otherwise. Alternative dispute resolution methods, such as mediation or arbitration may also be available.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Defendants' Position - Preferable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defendants say that certification would not be a fair, efficient or manageable procedure. It would not promote the underlying goals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All questions of liability, causation and damages in relation to the proposed class members turn primarily on complex inquiries of an individual nature requiring a substantial number of individual trials. The individual issues overwhelm any alleged common issues to such an extent that the proceeding would be unduly complex, unmanageable and impossible to try fairly and efficiently.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These concerns are particularly acute where the individual claims are likely to be quite small. The average trade value for approximately 97% of the transaction in issue is between $4000 and $6000. If the rate applied to a trade of $6000 incorporates a spread of 30, 90 or 150 points, the amount involved is $18, $54 and $90 respectively. The cost of the individual inquiries required to assess the claims in relation to each trade will, in most cases, substantially exceed the amount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defendants therefore argue that questions of fact or law common to the members of the class definitely do not predominate over any issues affecting only individual members. Instead, the certification of these claims would be little more than case management of tens of thousands of fundamentally individual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plaintiffs' claims are the only claims that have been filed in Canada. There have been no other complaints about currency conversion. It is not known whether this reflects a lack of a perceived problem or a restriction in the access to justice. What is known is that there is no flood of litigation that judicial efficiency might suggest requires management through the mechanism of one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Behaviour modification is a goal of class proceedings. However, the goal of behaviour modification is unlikely to be achieved where lengthy individual proceedings involving each class member, like the ones required in this case, have to be undertaken before there is a determination of liability on the part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This case illustrates the dangers inherent in the class proceedings' process. These dangers include permitting parties to proceed with marginal or speculative claims, creating an intolerable burden on the courts and on private litigants, and permitting the commencement of unmanageable proceedings that are unlikely to provide effective relief to members of the proposed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law has always recognized that it cannot provide a remedy for every alleged wrong. Using a cost benefit analysis in this case, the adverse costs of a class proceeding would far outweigh any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defendants point out that individual plaintiffs lose control over their potential actions if a class proceeding is launched. Also, the scheme is an opt out, not an opt in scheme. They say that a significant number of the members of the class have a valid interest in individually controlling the prosecution of separate actions because of the individual nature of the enquiries.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defendants argue that the administration of the class proceeding creates greater difficulties than those likely to be experienced if relief were sought by any other means. The size of the class is enormous. The court would be "tied up for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They say that other means of resolving the claims are not less practical or less efficient. Rather, small claims procedures, a representative action or an internal arbitration, would be more practical and more efficient.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Conclusion - Preferable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 conclude that a class proceeding is the preferable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common issues are at the heart of the litigation. The court must determine what rights and obligations arise as a result of the basic agreement. This case is distinguishable from those cases in which the court has found that proof of the case is generally dependent on a multitude of circumstances specific to the individual members. In those cases the individual inquiries were the inquiries that had to be made at the start to "get the litigation off the ground." That is not the case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There will be individual inquiries needed once the common issues have been resolved. That does not, of itself, preclude certification. I conclude that certification will not create a monster of complexity. I do so for several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First, in the circumstances of this case, the nature and extent of the individual issues cannot be determined until the common issues are decided. Only once the rights and obligations arising from the basic agreement are identified can the remaining issues be clearly defined.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Second, sub-classes may be created as the litigation proceeds. That would reduce the need for individual inquiries.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Third, the defendants argue that the individual participation of all class members is required to assess the nature of the legal obligations owed, determine whether there has been a breach, and determine what damages resulted. However, the actual evidence presented suggests that individual inquiries will be the exception, rather than the rule. It is also likely that questions of reasonableness of the rates will be based on expert evidence. That will reduce the number of witnesses called.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Fourth, though the individual inquiries are complex in the sense that the class is large, the actual issues at stake are not unduly complicated.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Fifth, the Act gives the court a great deal of flexibility to resolve individual issues in creative ways designed to ensure efficiency, while at the same time not derogating from or supplementing the substantive rights of the parties: Chadha v. Bayer Inc. </w:t>
      </w:r>
      <w:hyperlink r:id="rId254" w:history="1">
        <w:r>
          <w:rPr>
            <w:rFonts w:ascii="arial" w:eastAsia="arial" w:hAnsi="arial" w:cs="arial"/>
            <w:i/>
            <w:color w:val="0077CC"/>
            <w:sz w:val="20"/>
            <w:u w:val="single"/>
            <w:shd w:val="clear" w:color="auto" w:fill="FFFFFF"/>
            <w:lang w:val="en-US" w:eastAsia="en-US" w:bidi="ar-SA"/>
          </w:rPr>
          <w:t>(2001), 200 D.L.R. (4th) 309</w:t>
        </w:r>
      </w:hyperlink>
      <w:r>
        <w:rPr>
          <w:rFonts w:ascii="arial" w:eastAsia="arial" w:hAnsi="arial" w:cs="arial"/>
          <w:color w:val="000000"/>
          <w:sz w:val="20"/>
          <w:lang w:val="en-US" w:eastAsia="en-US" w:bidi="ar-SA"/>
        </w:rPr>
        <w:t xml:space="preserve"> at para. 66 (Ont. Sup. Ct., Div 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In particular, s. 12 of the Act gives the court authority to make "any order it considers appropriate respecting the conduct of the class proceeding to ensure its fair and expeditious determination, and for that purpose to impose on one or more of the parties the terms it considers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Section 27 of the Act deals specifically with how individual issues should be determined. It gives the court authority to: determine those individual issues in further hearings presided over by the judge who determined the common issues or by another judge of the court; appoint one or more persons including, without limitation, one or more independent experts to conduct an inquiry into those individual issues under the Supreme Court Rules and report back to the courts; or, with the consent of the parties, direct that those individual issues be determined in any other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Section 27 also provides the court with authority to give any necessary directions relating to the procedures that must be followed in conducting those proceedings. In giving those directions, the court must choose the least expensive and most expeditious method of determining the individual issues that is consistent with justice to members of the class or subclass and the parties. In doing so the court may dispense with any procedural step that it considers unnecessary, and authorize any special procedural steps including steps relating to discovery, and admission of evidence and means of proof, that it considers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Act also says that the Rules apply to class proceedings to the extent that those rules are not in conflict with the Act: s. 40. This gives the court additional powers to deal with individual issues. The object of the Rules is to secure the just, speedy and inexpensive determination of every proceeding on its merits: Rule 1(5). The Rules, for example, provide for evidence to be given at trial by affidavit: Rule 40(44). The Rules also provide for the delivery of expert reports so as to avoid the unnecessary attendance at court of expert witnesses: Rule 40A.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There are other reasons that lead me to conclude that a class proceeding is the preferable proceeding. A prominent feature of this case is that the plaintiffs are the only people who have complained about the way rates are set. At this stage, neither access to justice nor judicial economy is at the forefront. Behaviour modification is the primary goal of this class proceeding. I must assume, for this purpose, that the allegations of wrongfully taking an undisclosed profit can be proven. It is in the public interest to ensure that the defendants are not permitted to fill in contractual gaps the way they see fit without judicial controls, and to be sure that they do not, and are not tempted to, take advantage of their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A class member is unlikely to know about the conduct in issue because of the nature of that conduct. A class proceeding provides notice of the allegations to clients of the defendants. Individual class members can opt out once notified if they choose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Similarly, the allegations are such that individual class members are unlikely to make their own claims. The dollar value of any loss is said to be from $50.00 to $400.00 to $500.00. Yet, because of the number of class members, the total loss could be millions of dollars: Chadha v. Bayer Inc., noted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The practical reality is that absent certification, the issues may go unresolved because of the relatively insignificant quantum of any individual claim. That would be unfair and should be discouraged when the claims in the aggregate are substantial: Howard Estate v. British Columbia </w:t>
      </w:r>
      <w:hyperlink r:id="rId255" w:history="1">
        <w:r>
          <w:rPr>
            <w:rFonts w:ascii="arial" w:eastAsia="arial" w:hAnsi="arial" w:cs="arial"/>
            <w:i/>
            <w:color w:val="0077CC"/>
            <w:sz w:val="20"/>
            <w:u w:val="single"/>
            <w:shd w:val="clear" w:color="auto" w:fill="FFFFFF"/>
            <w:lang w:val="en-US" w:eastAsia="en-US" w:bidi="ar-SA"/>
          </w:rPr>
          <w:t>(1999), 66 B.C.L.R. (3d) 199</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In addition, the legal arguments required and the factual basis underlying them are sophisticated. Experienced lawyers, as well as expert witnesses are needed. Individual class members would be unlikely to either want to, or be in a position to, retain these professionals. The class proceeding places the defendants and the class members on a more equal footing in that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A representative action would not assist, even if there were a number of small claims. There is no guarantee that the defendants would accept the results of the test case. In individual actions class members could be exposed to the payment of costs. That is generally not so in class proceedings. In addition, a series of individual claims could lead to inconsistent results on the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While there appears to be internal arbitration procedures available, the defendants do not accept that there is any unfairness involved in their method of setting rates. In addition, I agree with the plaintiffs that it is not realistic to expect one client alone to challenge the scheme in the context of an arbitration proceeding. Legal costs would outweigh any potential gain. Any class member taking the claim to arbitration can be subject to an adverse cost award. That is not the case in a class proceeding. Because the size of any individual claim is likely to be relatively small, it is not likely that many class members would risk subjecting themselves to such a cost potential.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Therefore, other means of resolving the claims are less practical and less efficient. The administration of the class proceeding would not create greater difficulties than those likely to be experienced if relief were sought by other means. In fact, the defendants do not propose a realistic and more preferable procedure. They are really arguing that, on a cost benefit analysis, these claims are not worth litigating. I disagree.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There is nothing beyond a mere assertion to suggest that any class member has a sufficient ability or interest in controlling the prosecution of separate actions. Based on the material before the court, there is no obvious reason why they would. There is also no evidence to suggest that the class proceedings involve claims that are, or have been, the subject of other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In coming to the conclusion that a class proceeding is the preferable procedure, I have kept in mind that the Act allows the court to amend the certification order, decertify the proceeding or make any other order it considers appropriate if it appears to the court that the requirements for certification are not satisfied: s. 10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STEP FIVE - REPRESENTATIVE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final requirement for certification is that there must be a representative plaintiff who: (i) would fairly and adequately represent the interests of the class; (ii) has produced a plan for the proceeding that sets out a workable method of advancing the proceeding on behalf of the class and of notifying class members of the proceeding, and (iii) does not have, on the common issues, an interest that is in conflict with the interests of the other class members: s. 4(1)(e)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essential nature of the litigation process does not change because a proceeding is certified as a class proceeding and a case management judge is appointed. The parties to the law suit must conduct any necessary investigations and collect and present the evidence to the court. The judge plays no investigative role and no role in obtaining evidence. Though the case management judge must give directions of a procedural nature, it is the parties, not the court, who are responsible for carrying out the directions.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A representative plaintiff must perform those roles on behalf of the class. The representative plaintiff must, therefore, be in a position to "vigorously prosecute the claims": Campbell v. Flexwatt </w:t>
      </w:r>
      <w:hyperlink r:id="rId256" w:history="1">
        <w:r>
          <w:rPr>
            <w:rFonts w:ascii="arial" w:eastAsia="arial" w:hAnsi="arial" w:cs="arial"/>
            <w:i/>
            <w:color w:val="0077CC"/>
            <w:sz w:val="20"/>
            <w:u w:val="single"/>
            <w:shd w:val="clear" w:color="auto" w:fill="FFFFFF"/>
            <w:lang w:val="en-US" w:eastAsia="en-US" w:bidi="ar-SA"/>
          </w:rPr>
          <w:t>(1997), 44 B.C.L.R. (3d) 343</w:t>
        </w:r>
      </w:hyperlink>
      <w:r>
        <w:rPr>
          <w:rFonts w:ascii="arial" w:eastAsia="arial" w:hAnsi="arial" w:cs="arial"/>
          <w:color w:val="000000"/>
          <w:sz w:val="20"/>
          <w:lang w:val="en-US" w:eastAsia="en-US" w:bidi="ar-SA"/>
        </w:rPr>
        <w:t xml:space="preserve"> (C.A.). To do so they must present a case management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In this case, the focus of the argument was on whether there is a workable case management plan. The Case Management Plan ("the Plan") proposed by the plaintiffs sets out a method to deal with discovery, case management hearings and interlocutory applications. It proposes that the common issues be dealt with by way of summary procedure applications provided for in Rule 18 and 18A of the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Plan says that if the defendants are wholly successful on the common issues, the case will be at an end and no individual issue determinations will be required. The Plan requires that a case conference before the case management judge be set at the conclusion of the common issues trial. The purpose of the case conference would be to determine the appropriate way of dealing with any individual issues that arise as a result of the decisions on the common issues. The Plan sets out in considerable detail the approach the plaintiffs' will recommend to the court at that hearing, using the flexible procedures provided for in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plaintiffs gave the court examples of a number of case management plans similar to the one they propose to use here, that have been approved by other judges of this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Defendants' Position - Case Management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defendants say that a workable plan must define real issues anchored in the causes of action. The plan must be a real plan that can be properly assessed and not a matter of guess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The defendants rely on the comments of Mr. Justice Winkler as to the importance of a comprehensive litigation plan in complex cases, in the Ontario case of Carom v. Bre-X Minerals Ltd. </w:t>
      </w:r>
      <w:hyperlink r:id="rId257" w:history="1">
        <w:r>
          <w:rPr>
            <w:rFonts w:ascii="arial" w:eastAsia="arial" w:hAnsi="arial" w:cs="arial"/>
            <w:i/>
            <w:color w:val="0077CC"/>
            <w:sz w:val="20"/>
            <w:u w:val="single"/>
            <w:shd w:val="clear" w:color="auto" w:fill="FFFFFF"/>
            <w:lang w:val="en-US" w:eastAsia="en-US" w:bidi="ar-SA"/>
          </w:rPr>
          <w:t>(1999), 44 O.R. (3d) 173</w:t>
        </w:r>
      </w:hyperlink>
      <w:r>
        <w:rPr>
          <w:rFonts w:ascii="arial" w:eastAsia="arial" w:hAnsi="arial" w:cs="arial"/>
          <w:color w:val="000000"/>
          <w:sz w:val="20"/>
          <w:lang w:val="en-US" w:eastAsia="en-US" w:bidi="ar-SA"/>
        </w:rPr>
        <w:t xml:space="preserve"> at 203, (Gen. Div.):</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practice has developed in class proceedings of accepting litigation plans in support of certification motions that are sparse and lacking in detail. While this may be appropriate in more straightforward cases, in complex litigation such as the instant case, a detailed plan which meets the requirements of the Act is of critical importance.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interrelation between the different elements of the certification test under s. 5(1) has been noted previously in these reasons. The requirements set out for the representative plaintiff accordingly do not stand in isolation. The production of a workable litigation plan serves a twofold purpose: it assists the court in determining whether the class proceeding is indeed the preferable procedure; and, it allows the court to determine whether the litigation is manageable in the constituted form. The manageability must be assessed in its context of the entirety of the litigation, not just a common issue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workable plan must be comprehensive and provide sufficient detail which corresponds to the complexity of the litigation proposed for certification. In this case, the national scope, the nature of the defendants, the uncertainty of the class size and the number of causes of action alleged mark this as litigation of the most complex nature and kind. Accordingly, a comprehensive and detailed litigation plan is required.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defendants say that this plan does not measure up to that standard. It is not comprehensive and does not correspond to the complexity arising from claims requiring substantial individual inquiries in relation to tens of thousands of transactions.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defendants argue that the realities of the inquiries and associated cost necessary to determine these claims have been ignored by the proposed representatives. Rather than address these issues, the Plan ignores them in the hope that they might later be overcome or managed in some way. The court, they say, should be suspicious of concluding that a class proceeding is preferable in the absence of a plan that demonstrates how the claims of the class can be tried fairly and efficiently, from beginning to end, in the context of a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defendants also argue that this Plan does not say whether plaintiffs' counsel intends to act for individual class members at their individual trial to establish liability and quantum. This is essential information in assessing whether a class action is workable. Class members need to know whether they will need their own lawyers for their individual trials, and if so, what percentage of the award will remain, out of which they can reimburse that lawyer. If they will have to hire their own lawyer in any event, or if the percentage is excessive, they may wish to consider opting out of the litigation.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Conclusion - Representative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In this case I am satisfied that Mr. Scott and Ms. Ballingall will vigorously prosecute the claims and that they intend to see the proceeding through to conclusion. Mr. Scott is a sophisticated litigant with significant experience in the investment field. Both he and Ms. Ballingall have demonstrated their interest in vigorously pursuing the certification in spite of the fact that the defendants were willing to settle their individual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Does the Case Management Plan meet the requirements of the Act? The Act does not require a representative plaintiff to prepare a plan covering, in detail, every step that has to be taken from the beginning of the class proceeding to the end. Rather, the plan must set out a workable method of advancing the proceeding on behalf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When dealing with individual issues the method will depend on the circumstances of each case. No formula can be devised. In some cases the nature and extent of the individual inquiries required will be clear at the certification hearing and should be dealt with in the plan. In others, that will not be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This is one of those cases where the exact nature and extent of the individual issues cannot be determined until after the common issues trial has taken place. Therefore, the Plan cannot set out the procedure for determining the common issues in any further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plaintiffs' Plan does set out a suitable method of advancing the proceeding on behalf of the class on the individual issues. I am satisfied that the individual issues that will arise can be dealt with in a way that meets the goals of a class proceeding by using the procedural flexibility provided for by the Act and Rules. The Plan can be revisited as the litigation proceeds. As noted in the preferable procedure analysis, the proceedings can be de-certified if it turns out that the requirements for certification are no longer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 have been provided with no authority that says that the fee arrangement between the representative plaintiffs and their lawyers must be disclosed as suggested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 OF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This proceeding is certified as a class proceeding, subject to a determination as to the proper method of notice. The class includes: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clients of the defendants resident in British Columbia who conducted securities trades through the defendants from May 16, 1994 that included a foreign exchange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common issues are:</w:t>
      </w:r>
      <w:r>
        <w:rPr>
          <w:rFonts w:ascii="arial" w:eastAsia="arial" w:hAnsi="arial" w:cs="arial"/>
          <w:sz w:val="20"/>
          <w:lang w:val="en-US" w:eastAsia="en-US" w:bidi="ar-SA"/>
        </w:rPr>
        <w:cr/>
      </w:r>
    </w:p>
    <w:p>
      <w:pPr>
        <w:numPr>
          <w:numId w:val="20"/>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nature of the relationship created between the defendants (and their affiliate) and the class members as a result of the basic agreement?</w:t>
      </w:r>
    </w:p>
    <w:p>
      <w:pPr>
        <w:numPr>
          <w:numId w:val="21"/>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the express or implied terms of the contract relating to the setting of the foreign exchange rate?</w:t>
      </w:r>
    </w:p>
    <w:p>
      <w:pPr>
        <w:numPr>
          <w:numId w:val="22"/>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the regulatory duties owed by the defendants relating to the setting of the foreign exchange rate? How, if at all, are the contractual rights and obligations affected by the regulatory duties that apply to the defendants?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the industry customs or practices relating to the setting of foreign exchange rates? How, if at all, are the contractual rights and obligations affected by industry custom or practice?</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methods do and did the defendants use to set their foreign exchange rates?</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methods used to set the foreign exchange rates fair and reasonable?</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determining whether the defendants profited, how is profit defined?</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are disclosure duties as alleged, who has the onus of proving that there was disclosure and informed consent?</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providing the rate in the account statement meet the disclosure requirements?</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significance of knowledge to the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Case Management Plan submitted by the plaintiffs is approved. The time limits set out in it are subject to the availability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MARTINSON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September 19,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With respect to my Reasons for Judgment released September 17, 2001, the date on the top right hand corner of the first page should be changed from "20011017" to read "20010917".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MARTINSON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6" style="position:absolute;z-index:2518732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64" w:history="1">
        <w:r>
          <w:rPr>
            <w:rFonts w:ascii="arial" w:eastAsia="arial" w:hAnsi="arial" w:cs="arial"/>
            <w:b/>
            <w:bCs/>
            <w:i/>
            <w:color w:val="0077CC"/>
            <w:kern w:val="32"/>
            <w:sz w:val="28"/>
            <w:szCs w:val="32"/>
            <w:u w:val="single"/>
            <w:shd w:val="clear" w:color="auto" w:fill="FFFFFF"/>
            <w:lang w:val="en-US" w:eastAsia="en-US" w:bidi="ar-SA"/>
          </w:rPr>
          <w:t>Stushnoff v. McAleese, [2002] B.C.J. No. 2475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Chilliwack,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Brine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15,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30,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Chilliwack Registry Nos. S0011101, S0011555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2475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1519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26 C.P.C. (5th) 330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117 A.C.W.S. (3d) 710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Jerry Stushnoff, plaintiff, and Jarrod Paul McAleese and Jacqueline Patricia McAleese, defendants (Chilliwack Registry No. S0011101) And between Jerry Stushnoff, plaintiff, and Shaun Daniel Fischer, defendant (Chilliwack Registry No. S0011555)</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7"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5" w:name="Keywords_14"/>
      <w:bookmarkEnd w:id="95"/>
      <w:r>
        <w:rPr>
          <w:rFonts w:ascii="arial" w:eastAsia="arial" w:hAnsi="arial" w:cs="arial"/>
          <w:b/>
          <w:color w:val="000000"/>
          <w:sz w:val="20"/>
          <w:lang w:val="en-US" w:eastAsia="en-US" w:bidi="ar-SA"/>
        </w:rPr>
        <w:t>Practice — Discovery — Examination — Postponement, adjournment or stay — Objections to questions — Examination, range of — Matters covered in prior examination — Production and inspection of documents — What documents must be produced — Privileged documents, waiver.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6" w:name="Case Summary_11"/>
            <w:bookmarkEnd w:id="9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Applications by the defendants, McAleese and Fischer, for a continuation of an examination for discovery, to clarify the scope of an examination for discovery, and for a ruling on a claim of privilege. The plaintiff, Stushnoff, brought two actions in respect of injuries sustained in two separate motor vehicle accidents. The defendants in both actions were represented by the same counsel. At Stushnoff's examination for discovery in respect of the first accident, defendants' counsel sought to adjourn the examination to review the transcript for outstanding requests for information and documents as well as objections to questions. Stushnoff objected to the adjournment. At Stushnoff's examination for discovery in respect of the second accident, he objected to questions pertaining to his condition prior to the second accident. Stushnoff had requested preparation of medical reports from two doctors. The report of one doctor, served on counsel for the defendants, expressly relied on the report prepared by the other. Stushnoff claimed privilege in the original report.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7" w:name="Holdings of Court_11"/>
            <w:bookmarkEnd w:id="97"/>
            <w:r>
              <w:rPr>
                <w:rFonts w:ascii="arial" w:eastAsia="arial" w:hAnsi="arial" w:cs="arial"/>
                <w:color w:val="000000"/>
                <w:sz w:val="20"/>
                <w:lang w:val="en-US" w:eastAsia="en-US" w:bidi="ar-SA"/>
              </w:rPr>
              <w:t>HELD: Applications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first discovery was adjourned for the purpose of obtaining and reviewing the results of the requests for information and documents and to review objections made on the record. The defendants were entitled to resume the examination, but it was limited to matters arising from the production of the requested information and documents. With respect to the second examination, the harm occasioned to Stushnoff by some duplication of questioning was clearly outweighed by the potential harm in limiting the right of the defendant in the second action to a full and comprehensive examination for discovery. Accordingly, Stushnoff was obliged to answer relevant questions, including his condition prior to the second accident. Having disclosed the second doctor's report to the defendants, Stushnoff lost any privilege attaching to that report as well as to the facts upon which the report was based, including the report of the first doctor. Therefore, that report had to be disclosed.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8" w:name="Legislation Cited_10"/>
      <w:bookmarkEnd w:id="9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8" style="position:absolute;z-index:2517248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40A.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Evidence Act, s. 11.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99" w:name="Counsel_14"/>
      <w:bookmarkEnd w:id="9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9" style="position:absolute;z-index:2517760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 Goddard, for the plaintiff (both actions). C. Kelly, for the defendants (both actions).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0" w:name="Judgment_14"/>
      <w:bookmarkEnd w:id="100"/>
      <w:r>
        <w:pict>
          <v:line id="_x0000_s1100" style="position:absolute;z-index:25182720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1" w:name="MASTER BRINE"/>
            <w:bookmarkEnd w:id="101"/>
            <w:r>
              <w:rPr>
                <w:rFonts w:ascii="arial" w:eastAsia="arial" w:hAnsi="arial" w:cs="arial"/>
                <w:b/>
                <w:color w:val="000000"/>
                <w:sz w:val="30"/>
                <w:lang w:val="en-US" w:eastAsia="en-US" w:bidi="ar-SA"/>
              </w:rPr>
              <w:t>MASTER BRINE</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application arises out of two separate actions for motor vehicle accidents involving the same plaintiff, Mr. Stushnoff. The first motor vehicle accident occurred on the December 16, 1998 ("first action") and the second motor vehicle accident occurred on March, 27, 2001 ("second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Statement of Claim filed in the first action contains the following paragraphs: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
        <w:gridCol w:w="625"/>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As a consequence of the aforesaid </w:t>
            </w: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 the plaintiff sustained injury, loss and damage and in particular sustained: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Closed head injury with brain damage;</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Dizziness and headaches;</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Soft tissue injury to the low back and hip areas with pain radiating into the legs;</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Cervical soft tissue injury with severe muscular pain and profound restriction of neck movement;</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Ringing in the ears;</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Tearing of the eyes and double vision;</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Upper body weakness and fatigue;</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Shock;</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other injuries as may be identified by medical reports and reports.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All of the above injuries have caused and will continue to cause the Plaintiff, ..., pain, suffering, loss and damage.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further consequence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 and the consequent injuries to the Plaintiff flowing therefrom, particularly the injuries sustained to the head, the plaintiff, ..., has endured and will continue to endure permanent neuropsychological sequelae, including diminishment of his cognitive and intellectual powers, lack of insight, loss of confidence and self-assurance, deterioration in physical coordination and function, memory loss, impairment of concentration and judgment, and loss of temper easily and general irritability. His capacity to cope and to enjoy life has been severely diminished.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further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 and the resulting injuries sustained by the Plaintiff, ..., as aforesaid, the Plaintiff, ..., has suffered, and will continue to suffer in the future, damages for pain, suffering, loss of enjoyment of life, loss of amenities of life, loss of physical and mental health, restrictions of future employment opportunities.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further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 and the consequent injuries to the Plaintiff flowing therefrom, the Plaintiff has suffered damages for past income loss and will suffer damages for future income loss. The Plaintiff also will continue to suffer damages for loss of earning capacity or work life expectancy, and his capacity to pursue employment opportunities or prospects in the future and ability to earn income will be impaired.</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further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 and the consequent injuries flowing therefrom, the Plaintiff, ..., has incurred expenses for care and treatment, as well as general expenses. Such expenses will be continued and ongoing. Past and pre-trial particulars of the special damages sustained by the Plaintiff, ..., will be provided upon request as they become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Statement of Claim filed in the second action contains the following paragraphs: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
        <w:gridCol w:w="625"/>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As a consequence of the aforesaid </w:t>
            </w: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 the Plaintiff sustained injury, loss damage and in particular sustained: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Neck strain;</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Headaches;</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Pain radiating down the back of the neck into the upper back and shoulder blades;</w:t>
      </w:r>
    </w:p>
    <w:p>
      <w:pPr>
        <w:numPr>
          <w:numId w:val="1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Low back pain.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 continues to suffer from the aforesaid injuries and remains under his physician's supervision.</w:t>
      </w:r>
    </w:p>
    <w:p>
      <w:pPr>
        <w:numPr>
          <w:numId w:val="1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further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 and the consequent injuries to the Plaintiff, ..., flowing therefrom, the Plaintiff has suffered damages for past income loss and will suffer damages for future income loss. The Plaintiff also will continue to suffer damages for loss of earning capacity or work life expectancy, and his capacity to pursue employment opportunities or prospects in the future and ability to earn income will be impaired.</w:t>
      </w:r>
    </w:p>
    <w:p>
      <w:pPr>
        <w:numPr>
          <w:numId w:val="1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result of the said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has been put to and incurred the following expenses: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Additional medical expenses as yet to be ascertained;</w:t>
      </w:r>
    </w:p>
    <w:p>
      <w:pPr>
        <w:numPr>
          <w:numId w:val="1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Additional transportation expenses and baby-sitting expenses as yet to be ascertained;</w:t>
      </w:r>
    </w:p>
    <w:p>
      <w:pPr>
        <w:numPr>
          <w:numId w:val="1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Additional housekeeping expenses as yet to be ascertained.</w:t>
      </w:r>
    </w:p>
    <w:p>
      <w:pPr>
        <w:numPr>
          <w:numId w:val="1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 of the said injuries, loss and damage have caused the Plaintiff pain, suffering, loss of enjoyment of life, all of which physical disability, loss and damage were caused or contributed to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said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Statements of Defence in each action are virtually identical and raise what may be termed the "usual" defences in such actions. It should also be noted that the defendants in both actions were represented by the same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An examination for discovery of the plaintiff in the first action occurred on September 16 and 17, 2001. The conclusion of that process is a matter of debate between counsel and is the subject of one of the applications 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 second examination for discovery of the plaintiff (under the Style of Cause of both actions) took place on August 28, 2002. The outcome of that meeting is also a matter of some contention and is also the subject of one of the applications 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 third question arises with respect to the request by the defendant's counsel for a copy of a report prepared by a psychiatrist, Dr. Janke, for the plaintiff's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will deal with each of these matters in turn.</w:t>
      </w:r>
      <w:r>
        <w:rPr>
          <w:rFonts w:ascii="arial" w:eastAsia="arial" w:hAnsi="arial" w:cs="arial"/>
          <w:sz w:val="20"/>
          <w:lang w:val="en-US" w:eastAsia="en-US" w:bidi="ar-SA"/>
        </w:rPr>
        <w:cr/>
      </w:r>
    </w:p>
    <w:p>
      <w:pPr>
        <w:numPr>
          <w:numId w:val="1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Examination for Discovery Sept. 16 &amp; 17,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initial examination for discovery in September 2001 was concluded when counsel for the defendant indicated that he wished to adjourn the examination for discovery. He wished to examine the discovery transcript in order to review the outstanding requests for information and documents as well as the various objections that counsel for the plaintiff had raised to a number of questions during the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Counsel for the plaintiff objected to the adjournment on the basis that it was not yet four p.m. (the apparent scheduled completion time). He also objected to the scope of any continuation should such be permitted. It was his position that the plaintiff should not be asked questions about documents which were in the possession of third parties. He submitted that, since the defendant was aware of the identity of the third parties who had possession and control of the documents, the defendant was equally able to obtain them and ought to have done so prior to the examination for discovery. The defendant, therefore, ought not to be entitled to examine the plaintiff on any such documents obtained following the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Clearly, counsel for the defendants had canvassed the bulk of the issues which he wished to cover during his (almost) two days of discovery. The transcript runs to 284 pages. There were in excess of 1500 questions asked. Nevertheless, there were many requests which remained outstanding at the end of the discovery. These included requests for information as well as for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accept that the discovery was adjourned for the purpose of obtaining and reviewing the results of the requests for information and documents as well as to review objections made on the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order, therefore, that the plaintiff may be further examined with respect to the first action. Such examination shall be limited to matters arising from the production of the requested information and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my view, the continuation should not preclude further discovery of the plaintiff on documents which were in the possession or control of third parties such as doctors' clinical records, disability insurance records, WCB records and the like. While such records might have been available to counsel for the defendant prior to the discovery, it is a relatively costly process to obtain them if they are not particularly relevant to the action. Their relevance may not become clear until the examination for discovery at which point their production will be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Counsel for the defendant is not, however, entitled to a carte blanche continuation nor is he to question the plaintiff on matters which were canvassed in the first discovery and which were not the subject of outstanding requests for information or documents.</w:t>
      </w:r>
      <w:r>
        <w:rPr>
          <w:rFonts w:ascii="arial" w:eastAsia="arial" w:hAnsi="arial" w:cs="arial"/>
          <w:sz w:val="20"/>
          <w:lang w:val="en-US" w:eastAsia="en-US" w:bidi="ar-SA"/>
        </w:rPr>
        <w:cr/>
      </w:r>
    </w:p>
    <w:p>
      <w:pPr>
        <w:numPr>
          <w:numId w:val="20"/>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Examination for Discovery August 28,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It is fair to say that things did not proceed well at this discovery. Counsel clearly did not share a common view of the scope of the examination for discovery. In essence, counsel for the plaintiff adopted the position that the plaintiff could not be asked questions pertaining to his condition prior to the second motor vehicle accident. He viewed such questioning as an "updated" discovery and not permissible without discharging the onus as set out by Master Chamberlist (as he was) in Sutherland v. Lucas, </w:t>
      </w:r>
      <w:hyperlink r:id="rId265" w:history="1">
        <w:r>
          <w:rPr>
            <w:rFonts w:ascii="arial" w:eastAsia="arial" w:hAnsi="arial" w:cs="arial"/>
            <w:i/>
            <w:color w:val="0077CC"/>
            <w:sz w:val="20"/>
            <w:u w:val="single"/>
            <w:shd w:val="clear" w:color="auto" w:fill="FFFFFF"/>
            <w:lang w:val="en-US" w:eastAsia="en-US" w:bidi="ar-SA"/>
          </w:rPr>
          <w:t>[1996] B.C.J. No. 2160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Confusion between counsel may have arisen from the fact that the second discovery purported to be for both actions or from the fact that the same counsel represented the defendants in both actions. However, if one stands back and considers the matter I think the answer becomes clearer. In the first action the plaintiff has filed pleadings which determine the scope of the examination for discovery. The plaintiff has alleged that this accident caused him injury and resulted in a loss of past and prospective income. His condition, physical and mental, prior to and following the motor vehicle accident is relevant to a determination of those issues. Similarly, any subsequent and intervening acts which impact the plaintiff's pain and suffering and earning capacity become relevant areas to examine.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same considerations apply to the second action. In that action, the plaintiff has filed pleadings which likewise determine the scope of the examination for discovery. He again alleges that this accident caused injuries and resulted in a loss of income, past and prospective. Clearly, the defendant is interested in and is entitled to know the plaintiff's physical and mental condition both before and following the second motor vehicle accident. It is the only reasonable way that the defendant in the second action is able to assess his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harm occasioned to the plaintiff by some duplication of questioning between the two sets of discoveries is clearly, in my view, outweighed by the harm which could come to a defendant if his or her right to a full and comprehensive examination for discovery is limited because another defendant in another action has already canvassed such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While counsel in the matters before me was common to the defendants in each action I do not see that the overarching principle is affected. Counsel, whether common to various defendants or not, owe a duty to each respective defendant. This duty includes an obligation to advise and defend each defendant fully and comprehensively with respect to all matters relevant to that defendant. This clearly would include advice as to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Such advice is particularly important when considering how damages are to be assigned among separate tortfeasors. Long v. Thiessen (1968), 65 W.W.R. 577 (BCCA) presents the formula to be applied. Essentially, the court is to assess damages against the first tortfeasor as of the day immediately preceding the second motor vehicle accident. It then assesses damages globally. The first is then subtracted from the second and the balance is attributable to the second tortfeasor. Occasionally, factors and circumstances will be inextricably interwoven as between the separate interests of the tortfeasors. Each tortfeasor will, by necessity, be interested in the plaintiff's evidence of his condition both before and after each respective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Accordingly, I consider that counsel for the defendant in the second action is entitled to ask questions of the plaintiff covering all aspects of the issues relevant to that action. This will include the plaintiff's condition prior to the second accident. While this may effectively result in an "updated" discovery, it is a lesser evil than that which might result to a defendant who is prevented from obtaining a full and comprehensive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fact that each defendant has the same counsel, does not, in my view, alter the situation. There are two separate actions with two separate sets of pleadings against separate defendants seeking separate judgments for damages. The procedure ought not to be restricted or limited simply because one counsel happens to represent two separate defendants. The pre-trial proceedings for each action should stand alone.</w:t>
      </w:r>
      <w:r>
        <w:rPr>
          <w:rFonts w:ascii="arial" w:eastAsia="arial" w:hAnsi="arial" w:cs="arial"/>
          <w:sz w:val="20"/>
          <w:lang w:val="en-US" w:eastAsia="en-US" w:bidi="ar-SA"/>
        </w:rPr>
        <w:cr/>
      </w:r>
    </w:p>
    <w:p>
      <w:pPr>
        <w:numPr>
          <w:numId w:val="21"/>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Claim of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final issue pertains to the report of Dr. Janke dated August 2,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defendants' main argument arises as a result of counsel for the plaintiff, pursuant to Rule 40A, serving a copy of a medical legal report from a Dr. Stewart upon counsel for the defendants. The report of Dr. Stewart makes it clear that a copy of Dr. Janke's report was provided to Dr. Stewart together with a number of other reports and records. Indeed, Dr. Stewart says in the first paragraph that, "My report is based on ... reports supplied to me, including ... medical reports of ... Dr. Janke...." On page 14 of the report, Dr. Stewart states that, "Dr. Janke indicated, 'it appears that he suffered a brief loss of consciousness...'." In the opinion portion of the report, Dr. Stewart starts out by stating, "It is my opinion that, given a probable brief loss of consciousness...."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It appears that Dr. Stewart has, at least in part, relied upon the report of Dr. Janke in arriving at the opinion expressed therein. The report of Dr. Stewart was commissioned by counsel for the plaintiff and it was he who elected to send a copy of Dr. Janke's report to Dr. Stewart.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During submissions, both counsel made reference to the decision of McLachlin J. (as she was) in S.&amp; K. Processors Ltd. v. Campbell Ave. Herring Producers Ltd., </w:t>
      </w:r>
      <w:hyperlink r:id="rId217" w:history="1">
        <w:r>
          <w:rPr>
            <w:rFonts w:ascii="arial" w:eastAsia="arial" w:hAnsi="arial" w:cs="arial"/>
            <w:i/>
            <w:color w:val="0077CC"/>
            <w:sz w:val="20"/>
            <w:u w:val="single"/>
            <w:shd w:val="clear" w:color="auto" w:fill="FFFFFF"/>
            <w:lang w:val="en-US" w:eastAsia="en-US" w:bidi="ar-SA"/>
          </w:rPr>
          <w:t>(1983) 45 BCLR 218</w:t>
        </w:r>
      </w:hyperlink>
      <w:r>
        <w:rPr>
          <w:rFonts w:ascii="arial" w:eastAsia="arial" w:hAnsi="arial" w:cs="arial"/>
          <w:color w:val="000000"/>
          <w:sz w:val="20"/>
          <w:lang w:val="en-US" w:eastAsia="en-US" w:bidi="ar-SA"/>
        </w:rPr>
        <w:t>. In that case the defendant had delivered an accountant's report pursuant to s. 11 of the Evidence Act. The plaintiff applied for an order compelling the defendant to produce a number of documents which may be categorized as notes, correspondence, drafts, and working papers of the solicitors for the defendant, the defendant itself and the accountants who had prepared the report in question in relation to the preparation of the report. The basis for the request was that privilege with respect to these documents had been waived when the report was disclosed. McLachlin J. set out the circumstances where privilege may be waived as, firstly, where the possessor of the privilege is aware of the existence of the privilege and voluntarily shows an intention to waive it, or, secondly, where, in the absence of an intention to waive privilege, fairness and consistency require that it be waived.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McLachlin J. concluded that s. 11 of the Evidence Act required that privilege was to be abrogated only in respect of the expert's opinion and the facts upon which it is based. S. 11 did not encompass a loss of privilege with respect to communications between the expert and the instructing solicitor and the client in the course of preparation of the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to the "fairness and consistency" test, McLachlin J. held that, "where fairness has been held to require implied waiver, there is always some manifestation of a voluntary intention to waive the privilege, at least to a limited extent." She then concluded that, since s. 11 compelled disclosure of the expert's report, the disclosure was involuntary. As such, it could not constitute waiver except as to the facts upon which the report was based.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Counsel for the plaintiff took the position that, as the report from Dr. Janke was written at his request, it was privileged and this privilege was not lost when the subsequent report was disclosed involuntarily pursuant to the provisions of Rule 40A.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He relied upon the decision of Master Kirkpatrick (as she was) in Halbertsma v. Cheung, </w:t>
      </w:r>
      <w:hyperlink r:id="rId266" w:history="1">
        <w:r>
          <w:rPr>
            <w:rFonts w:ascii="arial" w:eastAsia="arial" w:hAnsi="arial" w:cs="arial"/>
            <w:i/>
            <w:color w:val="0077CC"/>
            <w:sz w:val="20"/>
            <w:u w:val="single"/>
            <w:shd w:val="clear" w:color="auto" w:fill="FFFFFF"/>
            <w:lang w:val="en-US" w:eastAsia="en-US" w:bidi="ar-SA"/>
          </w:rPr>
          <w:t>[1990] B.C.J. No. 1001</w:t>
        </w:r>
      </w:hyperlink>
      <w:r>
        <w:rPr>
          <w:rFonts w:ascii="arial" w:eastAsia="arial" w:hAnsi="arial" w:cs="arial"/>
          <w:color w:val="000000"/>
          <w:sz w:val="20"/>
          <w:lang w:val="en-US" w:eastAsia="en-US" w:bidi="ar-SA"/>
        </w:rPr>
        <w:t>. In that case, the defendant sought disclosure of two experts' reports which, although undisclosed, had been considered by two experts whose reports had been disclosed. Master Kirkpatrick stated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clear from the material before me the basis on which the reports ... were delivered to the defendant. If it was pursuant to s. 11 of the Evidence Act, then following S. &amp; K. Processors, the privilege would still attach. If it was pursuant to s. 10 of the Evidence Act, then Thunderbird Tours </w:t>
      </w:r>
      <w:hyperlink r:id="rId267" w:history="1">
        <w:r>
          <w:rPr>
            <w:rFonts w:ascii="arial" w:eastAsia="arial" w:hAnsi="arial" w:cs="arial"/>
            <w:i/>
            <w:color w:val="0077CC"/>
            <w:sz w:val="20"/>
            <w:u w:val="single"/>
            <w:shd w:val="clear" w:color="auto" w:fill="FFFFFF"/>
            <w:lang w:val="en-US" w:eastAsia="en-US" w:bidi="ar-SA"/>
          </w:rPr>
          <w:t>(1981), 28 B.C.L.R. 140</w:t>
        </w:r>
      </w:hyperlink>
      <w:r>
        <w:rPr>
          <w:rFonts w:ascii="arial" w:eastAsia="arial" w:hAnsi="arial" w:cs="arial"/>
          <w:color w:val="000000"/>
          <w:sz w:val="20"/>
          <w:lang w:val="en-US" w:eastAsia="en-US" w:bidi="ar-SA"/>
        </w:rPr>
        <w:t>, applies and the privilege is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She ultimately concluded that they were sent for the purpose of exploring settlement and not pursuant to s. 11 of the Evidence Act. Accordingly, privilege over the undisclosed reports was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Master Kirkpatrick also had this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if the plaintiff had intended to maintain the privilege over the (undisclosed) reports ..., care should have been taken not to disclose the reports in question to (the authors of the disclosed reports). The reports in question are relevant to the preparation of the disclosed reports and the formulation of their opinions and as such are subject to disclosure. In my view, it is fair and reasonable that the reports be produced to the defendant so the basis and foundation of the opinions expressed therein can be scrutinized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While I might have considered that the undisclosed reports in Halbertsma were "facts" upon which the disclosed reports were based resulting in a loss of privilege (S. &amp; K. Processors, supra,), I need not make that determination in light of the introduction of Rule 40A. Now, whenever a report is served pursuant to that rule, it must include a statement setting out all of the facts and assumptions upon which the opinion is based.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Traynor v. Degroot, </w:t>
      </w:r>
      <w:hyperlink r:id="rId268" w:history="1">
        <w:r>
          <w:rPr>
            <w:rFonts w:ascii="arial" w:eastAsia="arial" w:hAnsi="arial" w:cs="arial"/>
            <w:i/>
            <w:color w:val="0077CC"/>
            <w:sz w:val="20"/>
            <w:u w:val="single"/>
            <w:shd w:val="clear" w:color="auto" w:fill="FFFFFF"/>
            <w:lang w:val="en-US" w:eastAsia="en-US" w:bidi="ar-SA"/>
          </w:rPr>
          <w:t>(2000), 82 B.C.L.R. (3d), 263</w:t>
        </w:r>
      </w:hyperlink>
      <w:r>
        <w:rPr>
          <w:rFonts w:ascii="arial" w:eastAsia="arial" w:hAnsi="arial" w:cs="arial"/>
          <w:color w:val="000000"/>
          <w:sz w:val="20"/>
          <w:lang w:val="en-US" w:eastAsia="en-US" w:bidi="ar-SA"/>
        </w:rPr>
        <w:t>, at 269, Mr. Justice Melnick considered the effect of Rule 40A and held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Bouthot v. Cao, </w:t>
      </w:r>
      <w:hyperlink r:id="rId269" w:history="1">
        <w:r>
          <w:rPr>
            <w:rFonts w:ascii="arial" w:eastAsia="arial" w:hAnsi="arial" w:cs="arial"/>
            <w:i/>
            <w:color w:val="0077CC"/>
            <w:sz w:val="20"/>
            <w:u w:val="single"/>
            <w:shd w:val="clear" w:color="auto" w:fill="FFFFFF"/>
            <w:lang w:val="en-US" w:eastAsia="en-US" w:bidi="ar-SA"/>
          </w:rPr>
          <w:t>(1994), 96 B.C.L.R. (2d) 333</w:t>
        </w:r>
      </w:hyperlink>
      <w:r>
        <w:rPr>
          <w:rFonts w:ascii="arial" w:eastAsia="arial" w:hAnsi="arial" w:cs="arial"/>
          <w:color w:val="000000"/>
          <w:sz w:val="20"/>
          <w:lang w:val="en-US" w:eastAsia="en-US" w:bidi="ar-SA"/>
        </w:rPr>
        <w:t xml:space="preserve"> (B.C. Master), at 334, Master Bolton addressed the changes brought about by the introduction of Rule 40A: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"Until recently, it depended on whether or not the report was disclosed pursuant to s. 10 or s. 11 of the Evidence Act.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further)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appears that the situation has changed with the introduction of Rule 40A. I am not aware of any authority on the point, but it seems to me that that the disclosure of "the facts and assumptions on which the opinion is based" required by Rule 40A(5) applies to reports delivered for the purpose of subrule (2) (the equivalent of s. 10 of the Evidence Act) as well as subrule (3) (the equivalent of s. 11). Thus, it would appear that there is now in every case a requirement that the report must set out or be accompanied by a statement setting out all the facts and assumptions on which the opinion is based."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"Master Bolton's approach is now the accepted approach in British Columbia (McLachlin and Taylor, British Columbia Practice (Vancouver: Butterworths, 2000) at F-63). That this is so would appear to be supported by a decision of our Court of Appeal in Goerzen v. Sjolie </w:t>
      </w:r>
      <w:hyperlink r:id="rId270" w:history="1">
        <w:r>
          <w:rPr>
            <w:rFonts w:ascii="arial" w:eastAsia="arial" w:hAnsi="arial" w:cs="arial"/>
            <w:i/>
            <w:color w:val="0077CC"/>
            <w:sz w:val="20"/>
            <w:u w:val="single"/>
            <w:shd w:val="clear" w:color="auto" w:fill="FFFFFF"/>
            <w:lang w:val="en-US" w:eastAsia="en-US" w:bidi="ar-SA"/>
          </w:rPr>
          <w:t>(1997), 86 B.C.A.C. 44</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am of the view, therefore, that having disclosed the report of Dr. Stewart pursuant to Rule 40A, the plaintiff lost any privilege which attached to that report as well as to the facts upon which the report is based. One of the numerous facts upon which the report is based is the report of Dr. Janke. Accordingly, it must be disclosed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 am fortified in this conclusion by the words of Mr. Justice Ferguson of the Ontario Superior Court in his decision in Browne v. Lavery, </w:t>
      </w:r>
      <w:hyperlink r:id="rId271" w:history="1">
        <w:r>
          <w:rPr>
            <w:rFonts w:ascii="arial" w:eastAsia="arial" w:hAnsi="arial" w:cs="arial"/>
            <w:i/>
            <w:color w:val="0077CC"/>
            <w:sz w:val="20"/>
            <w:u w:val="single"/>
            <w:shd w:val="clear" w:color="auto" w:fill="FFFFFF"/>
            <w:lang w:val="en-US" w:eastAsia="en-US" w:bidi="ar-SA"/>
          </w:rPr>
          <w:t>(2002), 37 C.C.L.I. (3d) 86</w:t>
        </w:r>
      </w:hyperlink>
      <w:r>
        <w:rPr>
          <w:rFonts w:ascii="arial" w:eastAsia="arial" w:hAnsi="arial" w:cs="arial"/>
          <w:color w:val="000000"/>
          <w:sz w:val="20"/>
          <w:lang w:val="en-US" w:eastAsia="en-US" w:bidi="ar-SA"/>
        </w:rPr>
        <w:t>, at 98, where, following a detailed review of the law,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conclude that an expert report from one expert which is sent to another who is going to be called at trial falls within the scope of production established by the weight of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further, at p. 100: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seems logical that if counsel sends the expert information counsel does so because he or she believes this information is relevant to the expert's task. If it is relevant to the task then it seems to me it should be available to counsel who must test the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the result, there will be the following orders:</w:t>
      </w:r>
      <w:r>
        <w:rPr>
          <w:rFonts w:ascii="arial" w:eastAsia="arial" w:hAnsi="arial" w:cs="arial"/>
          <w:sz w:val="20"/>
          <w:lang w:val="en-US" w:eastAsia="en-US" w:bidi="ar-SA"/>
        </w:rPr>
        <w:cr/>
      </w:r>
    </w:p>
    <w:p>
      <w:pPr>
        <w:numPr>
          <w:numId w:val="22"/>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in the first action are entitled to a continuation of the examination for discovery which took place on September 16 and 17, 2001 with respect to such matters as may reasonably arise from the production of the requested information and documents, including subsequently acquired documents obtained from third parties;</w:t>
      </w:r>
    </w:p>
    <w:p>
      <w:pPr>
        <w:numPr>
          <w:numId w:val="22"/>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in the second action is entitled to a full and unfettered examination for discovery with respect to all matters relevant to that action; and,</w:t>
      </w:r>
    </w:p>
    <w:p>
      <w:pPr>
        <w:numPr>
          <w:numId w:val="22"/>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Privilege has been waived with respect to the report of Dr. Janke dated August 2, 2001, and it is to be forthwith delivered to counsel for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defendants will be entitled to one set of costs of this application, at scale 3. Such costs will be payable in any event of the cause at the conclusion of either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BRINE</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1" style="position:absolute;z-index:2518743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78" w:history="1">
        <w:r>
          <w:rPr>
            <w:rFonts w:ascii="arial" w:eastAsia="arial" w:hAnsi="arial" w:cs="arial"/>
            <w:b/>
            <w:bCs/>
            <w:i/>
            <w:color w:val="0077CC"/>
            <w:kern w:val="32"/>
            <w:sz w:val="28"/>
            <w:szCs w:val="32"/>
            <w:u w:val="single"/>
            <w:shd w:val="clear" w:color="auto" w:fill="FFFFFF"/>
            <w:lang w:val="en-US" w:eastAsia="en-US" w:bidi="ar-SA"/>
          </w:rPr>
          <w:t>Vesuna v. British Columbia (Minister of Transportation), [2011] B.C.J. No. 1341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Powell River,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S.A. Griffin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22-25, 28 and March 1-4,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13,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S1992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Powell River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1341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941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 R.P.R. (5th) 114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1867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205 A.C.W.S. (3d) 187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Rumi Vesuna, Plaintiff, and Kevin Falcon (Minister of Transportation of British Columbia), Alec Drysdale, Her Majesty the Queen in Right of the Province of British Columbia, Sea-Mait Investments Ltd., and M.L. &amp; H. Holdings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2"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2" w:name="Keywords_15"/>
      <w:bookmarkEnd w:id="102"/>
      <w:r>
        <w:rPr>
          <w:rFonts w:ascii="arial" w:eastAsia="arial" w:hAnsi="arial" w:cs="arial"/>
          <w:b/>
          <w:color w:val="000000"/>
          <w:sz w:val="20"/>
          <w:lang w:val="en-US" w:eastAsia="en-US" w:bidi="ar-SA"/>
        </w:rPr>
        <w:t xml:space="preserve">Government law — Crown — Actions by and against Crown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by Crown — Action by Vesuna for a declaration that a disputed road was a public road and that the Crown was negligent in approving a subdivision dismissed — In 2005, Vesuna purchased a rural parcel of property that was created through subdivision in 1960 — Vesuna wished to build an access road which would intersect with the disputed road — There was no common law dedication of the disputed road and any Crown expenditures to maintain the road were made pursuant to section 24 of the Forest and Range Practices Act — Furthermore, there was insufficient evidence to establish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Forest and Range Practices Act, s. 24 — Transportation Act, s. 42.</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Transportation law — Motor vehicles and highway traffic — Rules of the road — Highways and roads — Public access — Private roads — Action by Vesuna for a declaration that a disputed road was a public road and that the Crown was negligent in approving a subdivision dismissed — In 2005, Vesuna purchased a rural parcel of property that was created through subdivision in 1960 — Vesuna wished to build an access road which would intersect with the disputed road — There was no common law dedication of the disputed road and any Crown expenditures to maintain the road were made pursuant to section 24 of the Forest and Range Practices Act — Furthermore, there was insufficient evidence to establish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Forest and Range Practices Act, s. 24 — Transportation Act, s. 42.</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3" w:name="Case Summary_12"/>
            <w:bookmarkEnd w:id="10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Vesuna for a declaration that a disputed road was a public road and that the Crown was negligent in approving a subdivision. Vesuna purchased a parcel of approximately 50 acres of land in rural British Columbia in February 2005. The parcel was created through subdivision of a larger piece of property in 1960. There was no road access to the property. Vesuna was shown a road allowance plan by his realtor but prior to his purchase he made no inquiries into the process of building a road on the road allowance. The disputed road was a road or a driveway that intersected with the road allowance. Vesuna submitted that the disputed road was a public road as a result of common law dedication or through the expenditure of public money on it. Vesuna further took the position that the Crown was negligent in approving the subdivision in 1960 as the approved road allowance was impossible to build at its south end.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4" w:name="Holdings of Court_12"/>
            <w:bookmarkEnd w:id="104"/>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 evidence that a skid road which existed prior to the Crown grant of the land was a public road. There was also no evidence that any owner of the property intended to provide public road access through the property. As such, there was no common law dedication of the disputed road. While the Crown paid to maintain the disputed road under a Right of Way Agreement, the Agreement expressly identified the intention not to alter the private nature of the road and the expenditures were made pursuant to section 24 of the Forest and Range Practices Act. Furthermore, the disputed road was not a travelled road as there was no evidence that it had been generally used by the public. Finally, there was insufficient evidence to determine whether a standard of care was breached and it therefore could not be determined that the Crown was negligent in approving the subdivision.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5" w:name="Legislation Cited_11"/>
      <w:bookmarkEnd w:id="10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3" style="position:absolute;z-index:2517258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Fisheries Act, R.S. 1952, c. 119, s. 31, s. 33(2)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Forest Act, </w:t>
      </w:r>
      <w:hyperlink r:id="rId279" w:history="1">
        <w:r>
          <w:rPr>
            <w:rFonts w:ascii="arial" w:eastAsia="arial" w:hAnsi="arial" w:cs="arial"/>
            <w:i/>
            <w:color w:val="0077CC"/>
            <w:sz w:val="20"/>
            <w:u w:val="single"/>
            <w:shd w:val="clear" w:color="auto" w:fill="FFFFFF"/>
            <w:lang w:val="en-US" w:eastAsia="en-US" w:bidi="ar-SA"/>
          </w:rPr>
          <w:t>RSBC 1996, CHAPTER 157, s. 121</w:t>
        </w:r>
      </w:hyperlink>
      <w:r>
        <w:rPr>
          <w:rFonts w:ascii="arial" w:eastAsia="arial" w:hAnsi="arial" w:cs="arial"/>
          <w:color w:val="000000"/>
          <w:sz w:val="20"/>
          <w:lang w:val="en-US" w:eastAsia="en-US" w:bidi="ar-SA"/>
        </w:rPr>
        <w:t>, s. 121(1)(b), s. 121(2), s. 121(4), s. 121(5)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Forest and Range Practices Act, </w:t>
      </w:r>
      <w:hyperlink r:id="rId280" w:history="1">
        <w:r>
          <w:rPr>
            <w:rFonts w:ascii="arial" w:eastAsia="arial" w:hAnsi="arial" w:cs="arial"/>
            <w:i/>
            <w:color w:val="0077CC"/>
            <w:sz w:val="20"/>
            <w:u w:val="single"/>
            <w:shd w:val="clear" w:color="auto" w:fill="FFFFFF"/>
            <w:lang w:val="en-US" w:eastAsia="en-US" w:bidi="ar-SA"/>
          </w:rPr>
          <w:t>SBC 2002, CHAPTER 69, s. 24</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Highway Act, R.S. 1936, c. 116, s. 2, s.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Land Registry Act, S.B.C. 1948, c. 171, s. 86, s. 91, s. 92, s. 95, s. 112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Land Title Act, </w:t>
      </w:r>
      <w:hyperlink r:id="rId281" w:history="1">
        <w:r>
          <w:rPr>
            <w:rFonts w:ascii="arial" w:eastAsia="arial" w:hAnsi="arial" w:cs="arial"/>
            <w:i/>
            <w:color w:val="0077CC"/>
            <w:sz w:val="20"/>
            <w:u w:val="single"/>
            <w:shd w:val="clear" w:color="auto" w:fill="FFFFFF"/>
            <w:lang w:val="en-US" w:eastAsia="en-US" w:bidi="ar-SA"/>
          </w:rPr>
          <w:t>RSBC 1996, CHAPTER 250, s. 218</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Transportation Act, </w:t>
      </w:r>
      <w:hyperlink r:id="rId282" w:history="1">
        <w:r>
          <w:rPr>
            <w:rFonts w:ascii="arial" w:eastAsia="arial" w:hAnsi="arial" w:cs="arial"/>
            <w:i/>
            <w:color w:val="0077CC"/>
            <w:sz w:val="20"/>
            <w:u w:val="single"/>
            <w:shd w:val="clear" w:color="auto" w:fill="FFFFFF"/>
            <w:lang w:val="en-US" w:eastAsia="en-US" w:bidi="ar-SA"/>
          </w:rPr>
          <w:t>SBC 2004, CHAPTER 44, s. 1</w:t>
        </w:r>
      </w:hyperlink>
      <w:r>
        <w:rPr>
          <w:rFonts w:ascii="arial" w:eastAsia="arial" w:hAnsi="arial" w:cs="arial"/>
          <w:color w:val="000000"/>
          <w:sz w:val="20"/>
          <w:lang w:val="en-US" w:eastAsia="en-US" w:bidi="ar-SA"/>
        </w:rPr>
        <w:t>, s. 42, s. 42(1), s. 42(2), s. 57, s. 62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6" w:name="Counsel_15"/>
      <w:bookmarkEnd w:id="10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4" style="position:absolute;z-index:2517770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Rumi Vesuna: Appearing on his own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the Province of British Columbia and Alec Drysdale: Angela F. Davies, Karrie Wolfe.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Sea-Mait Investments and M.L. &amp; H. Holdings Ltd.: Ian Fleming, L. Berezan (A/S).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7" w:name="Judgment_15"/>
      <w:bookmarkEnd w:id="107"/>
      <w:r>
        <w:pict>
          <v:line id="_x0000_s1105" style="position:absolute;z-index:2518282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 #1 - Is the Disputed Road a public or a private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Exemption From a Crown Grant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Common Law Dedication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Was there common law dedication of the Disputed Road on Lot 3836, pre Crown grant?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Was there common law dedication of the Disputed Road on Lot 3836, post Crown grant?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 - Common Law Dedication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Expenditure of Public Money on a Travelled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 - Crown Expenditures on Disputed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 Issue #1 - Is the Disputed Road public or private?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 #2 - Was the Crown negligent in approving the subdivision of predecessor Lot 3504?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 Issue #2 - Was the Crown negligent in approving the subdivision?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Other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Final Conclusions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8" w:name="S.A. GRIFFIN J."/>
            <w:bookmarkEnd w:id="108"/>
            <w:r>
              <w:rPr>
                <w:rFonts w:ascii="arial" w:eastAsia="arial" w:hAnsi="arial" w:cs="arial"/>
                <w:b/>
                <w:color w:val="000000"/>
                <w:sz w:val="30"/>
                <w:lang w:val="en-US" w:eastAsia="en-US" w:bidi="ar-SA"/>
              </w:rPr>
              <w:t>S.A. GRIFFIN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Mr. Rumi Vesuna, purchased property in rural British Columbia in February 2005, which he says is landlocked unless he succeeds in obtaining road access. That is the purpose of his lawsuit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property is a rural parcel of approximately 50 acres, located outside of Powell River, British Columbia, described as District Lot 3504, Group 1, New Westminster District, Except Block A, PID # 005-949-955 ("Lot 3504").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Vesuna purchased the property for $90,000.00. He did so after visiting the property twice on the same day, the first time with a realtor and the second time on his own. To get to the property the realtor and the plaintiff drove off Highway 101, through an open gate and across a road or driveway on the neighbouring property to the east, Lot 3836, and parked. They then walked into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When viewing the property with the realtor, the realtor showed him a plan which indicated an area for a road running from the highway north-south, and bordering the east side of Lot 1, Block A, and then District Lot 3504. It was clear from Mr. Vesuna's visit to the property that the road shown on the plan was not built. For reasons which will become clear later, I will describe this area as the "road allowance".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To assist the mind's eye, the very general relationship between District Lot 3504 (pre-subdivision) and the relevant neighbouring properties is as follows (not precise or to scale):</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06" type="#_x0000_t75" style="width:352.5pt;height:96.75pt">
            <v:imagedata r:id="rId283"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1960 District Lot 3504 was subdivided into a north section, and a south section. The north section is the portion that was purchased by the plaintiff. The south section created by the subdivision was Block A. Later a smaller Lot 1 was subdivided out of Block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Highway 101 is to the south, running partially along the north border of Lot 1521 and the south borders of Lot 1 and Lot 3836.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road allowance on the plan shown to Mr. Vesuna by the realtor was drawn along the east border of what was formerly all of District Lot 3504 (i.e. by then shown as running along the east border of Lot 1, Block A, and then District Lot 3504 to the north). The road allowance was shown as running north-south, and leading down to connect with Highway 101. Jefferd Creek was sketched as running roughly through the area where the road allowance intersects with Highway 101.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Prior to purchasing the property, Mr. Vesuna made no inquiries regarding his right to use the road or driveway that he and the realtor crossed on Lot 3836. He made no inquiries as to the process by which to build a road on the road allowance.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Vesuna has brought this claim against the neighbours to the east of his property, the corporate defendants Sea-Mait Investments Ltd. and M.L. &amp; H. Holdings Ltd., owners of Lot 3836, and against the Provincial Crown and its employee, Mr. Drysdale. He also named the former Transportation Minister of the Provincial Crown as a defendant, Mr. Falcon, but that claim was struck out as a result of a pre-trial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Vesuna asserts a variety of allegations, from which emerge two key issues which I will first address:</w:t>
      </w:r>
      <w:r>
        <w:rPr>
          <w:rFonts w:ascii="arial" w:eastAsia="arial" w:hAnsi="arial" w:cs="arial"/>
          <w:sz w:val="20"/>
          <w:lang w:val="en-US" w:eastAsia="en-US" w:bidi="ar-SA"/>
        </w:rPr>
        <w:cr/>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road or driveway that runs diagonally across the southwest corner of Lot 3836, from the south border of Lot 3836 to the west border of Lot 3836, intersecting with the road allowance, a public or a private road? For ease of reference, I will refer to this as the "Disputed Road";</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Crown negligent in approving the subdivision that led to the creation of the plaintiff's parcel of property in 1960, because it is impossible to build a road on the road allowance?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 #1 - Is the Disputed Road a public or a private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British Columbia Court of Appeal summarized the four ways in which a road can become a public road, in </w:t>
      </w:r>
      <w:r>
        <w:rPr>
          <w:rFonts w:ascii="arial" w:eastAsia="arial" w:hAnsi="arial" w:cs="arial"/>
          <w:i/>
          <w:color w:val="000000"/>
          <w:sz w:val="20"/>
          <w:lang w:val="en-US" w:eastAsia="en-US" w:bidi="ar-SA"/>
        </w:rPr>
        <w:t>Brady v. Zirnhelt</w:t>
      </w:r>
      <w:r>
        <w:rPr>
          <w:rFonts w:ascii="arial" w:eastAsia="arial" w:hAnsi="arial" w:cs="arial"/>
          <w:color w:val="000000"/>
          <w:sz w:val="20"/>
          <w:lang w:val="en-US" w:eastAsia="en-US" w:bidi="ar-SA"/>
        </w:rPr>
        <w:t xml:space="preserve"> </w:t>
      </w:r>
      <w:hyperlink r:id="rId284" w:history="1">
        <w:r>
          <w:rPr>
            <w:rFonts w:ascii="arial" w:eastAsia="arial" w:hAnsi="arial" w:cs="arial"/>
            <w:i/>
            <w:color w:val="0077CC"/>
            <w:sz w:val="20"/>
            <w:u w:val="single"/>
            <w:shd w:val="clear" w:color="auto" w:fill="FFFFFF"/>
            <w:lang w:val="en-US" w:eastAsia="en-US" w:bidi="ar-SA"/>
          </w:rPr>
          <w:t>(1998), 57 B.C.L.R. (3d) 144</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Brady CA</w:t>
      </w:r>
      <w:r>
        <w:rPr>
          <w:rFonts w:ascii="arial" w:eastAsia="arial" w:hAnsi="arial" w:cs="arial"/>
          <w:color w:val="000000"/>
          <w:sz w:val="20"/>
          <w:lang w:val="en-US" w:eastAsia="en-US" w:bidi="ar-SA"/>
        </w:rPr>
        <w:t>] at para. 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highway can come into being in four ways:</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exemption from a Crown grant (now </w:t>
      </w:r>
      <w:r>
        <w:rPr>
          <w:rFonts w:ascii="arial" w:eastAsia="arial" w:hAnsi="arial" w:cs="arial"/>
          <w:i/>
          <w:color w:val="000000"/>
          <w:sz w:val="20"/>
          <w:lang w:val="en-US" w:eastAsia="en-US" w:bidi="ar-SA"/>
        </w:rPr>
        <w:t>Highway Act</w:t>
      </w:r>
      <w:r>
        <w:rPr>
          <w:rFonts w:ascii="arial" w:eastAsia="arial" w:hAnsi="arial" w:cs="arial"/>
          <w:color w:val="000000"/>
          <w:sz w:val="20"/>
          <w:lang w:val="en-US" w:eastAsia="en-US" w:bidi="ar-SA"/>
        </w:rPr>
        <w:t xml:space="preserve">, R.S.B.C. 1996, c. 188, s. 2 and </w:t>
      </w:r>
      <w:r>
        <w:rPr>
          <w:rFonts w:ascii="arial" w:eastAsia="arial" w:hAnsi="arial" w:cs="arial"/>
          <w:i/>
          <w:color w:val="000000"/>
          <w:sz w:val="20"/>
          <w:lang w:val="en-US" w:eastAsia="en-US" w:bidi="ar-SA"/>
        </w:rPr>
        <w:t>Land Act</w:t>
      </w:r>
      <w:r>
        <w:rPr>
          <w:rFonts w:ascii="arial" w:eastAsia="arial" w:hAnsi="arial" w:cs="arial"/>
          <w:color w:val="000000"/>
          <w:sz w:val="20"/>
          <w:lang w:val="en-US" w:eastAsia="en-US" w:bidi="ar-SA"/>
        </w:rPr>
        <w:t xml:space="preserve">, </w:t>
      </w:r>
      <w:hyperlink r:id="rId285" w:history="1">
        <w:r>
          <w:rPr>
            <w:rFonts w:ascii="arial" w:eastAsia="arial" w:hAnsi="arial" w:cs="arial"/>
            <w:i/>
            <w:color w:val="0077CC"/>
            <w:sz w:val="20"/>
            <w:u w:val="single"/>
            <w:shd w:val="clear" w:color="auto" w:fill="FFFFFF"/>
            <w:lang w:val="en-US" w:eastAsia="en-US" w:bidi="ar-SA"/>
          </w:rPr>
          <w:t>R.S.B.C. 1996, c. 245, ss. 13</w:t>
        </w:r>
      </w:hyperlink>
      <w:r>
        <w:rPr>
          <w:rFonts w:ascii="arial" w:eastAsia="arial" w:hAnsi="arial" w:cs="arial"/>
          <w:color w:val="000000"/>
          <w:sz w:val="20"/>
          <w:lang w:val="en-US" w:eastAsia="en-US" w:bidi="ar-SA"/>
        </w:rPr>
        <w:t xml:space="preserve"> and 57);</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expenditure of public money on a travelled road (now </w:t>
      </w:r>
      <w:r>
        <w:rPr>
          <w:rFonts w:ascii="arial" w:eastAsia="arial" w:hAnsi="arial" w:cs="arial"/>
          <w:i/>
          <w:color w:val="000000"/>
          <w:sz w:val="20"/>
          <w:lang w:val="en-US" w:eastAsia="en-US" w:bidi="ar-SA"/>
        </w:rPr>
        <w:t>Highway Act</w:t>
      </w:r>
      <w:r>
        <w:rPr>
          <w:rFonts w:ascii="arial" w:eastAsia="arial" w:hAnsi="arial" w:cs="arial"/>
          <w:color w:val="000000"/>
          <w:sz w:val="20"/>
          <w:lang w:val="en-US" w:eastAsia="en-US" w:bidi="ar-SA"/>
        </w:rPr>
        <w:t xml:space="preserve">, R.S.B.C. 1996, c. 188, s. 4) or entry on lands by the Minister of Highways and Public Works for the purpose of establishing a highway (now </w:t>
      </w:r>
      <w:r>
        <w:rPr>
          <w:rFonts w:ascii="arial" w:eastAsia="arial" w:hAnsi="arial" w:cs="arial"/>
          <w:i/>
          <w:color w:val="000000"/>
          <w:sz w:val="20"/>
          <w:lang w:val="en-US" w:eastAsia="en-US" w:bidi="ar-SA"/>
        </w:rPr>
        <w:t>Highway Act</w:t>
      </w:r>
      <w:r>
        <w:rPr>
          <w:rFonts w:ascii="arial" w:eastAsia="arial" w:hAnsi="arial" w:cs="arial"/>
          <w:color w:val="000000"/>
          <w:sz w:val="20"/>
          <w:lang w:val="en-US" w:eastAsia="en-US" w:bidi="ar-SA"/>
        </w:rPr>
        <w:t>, R.S.B.C. 1996, c. 188, s. 5(1));</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common law dedication of a road by owner, whether a private owner or the Crown;</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dedication by deposit of a subdivision plan showing a portion of the land as a highway (now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R.S.B.C. 1996, c. 250, s. 107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asserts that the first three means of creation of a public road occurred here, making the Disputed Road a public road.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Exemption From a Crown Grant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larger parcel of land that existed before Lot 3504 was created by subdivision in 1960, was described as District Lot 3504. In 1960 this lot was subdivided with the creation of the current Lot 3504 in a northern section of the larger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original unsubdivided District Lot 3504 was first subject to a Crown grant in 1913. More specifically, on January 14, 1913, the Crown granted District Lot 3504 to Joseph Proulx for the sum of $80.00. The Crown grant provided in the last paragraph: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PROVIDED, also, that all travelled streets, roads, trails, and other highways existing over or through said lands at the date hereof shall be excepted from the grant.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attached survey sketch of the Crown grant did not show any roads on it. Furthermore, other than the general language just mentioned, the Crown grant did not expressly exempt any named or described road from the Crown grant.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plaintiff's argument that the Disputed Road was exempted from the Crown grant is really an argument that prior to the Crown grant, a public road was created by common law dedication along the same location as the Disputed Road, over what is now Lot 3836.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focus of this argument then is really on the third way a public road can come into existence, by common law dedication.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Common Law Dedication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Dunstan v. Hell's Gate Enterprises Ltd.</w:t>
      </w:r>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(1987), 20 B.C.L.R. (2d) 29</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Dunstan</w:t>
      </w:r>
      <w:r>
        <w:rPr>
          <w:rFonts w:ascii="arial" w:eastAsia="arial" w:hAnsi="arial" w:cs="arial"/>
          <w:color w:val="000000"/>
          <w:sz w:val="20"/>
          <w:lang w:val="en-US" w:eastAsia="en-US" w:bidi="ar-SA"/>
        </w:rPr>
        <w:t>], the Court noted that there are two requirements to establish common law dedication of a road as a public road (at p. 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Firstly there must be an intention on the part of the owner of the land to dedicate it to the public for the purpose of a highway and, secondly, an acceptance by the public of the road as a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Dunstan</w:t>
      </w:r>
      <w:r>
        <w:rPr>
          <w:rFonts w:ascii="arial" w:eastAsia="arial" w:hAnsi="arial" w:cs="arial"/>
          <w:color w:val="000000"/>
          <w:sz w:val="20"/>
          <w:lang w:val="en-US" w:eastAsia="en-US" w:bidi="ar-SA"/>
        </w:rPr>
        <w:t xml:space="preserve">, the Court of Appeal noted that the standard of proof to establish common law dedication of a road is on a balance of probabilities, which requires, as the trial judge stated, </w:t>
      </w:r>
      <w:hyperlink r:id="rId288" w:history="1">
        <w:r>
          <w:rPr>
            <w:rFonts w:ascii="arial" w:eastAsia="arial" w:hAnsi="arial" w:cs="arial"/>
            <w:i/>
            <w:color w:val="0077CC"/>
            <w:sz w:val="20"/>
            <w:u w:val="single"/>
            <w:shd w:val="clear" w:color="auto" w:fill="FFFFFF"/>
            <w:lang w:val="en-US" w:eastAsia="en-US" w:bidi="ar-SA"/>
          </w:rPr>
          <w:t>[1985] B.C.J. No. 2993</w:t>
        </w:r>
      </w:hyperlink>
      <w:r>
        <w:rPr>
          <w:rFonts w:ascii="arial" w:eastAsia="arial" w:hAnsi="arial" w:cs="arial"/>
          <w:color w:val="000000"/>
          <w:sz w:val="20"/>
          <w:lang w:val="en-US" w:eastAsia="en-US" w:bidi="ar-SA"/>
        </w:rPr>
        <w:t>, "cogent and substantial evidence, that such a highway did, in fact, exist." This standard of proof is required whether or not it is a Crown dedication or a private dedication of a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There are two periods of time to address the question of whether or not the Disputed Road became a public road over Lot 3836 by common law dedication: prior to the Crown grant of Lot 3836; and after the Crown grant of Lot 3836.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Was there common law dedication of the Disputed Road on Lot 3836, pre Crown grant?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Lot 3504 was Crown granted in 1913. The neighbouring property, Lot 3836, was not Crown granted until 1949.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key piece of evidence the plaintiff relies on was found in copies of archival documents that set out an affidavit by Henry Rhodes, a qualified land surveyor for the Province of British Columbia, sworn January 6, 1912. His affidavit states that he conducted a survey of Lot 3504 on December 9-10, 1911. His affidavit attaches his survey notes and drawing.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Henry Rhodes 1911 survey notes and drawing illustrate two short roughly parallel dotted line skid roads crossing from the southwest corner of what became Lot 3836 into Lot 3504 on the eastern boundary of Lot 3504, just east of Jefferd Creek, which runs through Lot 3504. The most southerly of these two skid road markings is noted as being 5.60 chains from the south boundary of the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claims that the southerly skid road marking on Henry Rhodes' survey is in the same location as the Disputed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pause to note that at best the plaintiff's argument can only be that the skid road was located in part of the same location as the Disputed Road. The Disputed Road runs diagonally from the south border of Lot 3836 where it intersects with Highway 101, to the west border of District Lot 3836 (now Lot 1) part way up the road allowance (creating a triangle of the southwest corner of Lot 3836). This is how the plaintiff was able to exit the highway and drive up the Disputed Road to the west boundary of Lot 3836 and the road allowance. However, the skid road drawn on the 1911 survey only runs a short distance from the west boundary of Lot 3836 and does not extend as far as the south boundary of the lot. As drawn, it would not have provided access from what is now Highway 101 to District Lot 3504.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any event, the plaintiff called as a witness Mr. Rick Rae, a qualified B.C. land surveyor. In 1960, a land surveyor who was then a member of Mr. Rae's firm prepared a survey of District Lot 3504 which showed the southeast corner of the lot where it meets Lot 3836. The surveyor who prepared that survey, Mr. Victor Cecchi, has since passed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Rae testified that Mr. Cecchi's survey drawing appeared to have been prepared in accordance with standard survey practice. Mr. Rae has surveyed Lot 3836 and found that the reference points used by Mr. Cecchi along the common boundary of the two lots 3504 and 3836 were correct. Mr. Rae has also done survey work on the northwest corner where Lot 3504 meets Lot 4423, and found that Mr. Cecchi's reference points were also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Cecchi's survey identifies a "logging road" with a gate on it, which is the Disputed Road, running diagonally from Highway 101, at the southern boundary of Lot 3836, across Lot 3836 to the road allowance on the west boundary of Lot 3836, where it borders Lot 3504. Mr. Rae visited the site and checked and confirmed the measurements of the logging road. He concluded that point where the logging road intersected with the road allowance, north of the southeast corner of Lot 3504, was approximately the same distance and location where the southern skid road shown in Henry Rhodes' survey intersected at the same boundary of Lot 3504 and Lot 3836. The location was not exact but was within a couple of metres of Mr. Rhodes' 5.60 chains.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argues that because of the commonality of location, between the skid road shown in 1911, and part of the Disputed Road, one must conclude that the skid road shown prior to the Crown grant of Lot 3504 was a public road, and has existed continuously as a public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 key problem with the plaintiff's argument is that he provided no evidence that would establish that what was shown as a "skid road" in 1911 was a public road at the time of the Crown grant of Lot 3504.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First of all, the fact that the intersection of the skid road with Lot 3504 in the 1911 survey is in the same place as where the Disputed Road meets Lot 3504 in the 1960 survey does not prove that the road was public at the time of the Crown grant. Subsequent use making it public is a different argument, which I will return to, but it does not establish pre-Crown grant public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plaintiff argues that because the skid road was shown as partially on Lot 3504 and what became Lot 3836, before either was Crown granted, it must have been a public road, because you could not have a private road on public land. He argues that "all roads which are not within private lands are </w:t>
      </w:r>
      <w:r>
        <w:rPr>
          <w:rFonts w:ascii="arial" w:eastAsia="arial" w:hAnsi="arial" w:cs="arial"/>
          <w:i/>
          <w:color w:val="000000"/>
          <w:sz w:val="20"/>
          <w:lang w:val="en-US" w:eastAsia="en-US" w:bidi="ar-SA"/>
        </w:rPr>
        <w:t>ipso facto</w:t>
      </w:r>
      <w:r>
        <w:rPr>
          <w:rFonts w:ascii="arial" w:eastAsia="arial" w:hAnsi="arial" w:cs="arial"/>
          <w:color w:val="000000"/>
          <w:sz w:val="20"/>
          <w:lang w:val="en-US" w:eastAsia="en-US" w:bidi="ar-SA"/>
        </w:rPr>
        <w:t xml:space="preserve"> public", to repeat an argument made at trial in </w:t>
      </w:r>
      <w:r>
        <w:rPr>
          <w:rFonts w:ascii="arial" w:eastAsia="arial" w:hAnsi="arial" w:cs="arial"/>
          <w:i/>
          <w:color w:val="000000"/>
          <w:sz w:val="20"/>
          <w:lang w:val="en-US" w:eastAsia="en-US" w:bidi="ar-SA"/>
        </w:rPr>
        <w:t>Brady v. Zirnhelt</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[1996] B.C.J. No. 969</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Brady SC</w:t>
      </w:r>
      <w:r>
        <w:rPr>
          <w:rFonts w:ascii="arial" w:eastAsia="arial" w:hAnsi="arial" w:cs="arial"/>
          <w:color w:val="000000"/>
          <w:sz w:val="20"/>
          <w:lang w:val="en-US" w:eastAsia="en-US" w:bidi="ar-SA"/>
        </w:rPr>
        <w:t>]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Brady SC</w:t>
      </w:r>
      <w:r>
        <w:rPr>
          <w:rFonts w:ascii="arial" w:eastAsia="arial" w:hAnsi="arial" w:cs="arial"/>
          <w:color w:val="000000"/>
          <w:sz w:val="20"/>
          <w:lang w:val="en-US" w:eastAsia="en-US" w:bidi="ar-SA"/>
        </w:rPr>
        <w:t xml:space="preserve">, the trial judge rejected the argument that all roads which are not within private lands are </w:t>
      </w:r>
      <w:r>
        <w:rPr>
          <w:rFonts w:ascii="arial" w:eastAsia="arial" w:hAnsi="arial" w:cs="arial"/>
          <w:i/>
          <w:color w:val="000000"/>
          <w:sz w:val="20"/>
          <w:lang w:val="en-US" w:eastAsia="en-US" w:bidi="ar-SA"/>
        </w:rPr>
        <w:t>ipso facto</w:t>
      </w:r>
      <w:r>
        <w:rPr>
          <w:rFonts w:ascii="arial" w:eastAsia="arial" w:hAnsi="arial" w:cs="arial"/>
          <w:color w:val="000000"/>
          <w:sz w:val="20"/>
          <w:lang w:val="en-US" w:eastAsia="en-US" w:bidi="ar-SA"/>
        </w:rPr>
        <w:t xml:space="preserve"> public and therefore excluded from a later Crown grant. The trial judge held at para. 29, in a passage cited by the Court of Appeal at para. 14 of its decision,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my opinion, as I have already stated, that the Two Mile Road was not used by the public. Plaintiffs' counsel contends that there can be no private road on public lands and that therefore all roads which are not within private lands are </w:t>
      </w:r>
      <w:r>
        <w:rPr>
          <w:rFonts w:ascii="arial" w:eastAsia="arial" w:hAnsi="arial" w:cs="arial"/>
          <w:i/>
          <w:color w:val="000000"/>
          <w:sz w:val="20"/>
          <w:lang w:val="en-US" w:eastAsia="en-US" w:bidi="ar-SA"/>
        </w:rPr>
        <w:t>ipso facto</w:t>
      </w:r>
      <w:r>
        <w:rPr>
          <w:rFonts w:ascii="arial" w:eastAsia="arial" w:hAnsi="arial" w:cs="arial"/>
          <w:color w:val="000000"/>
          <w:sz w:val="20"/>
          <w:lang w:val="en-US" w:eastAsia="en-US" w:bidi="ar-SA"/>
        </w:rPr>
        <w:t xml:space="preserve"> public and therefore excluded from a later Crown grant. I do not accede to that proposition. It seems to me that a road, in order to be exempted, must fit within the definition contained within the </w:t>
      </w:r>
      <w:r>
        <w:rPr>
          <w:rFonts w:ascii="arial" w:eastAsia="arial" w:hAnsi="arial" w:cs="arial"/>
          <w:i/>
          <w:color w:val="000000"/>
          <w:sz w:val="20"/>
          <w:lang w:val="en-US" w:eastAsia="en-US" w:bidi="ar-SA"/>
        </w:rPr>
        <w:t>Highway Act</w:t>
      </w:r>
      <w:r>
        <w:rPr>
          <w:rFonts w:ascii="arial" w:eastAsia="arial" w:hAnsi="arial" w:cs="arial"/>
          <w:color w:val="000000"/>
          <w:sz w:val="20"/>
          <w:lang w:val="en-US" w:eastAsia="en-US" w:bidi="ar-SA"/>
        </w:rPr>
        <w:t xml:space="preserve"> which defines highway as being a public street or road. Thus in order for the Crown grant to exempt a road, it must, in my opinion, be clear that the public used that road at the time when the grant was issued. </w:t>
      </w:r>
      <w:r>
        <w:rPr>
          <w:rFonts w:ascii="arial" w:eastAsia="arial" w:hAnsi="arial" w:cs="arial"/>
          <w:color w:val="000000"/>
          <w:sz w:val="20"/>
          <w:u w:val="single"/>
          <w:lang w:val="en-US" w:eastAsia="en-US" w:bidi="ar-SA"/>
        </w:rPr>
        <w:t xml:space="preserve">I also fail to see what provision in the </w:t>
      </w:r>
      <w:r>
        <w:rPr>
          <w:rFonts w:ascii="arial" w:eastAsia="arial" w:hAnsi="arial" w:cs="arial"/>
          <w:i/>
          <w:color w:val="000000"/>
          <w:sz w:val="20"/>
          <w:u w:val="single"/>
          <w:lang w:val="en-US" w:eastAsia="en-US" w:bidi="ar-SA"/>
        </w:rPr>
        <w:t>Land Act</w:t>
      </w:r>
      <w:r>
        <w:rPr>
          <w:rFonts w:ascii="arial" w:eastAsia="arial" w:hAnsi="arial" w:cs="arial"/>
          <w:color w:val="000000"/>
          <w:sz w:val="20"/>
          <w:u w:val="single"/>
          <w:lang w:val="en-US" w:eastAsia="en-US" w:bidi="ar-SA"/>
        </w:rPr>
        <w:t xml:space="preserve"> or elsewhere prevents a preemptor or lessee of Crown land from constructing a private road on such lands at his own expense and why such a road should become public upon the issuing of a Crown grant. Surely a road built on leased or preempted property does not automatically become a public road pursuant to the </w:t>
      </w:r>
      <w:r>
        <w:rPr>
          <w:rFonts w:ascii="arial" w:eastAsia="arial" w:hAnsi="arial" w:cs="arial"/>
          <w:i/>
          <w:color w:val="000000"/>
          <w:sz w:val="20"/>
          <w:u w:val="single"/>
          <w:lang w:val="en-US" w:eastAsia="en-US" w:bidi="ar-SA"/>
        </w:rPr>
        <w:t>Highway Act</w:t>
      </w:r>
      <w:r>
        <w:rPr>
          <w:rFonts w:ascii="arial" w:eastAsia="arial" w:hAnsi="arial" w:cs="arial"/>
          <w:color w:val="000000"/>
          <w:sz w:val="20"/>
          <w:u w:val="single"/>
          <w:lang w:val="en-US" w:eastAsia="en-US" w:bidi="ar-SA"/>
        </w:rPr>
        <w:t>, unless that road was dedicated by the Crown and accepted as such by the public.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Dunstan et al v. Hells Gate Enterprises et al</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establishes that the standard of proof required to show dedication of private lands also applies to dedication of Crown lands.</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Court of Appeal agreed with the trial judge that there could be a private road established on Crown land, holding, at para.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agree with the trial judge that a pre-emptor might build a road at his own expense that would be private as might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Brady CA</w:t>
      </w:r>
      <w:r>
        <w:rPr>
          <w:rFonts w:ascii="arial" w:eastAsia="arial" w:hAnsi="arial" w:cs="arial"/>
          <w:color w:val="000000"/>
          <w:sz w:val="20"/>
          <w:lang w:val="en-US" w:eastAsia="en-US" w:bidi="ar-SA"/>
        </w:rPr>
        <w:t xml:space="preserve">, the Court of Appeal at para. 15 noted that the trial judge did not mention s. 4 of the </w:t>
      </w:r>
      <w:r>
        <w:rPr>
          <w:rFonts w:ascii="arial" w:eastAsia="arial" w:hAnsi="arial" w:cs="arial"/>
          <w:i/>
          <w:color w:val="000000"/>
          <w:sz w:val="20"/>
          <w:lang w:val="en-US" w:eastAsia="en-US" w:bidi="ar-SA"/>
        </w:rPr>
        <w:t>Highway Act (1936)</w:t>
      </w:r>
      <w:r>
        <w:rPr>
          <w:rFonts w:ascii="arial" w:eastAsia="arial" w:hAnsi="arial" w:cs="arial"/>
          <w:color w:val="000000"/>
          <w:sz w:val="20"/>
          <w:lang w:val="en-US" w:eastAsia="en-US" w:bidi="ar-SA"/>
        </w:rPr>
        <w:t xml:space="preserve"> which provided:</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 roads, other than private roads, shall be deemed common and public highways.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This is the same section of the </w:t>
      </w:r>
      <w:r>
        <w:rPr>
          <w:rFonts w:ascii="arial" w:eastAsia="arial" w:hAnsi="arial" w:cs="arial"/>
          <w:i/>
          <w:color w:val="000000"/>
          <w:sz w:val="20"/>
          <w:lang w:val="en-US" w:eastAsia="en-US" w:bidi="ar-SA"/>
        </w:rPr>
        <w:t>Highway Act</w:t>
      </w:r>
      <w:r>
        <w:rPr>
          <w:rFonts w:ascii="arial" w:eastAsia="arial" w:hAnsi="arial" w:cs="arial"/>
          <w:color w:val="000000"/>
          <w:sz w:val="20"/>
          <w:lang w:val="en-US" w:eastAsia="en-US" w:bidi="ar-SA"/>
        </w:rPr>
        <w:t xml:space="preserve"> that applied when the lot that became Lot 3836 was Crown granted on November 8, 1949.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However, in </w:t>
      </w:r>
      <w:r>
        <w:rPr>
          <w:rFonts w:ascii="arial" w:eastAsia="arial" w:hAnsi="arial" w:cs="arial"/>
          <w:i/>
          <w:color w:val="000000"/>
          <w:sz w:val="20"/>
          <w:lang w:val="en-US" w:eastAsia="en-US" w:bidi="ar-SA"/>
        </w:rPr>
        <w:t>Brady CA</w:t>
      </w:r>
      <w:r>
        <w:rPr>
          <w:rFonts w:ascii="arial" w:eastAsia="arial" w:hAnsi="arial" w:cs="arial"/>
          <w:color w:val="000000"/>
          <w:sz w:val="20"/>
          <w:lang w:val="en-US" w:eastAsia="en-US" w:bidi="ar-SA"/>
        </w:rPr>
        <w:t>, the Court found that the road at issue on this point had been built on public land with public monies by a crew that included not only the private pre-emptor of the lot, but many of the other settlers who benefitted from its construction: at para. 16. The Court continued on, at para.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 do not agree that a government road crew could build a private road in 1938 at public expense over pre-empted Crown land with the active participation of the pre-emptor. </w:t>
      </w:r>
      <w:r>
        <w:rPr>
          <w:rFonts w:ascii="arial" w:eastAsia="arial" w:hAnsi="arial" w:cs="arial"/>
          <w:color w:val="000000"/>
          <w:sz w:val="20"/>
          <w:u w:val="single"/>
          <w:lang w:val="en-US" w:eastAsia="en-US" w:bidi="ar-SA"/>
        </w:rPr>
        <w:t>The road was built not only to benefit the Crown as owner and the pre-emptor, but all those who wished to use the road, including those who used the old west side road to gain access to properties beyond.</w:t>
      </w:r>
      <w:r>
        <w:rPr>
          <w:rFonts w:ascii="arial" w:eastAsia="arial" w:hAnsi="arial" w:cs="arial"/>
          <w:color w:val="000000"/>
          <w:sz w:val="20"/>
          <w:lang w:val="en-US" w:eastAsia="en-US" w:bidi="ar-SA"/>
        </w:rPr>
        <w:t xml:space="preserve"> In my view, the part of Two Mile Road located on Lot 8238 was never a private road within the meaning of s. 4 of the </w:t>
      </w:r>
      <w:r>
        <w:rPr>
          <w:rFonts w:ascii="arial" w:eastAsia="arial" w:hAnsi="arial" w:cs="arial"/>
          <w:i/>
          <w:color w:val="000000"/>
          <w:sz w:val="20"/>
          <w:lang w:val="en-US" w:eastAsia="en-US" w:bidi="ar-SA"/>
        </w:rPr>
        <w:t>Highway Act (1936)</w:t>
      </w:r>
      <w:r>
        <w:rPr>
          <w:rFonts w:ascii="arial" w:eastAsia="arial" w:hAnsi="arial" w:cs="arial"/>
          <w:color w:val="000000"/>
          <w:sz w:val="20"/>
          <w:lang w:val="en-US" w:eastAsia="en-US" w:bidi="ar-SA"/>
        </w:rPr>
        <w:t xml:space="preserve">. Thus, under section 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it was deemed to be a public highway, of which the "soil and freehold" vested in the Crown, if such vesting was required to extinguish any claim by Mr. Kelly as the pre-emptor.</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Brady SC</w:t>
      </w:r>
      <w:r>
        <w:rPr>
          <w:rFonts w:ascii="arial" w:eastAsia="arial" w:hAnsi="arial" w:cs="arial"/>
          <w:color w:val="000000"/>
          <w:sz w:val="20"/>
          <w:lang w:val="en-US" w:eastAsia="en-US" w:bidi="ar-SA"/>
        </w:rPr>
        <w:t>, the trial Court had evidence about how the road was built and for what use and at whose expense. The Court of Appeal emphasized the evidence that the road was built to benefit other users. The Court of Appeal noted that in the absence of evidence of an authorization of public monies to build a private road or of the Crown's intention, the inference that the physical entry of the workmen was for the purpose of making a public road was more reasonable than an inference that the road was private: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contrast, in this case there is no evidence as to what was the basis for the two skid roads noted on Mr. Rhodes' 1911 survey. There was no evidence that the purpose of the skid roads was to provide access to owners of properties beyond.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There was also no evidence as to general practices with respect to skid roads on Crown lands in or around the same period as the Crown grant for Lot 3504. It is possible that skid roads were for the sole purpose of skidding logs harvested from Crown lands, and a private party paid for the use of that Crown land as part of a licence from the Crown. In other words, skid roads could have been for the purpose of facilitating timber harvesting, but that commercial purpose might not have amounted to dedication of the road as a public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There was some evidence called as to more recent practice regarding skid roads. Essentially, a skid road is an area which is only partially cleared and through which felled timber is dragged to take it out of the woods and ultimately to market. The limited evidence at trial suggested that such a road is more aptly described as a rough trail to permit skidding and logging equipment to pass through.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Arthur Lloyd was called as a witness at trial by the plaintiff. He has lived in the Powell River area since he was a child. He is in the logging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At one time, Mr. Lloyd owned, through a company, Lot 3836. He also did selective logging of Lot 3504 on behalf of a previous owner of Lot 3504.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Lloyd explained that a predecessor owner of Lot 3504, before it was subdivided, was Martin Barchuk. He was hired by Mr. Barchuk to do selective logging on the pre-subdivision District Lot 3504. He said there were old skid trails on the property which were mostly overgrown with alder trees, the size of three inch to five inch diameter trunks. To log the wood, they would take a skidder machine and cut through these saplings to get into the woods where they could access the timber they desired. They made these trails wherever it was easiest to get to the timber they wanted to take. After they finished the trails, they would be left where brush would start to grow over them. From his experience, skid trails were not used as roads but were simply there to facilitate wood harvesting.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Another witness called by the plaintiff, Dennis McRae, was a long-time resident who grew up in the area of Powell River. His father was in the logging industry and he recalls going with him along some skid roads. When Mr. McRae was a boy, his father used a tractor to haul logs along skid trails. He said there were a number of skid roads throughout the area. He recalls going on a skid road south of the highway to help with skidding logs down to a body of water which is to the south, known as Thunder Bay.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argued that because the drawing by Henry Rhodes in 1911 showed a skid road intersecting the southwest corner of what became Lot 3836, where it was on the boundary with Lot 3504, and what became Lot 3836 was not yet Crown granted, that meant that at the time of the Crown grant of Lot 3836, there was a public road in that location. I have already addressed the problem with this argument, in that it wrongly asserts that there cannot be a private road on land before it is Crown granted. The mere fact that a skid road was shown does not mean it was a public road. But there is an additional problem with this argument. The problem is that the history of Lot 3836 does not support the inference that there was a historical road on that lot matching the skid roads shown on the 1911 historical survey of Lot 3504, let alone matching the Disputed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As mentioned, Lot 3836 was Crown granted in 1949 to William Stoddart. Prior to that, Mr. Stoddart held a pre-emption over the same property, which he was granted in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first record of a pre-emption for what became Lot 3836 was introduced by the plaintiff at trial as pre-emption record 2256, granted to Martin Stephen on February 13, 1911. It is significant that the sketch of the land attached to that application for a pre-emption record did not show any roads in the area of the now Disputed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historical records for Lot 3836 contain surveyors' notes of the pre-emption for that lot which are similar in form to the survey notes of Henry Rhodes with respect to Lot 3504.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pre-emption record 2256 (Lot 3836) was surveyed in April 1914. The surveyor noted there had been some logging on the property. The surveyor did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note any skid roads on Lot 3836. In the southwest corner of Lot 3836, close to the boundary with Lot 3504, the surveyor sketched out an area as "sandy soil fenced clearing 5 acres". The location of this clearing area on the survey would be roughly in the same area as the skid roads shown on Henry Rhodes' drawing, but no such roads were shown on Lot 3836. In another aspect of the same surveyor's notes, this clearing area was stated to be fenced, containing a house, with five acres slashed, burned, and planted. There was no road shown in the area of the Disputed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notes of the 1914 surveyor, Wallace Earle, regarding Lot 3836 are inconsistent with the plaintiff's submissions that a skid road existed continuously since the time of Henry Rhodes' 1911 survey through to present, and that it was a public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Subsequent to the pre-emption grant, inspectors for the Department of Lands regularly inspected the property identified as pre-emption record 2256 (Lot 3836). These inspection reports contained form boxes where the inspector would note the nature and value of improvements and general comments such as occupation of the property. By and large, these inspection reports, of which there were many, noted a variety of improvements, including cleared land, but no roads were mentioned.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However, in a March 19, 1919 report for pre-emption record 2256, an inspector for the Forest Branch noted the following next to the words on a Forest Branch form "logging possibilities": "ground very tough and broken. Skid road (old) through corner property. Poor timber + limited quantity". The location of the skid road, and in which corner of the property, was not mentioned. It is possible that an attached sketch might have indicated a skid road in roughly the same general area as the Disputed Road. However, no expert in interpreting these documents was called to give evidence as to the meaning of the sketch.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note that the plaintiff did not address the implications of the possibility that a skid road could be grown over, then re-cleared and re-used by someone else under a forest license, then grown over again, then re-cleared and re-used years later by another person pursuant to a forest license. I conceive it is possible that a skid road would be cleared more than once over time, as presumably it would have first been chosen for its accessible topography, and presumably it would also be easier to clear the re-growth over a skid road then to carve out a new skid road through older and thicker growth. But if each time the skid road was used for a commercial purpose only, to access timber pursuant to some kind of license, this would not necessarily amount to dedication by the Crown of the road as a public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Another inspection record for pre-emption record 2256 (Lot 3836), on June 30, 1920, noted under "general remarks": "Road into pre-emption." There was no indication of the location of the road, and whether it was private or public. It could have been a private road or on the north or east side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 placed considerable emphasis on a Forest Branch record dated May 30, 1915. This record attached, at its fourth page, a sketch of land which included but was not limited to Lot 3504 and pre-emption record 2256 (Lot 3836). The plaintiff claims that the attached sketch shows, by way of dotted lines, a road leading from Thunder Bay through the same corner of what is now Lot 3836 in the same location as the Disputed Road, and through the entirety of Lot 3504. The plaintiff insists that this dotted line proves that the Disputed Road was a public road and that it was a main trunk road, with numerous branches off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There are several problems with the plaintiff's interpretation of the May 30, 1915 Forest Branch document. First of all, no witness confirmed the plaintiff's interpretation, or was qualified to do so, although many were invited to speculate that it could indicate a road, a portion of which is in roughly the same area as the Disputed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More importantly, a fair reading of the Forest Branch document of May 30, 1915 shows that it was prepared for an entirely different purpose and was not prepared for the purpose of identifying roads. The plan was prepared as part of a report by the office of a District Forester at Lund, B.C., directed to the Chief Forester at the Forest Branch in Victoria. The purpose of the report was to identify property outlined in yellow on the plan, and to discuss its timber quality and recommendations for settlement. The area which is the focus of the report is outside of the properties which are at issue in this case. The report makes the argument that the area outlined in yellow has poor timber quality and recommends it be surveyed and opened for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While there are dotted lines on the sketch that accompanies the Forest Branch report dated May 30, 1915, the scale of the map is such that it is impossible to say the dotted lines fall in the same place as either skid road shown on Henry Rhodes' survey. Furthermore, the sketch was not an official plan but a sketch for purposes of the application. It is unknown what the dotted lines meant. Even if they did mean to indicate some kind of road, it is unknown whether it was meant to indicate private skid roads for logging purposes only, for which someone had a permit.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complete forestry history of Lot 3504 and Lot 3836 was not in evidence before me. However, by permit granted February 11, 1921, the Forest Branch granted a permit to Martin Stephen, the holder of pre-emption record 2256 over Lot 3836, to authorize him to cut timber on the land, "subject to the payment of royalty".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Stephens was unable to pay his taxes for pre-emption 2256, and so ultimately his record was cancelled on June 20, 1922. William Stoddart was the next pre-emptor who applied for and was granted pre-emption over Lot 3836, obtaining his pre-emption record in September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Inspections of the pre-emption over Lot 3836 continued after Mr. Stoddart became the pre-emption record holder. Although these reports mention various improvements he made to the property, such as "house, root house, chicken house, well, woodshed, picket fence, split rail cedar fence, fruit trees, and cleared acreage", none of them referred to a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land was rugged and wild. In 1949, Mr. Stoddart became ill and moved to Shaughnessy Hospital, and subsequently a veteran's home. The Lands Branch inspector noted "because of lack of care the cleared area is very rapidly reverting" in a report to the Superintendent of Lands dated June 30, 1949. A related inspection report dated June 16, 1949 stated "this pre-emption is reverting very quickly to the wild state" as of June 16, 1949.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Because Mr. Stoddart had made improvements to Lot 3836 for 24 years, the Lands Branch issued him a certificate of improvement. This allowed him to apply for and obtain a Crown grant of Lot 3836, which he obtained on November 8, 1949.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On the 1949 Crown grant to Mr. Stoddart of Lot 3836, there were no express exceptions of any roads. The attached sketch of the property also did not show any roads. The Crown grant did provide, however,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PROVIDED also that all highways, within the meaning of the "Highway Act", existing over or through said lands at the date hereof shall be exempted from this grant.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At the time of the Crown grant to Mr. Stoddart, the </w:t>
      </w:r>
      <w:r>
        <w:rPr>
          <w:rFonts w:ascii="arial" w:eastAsia="arial" w:hAnsi="arial" w:cs="arial"/>
          <w:i/>
          <w:color w:val="000000"/>
          <w:sz w:val="20"/>
          <w:lang w:val="en-US" w:eastAsia="en-US" w:bidi="ar-SA"/>
        </w:rPr>
        <w:t>Highway Act</w:t>
      </w:r>
      <w:r>
        <w:rPr>
          <w:rFonts w:ascii="arial" w:eastAsia="arial" w:hAnsi="arial" w:cs="arial"/>
          <w:color w:val="000000"/>
          <w:sz w:val="20"/>
          <w:lang w:val="en-US" w:eastAsia="en-US" w:bidi="ar-SA"/>
        </w:rPr>
        <w:t>, R.S. 1936, c. 116, s. 2, defined "highway"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"Highway" includes all public streets, roads, ways, trails, lanes, bridges, trestles, ferry landings and approaches, and any other public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Thus, it was essential that any road exempted from the Crown grant had to be a public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As I have mentioned above, the 1911 survey notes of Henry Rhodes do not show the skid road to run continuously from Lot 3504 across the corner of Lot 3836, down to the boundary of Lot 1521 (or present day Highway 101).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While it is likely that some roads in this province that started out as skid roads became cleared more extensively, used over time by the public, and became public roads, that does not mean that every skid road pre-Crown grant became a public road. Yet this is really the effect of the plaintiff's argument, without the evidence to support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Court requires evidence before coming to the conclusion that a skid road shown on pre-Crown grant land is a public road. Given the extensive logging history of this province, concluding that a historical survey showing a skid road is proof that the road is a public road, without more evidence, could adversely affect many private property owners on whose lands were once skid roads.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conclude that there is insufficient evidence for me to find that there was a public road existing across the southwest corner of Lot 3836 into Lot 3504, in the same area as the Disputed Road, at the time of the Crown grant of either lot.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Was there common law dedication of the Disputed Road on Lot 3836, post Crown grant?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question remains whether there was a subsequent common law dedication of the Disputed Road by an owner, after the Crown grant.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Once Lot 3836 became privately owned in 1949, there is no evidence any owner of that property intended to provide public road access through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only witnesses who were called to give evidence about the use of the Disputed Road gave evidence that is more consistent with the succession of owners of Lot 3836 considering the Disputed Road to be their private driveway.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For example, Arthur Lloyd recalls Lot 3836 being owned by a Mr. Henninger whose house was south of Highway 101. Highway 101 intersected the property. Mr. Lloyd testified that the Disputed Road was the access road for Mr. Henninger. Whenever Mr. Lloyd sought to do some logging for the owner of Lot 3504, Mr. Barchuk, Mr. Lloyd sought permission of Mr. Henninger to use the Disputed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Lloyd always considered the Disputed Road to be a private access road. When there was logging on either the Barchuk property or the Henninger property, there was a wire cable wrapped between two trees to block access over the Disputed Road. The evidence of Mr. Lloyd suggests that this wire barrier continued from the time Mr. Henninger owned the property and there was selective logging in or about 1975, through to present, although the wire was ultimately replaced with a steel gate by Mr. Lloyd when he became owner of Lot 3836. That steel gate continues to be in place and is the gate through which the plaintiff accessed Lot 3504 with the realtor, before purchasing Lot 3504.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 argues that there was evidence that the Disputed Road was often used by the public over time. I disagree. The plaintiff's evidence was that an occasional salal picker or mushroom picker used or parked on the Disputed Road. The evidence that this happened was extremely weak, and fell short of establishing that if it did happen, that it was anything more than extremely rare. The greater weight of the evidence was that if anyone sought to use the Disputed Road, they recognized it as a private road and sought and obtained the permission of the owner of Lot 3836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find that the evidence does not establish that any owner of Lot 3836 dedicated the Disputed Road to public 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Conclusion - Common Law Dedication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find that the plaintiff has failed to prove there was a common law dedication of the Disputed Road.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Expenditure of Public Money on a Travelled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 also argues that the Disputed Road became a public road through the expenditure of public money on it. This is based on a statutory provision deeming a travelled road on which public money is spent, to be a public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44</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 defines "highway" in s. 1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"highway" means a public street, road, trail, lane, bridge, trestle, tunnel, ferry landing, ferry approach, any other public way or any other land or improvement that becomes or has become a highway by any of the following:</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deposit of a subdivision, reference or explanatory plan in a land title office under section 107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(b) a public expenditure to which section 42 applies;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common law dedication made by the government or any other person;</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declaration, by notice in the Gazette, made before December 24, 1987;</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case of a road, colouring, outlining or designating the road on a record in such a way that section 13 or 57 of the </w:t>
      </w:r>
      <w:r>
        <w:rPr>
          <w:rFonts w:ascii="arial" w:eastAsia="arial" w:hAnsi="arial" w:cs="arial"/>
          <w:i/>
          <w:color w:val="000000"/>
          <w:sz w:val="20"/>
          <w:lang w:val="en-US" w:eastAsia="en-US" w:bidi="ar-SA"/>
        </w:rPr>
        <w:t>Land Act</w:t>
      </w:r>
      <w:r>
        <w:rPr>
          <w:rFonts w:ascii="arial" w:eastAsia="arial" w:hAnsi="arial" w:cs="arial"/>
          <w:color w:val="000000"/>
          <w:sz w:val="20"/>
          <w:lang w:val="en-US" w:eastAsia="en-US" w:bidi="ar-SA"/>
        </w:rPr>
        <w:t xml:space="preserve"> applies to that road;</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under section 56 (2) of this Act;</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prescribed means;</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Section 42 of the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42 (1) Subject to subsection (2), if public money is spent on a travelled road that is not a highway, the travelled road is deemed and declared to be a highway.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Subsection (1) does not apply to any road or class of roads, or to any expenditure or class of expenditures, that is prescribed by the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defendants did not advance any evidence or argument in support of an exemption from the application of s. 42 (1) by virtue of subsection (2), that is, a class of road or expenditure "prescribed by the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plaintiff argues that in 2006 and following, the provincial Crown paid the corporate defendants monies in order to ensure Crown agents could access the Disputed Road, and paid public monies to maintain the Disputed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In support of this argument, the plaintiff relies on an Industrial Roads Right of Way Agreement registered pursuant to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250</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LTA</w:t>
      </w:r>
      <w:r>
        <w:rPr>
          <w:rFonts w:ascii="arial" w:eastAsia="arial" w:hAnsi="arial" w:cs="arial"/>
          <w:color w:val="000000"/>
          <w:sz w:val="20"/>
          <w:lang w:val="en-US" w:eastAsia="en-US" w:bidi="ar-SA"/>
        </w:rPr>
        <w:t>] on June 23, 2006 (the "Right of Way Agreement"). The Right of Way Agreement is between the corporate defendants and the provincial Crown, represented by the Minister of Forests and Range, care of the Ministry of Forests. By the terms of this agreement, the corporate defendants granted the Forest Service a right of way over the roads existing on Lot 3836, and to construct certain works on, over and under the lands subject to the agreement, all as necessary for "the operation and maintenance of an undertaking of the Forest Service". It appears therefore that the Disputed Road falls within the scope of this Right of Way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plaintiff also relies on a consulting and general service contract between the same provincial Crown entity and the corporate defendants. The project name on the contract is "Road Maintenance Agreement - Jefferd Creek" (the "Road Maintenance Agreement"). The contract confirms that the services purchased under the contract were being purchased with Crown funds. The contract was described as an addendum to the primary Right of Way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Road Maintenance Agreement provided, at Schedule A, that:</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an addendum to the primary Right of Way access agreement (copy attached), the supplier will provide certain road maintenance items as described below.</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land owner will maintain in good order and in compliance with the Ministry of Transportation requirements, a junction permit at Highway 101.</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gate installed near the junction will be properly signed, and keys required to access the area will be supplied to the Ministry of Forests.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landowner will ensure that all legal access requirements by the Ministry of Transportation (MoT) to enter onto the un-built, but gazetted, highway located immediately adjacent to the westerly boundary of District Lot 3836, have been met. The landowner will also ensure that if required to vacate the area in trespass by MoT, will promptly reconstruct a new access road entirely on their own property at their cost.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landowner will periodically inspect the standing timber adjacent to the road identified in the access agreement, and remove any hazardous or dangerous trees in compliance with Worksafe B.C. requirements.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landowner will periodically inspect drainage structures along the roadway and maintain structures at their cost unless damaged by actions of the Ministry of Forests or its contractors or licensee's.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contract price for the Road Maintenance Agreement was an all inclusive flat rate of $3,500.00 per year. Invoices obtained by the plaintiff through the discovery process show that the contract was renewed for the same $3,500.00 annual fee through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reference in the Road Maintenance Agreement to the "un-built, but gazetted, highway" was a reference to the road allowance. It appears that the landowner was responsible to see that any use of the road allowance complied with any legal requirements of the Ministry of Transportation.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defendants did not call any witnesses to testify. The plaintiff did not call witnesses to establish that the road maintenance referred to in the Road Maintenance Agreement was in part in reference to the Disputed Road. However, it is likely that it was: the reference to the gate at the junction with Highway 101 was likely the gate that was on the Disputed Road, as the only access to the road allowance from the Highway is via the Disputed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It is therefore likely that public monies were expended on the Disputed Road. As noted, the plaintiff suggests that these public expenditures, contemporaneous with the Disputed Road's use, trigger the application of s. 42 (1) of the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 thereby deeming the Disputed Road to be a public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corporate defendants argue that the use of the Disputed Road by the Crown and the Crown payment to use and maintain it, under the Right of Way Agreement and Road Maintenance Agreement, is not be sufficient to make their private road a public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In this regard they rely on a statutory exemption from the application of s. 42 of the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 xml:space="preserve">, namely s. 24 of the </w:t>
      </w:r>
      <w:r>
        <w:rPr>
          <w:rFonts w:ascii="arial" w:eastAsia="arial" w:hAnsi="arial" w:cs="arial"/>
          <w:i/>
          <w:color w:val="000000"/>
          <w:sz w:val="20"/>
          <w:lang w:val="en-US" w:eastAsia="en-US" w:bidi="ar-SA"/>
        </w:rPr>
        <w:t>Forest and Range Practices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69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Forest and Range Practices Act</w:t>
      </w:r>
      <w:r>
        <w:rPr>
          <w:rFonts w:ascii="arial" w:eastAsia="arial" w:hAnsi="arial" w:cs="arial"/>
          <w:color w:val="000000"/>
          <w:sz w:val="20"/>
          <w:lang w:val="en-US" w:eastAsia="en-US" w:bidi="ar-SA"/>
        </w:rPr>
        <w:t>], which provides:</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Despite section 42 of the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 xml:space="preserve">, a road constructed or maintained under this Act, the </w:t>
      </w:r>
      <w:r>
        <w:rPr>
          <w:rFonts w:ascii="arial" w:eastAsia="arial" w:hAnsi="arial" w:cs="arial"/>
          <w:i/>
          <w:color w:val="000000"/>
          <w:sz w:val="20"/>
          <w:lang w:val="en-US" w:eastAsia="en-US" w:bidi="ar-SA"/>
        </w:rPr>
        <w:t>Forest Act</w:t>
      </w:r>
      <w:r>
        <w:rPr>
          <w:rFonts w:ascii="arial" w:eastAsia="arial" w:hAnsi="arial" w:cs="arial"/>
          <w:color w:val="000000"/>
          <w:sz w:val="20"/>
          <w:lang w:val="en-US" w:eastAsia="en-US" w:bidi="ar-SA"/>
        </w:rPr>
        <w:t xml:space="preserve">, the former Act as defined in section 1 of the </w:t>
      </w:r>
      <w:r>
        <w:rPr>
          <w:rFonts w:ascii="arial" w:eastAsia="arial" w:hAnsi="arial" w:cs="arial"/>
          <w:i/>
          <w:color w:val="000000"/>
          <w:sz w:val="20"/>
          <w:lang w:val="en-US" w:eastAsia="en-US" w:bidi="ar-SA"/>
        </w:rPr>
        <w:t>Forest Act</w:t>
      </w:r>
      <w:r>
        <w:rPr>
          <w:rFonts w:ascii="arial" w:eastAsia="arial" w:hAnsi="arial" w:cs="arial"/>
          <w:color w:val="000000"/>
          <w:sz w:val="20"/>
          <w:lang w:val="en-US" w:eastAsia="en-US" w:bidi="ar-SA"/>
        </w:rPr>
        <w:t xml:space="preserve"> or the </w:t>
      </w:r>
      <w:r>
        <w:rPr>
          <w:rFonts w:ascii="arial" w:eastAsia="arial" w:hAnsi="arial" w:cs="arial"/>
          <w:i/>
          <w:color w:val="000000"/>
          <w:sz w:val="20"/>
          <w:lang w:val="en-US" w:eastAsia="en-US" w:bidi="ar-SA"/>
        </w:rPr>
        <w:t>Forest Practices Code of British Columbia Act</w:t>
      </w:r>
      <w:r>
        <w:rPr>
          <w:rFonts w:ascii="arial" w:eastAsia="arial" w:hAnsi="arial" w:cs="arial"/>
          <w:color w:val="000000"/>
          <w:sz w:val="20"/>
          <w:lang w:val="en-US" w:eastAsia="en-US" w:bidi="ar-SA"/>
        </w:rPr>
        <w:t xml:space="preserve"> is not a public highway unless the Lieutenant Governor in Council declares it to be by an order in council that he or she may make under this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Pursuant to s. 24 of the </w:t>
      </w:r>
      <w:r>
        <w:rPr>
          <w:rFonts w:ascii="arial" w:eastAsia="arial" w:hAnsi="arial" w:cs="arial"/>
          <w:i/>
          <w:color w:val="000000"/>
          <w:sz w:val="20"/>
          <w:lang w:val="en-US" w:eastAsia="en-US" w:bidi="ar-SA"/>
        </w:rPr>
        <w:t>Forest and Range Practices Act</w:t>
      </w:r>
      <w:r>
        <w:rPr>
          <w:rFonts w:ascii="arial" w:eastAsia="arial" w:hAnsi="arial" w:cs="arial"/>
          <w:color w:val="000000"/>
          <w:sz w:val="20"/>
          <w:lang w:val="en-US" w:eastAsia="en-US" w:bidi="ar-SA"/>
        </w:rPr>
        <w:t>, if the Disputed Road is constructed or maintained under that Act, or any of the other named Acts, then the Disputed Road is not a public highway, absent an order in council to the contrary. There is no evidence of any order in council declaring the Disputed Road to be a public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 question then becomes: is the Disputed Road a road constructed or maintained under an Act listed in s. 24 of the </w:t>
      </w:r>
      <w:r>
        <w:rPr>
          <w:rFonts w:ascii="arial" w:eastAsia="arial" w:hAnsi="arial" w:cs="arial"/>
          <w:i/>
          <w:color w:val="000000"/>
          <w:sz w:val="20"/>
          <w:lang w:val="en-US" w:eastAsia="en-US" w:bidi="ar-SA"/>
        </w:rPr>
        <w:t>Forest and Range Practices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Right of Way Agreement makes clear its purpose at clause 1, namely, that it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for the purpose of transporting logs from forest tenures and for all purposes necessarily ancillary to the harvesting of logs from forest tenures (but not for the purpose of parking vehicles or placing any vehicle or equipment so as to block any cross-road, driveway or entrance or exit ramp).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[and] access to the quarry located in the northwest corner of the right of way area for the purpose of extracting gravel and rock for the use in building new roads.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It is important to note that the Right of Way Agreement affirms that the roads at issue are private roads owned by the corporate defendants. Clause B in the preamble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The Grantor [the corporate defendants] owns private industrial roads constructed on a portion of the Lands [Lot 3836].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The Grantor has agreed to grant to the Forest Service on the terms and conditions set out in this Agreement a statutory right-of-way pursuant to Section 218 of the Land Title Act (the "right-of-way") over the roads which exist within the Lands at the date of this Agreement and to construct certain works on, over and under portions of the Lands.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The right-of-way is necessary for the operation and maintenance of an undertaking of the Forest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Right of Way Agreement expressly provides at clause 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Should any of the existing roads within the said right-of-way become a Forest Service Road by acquisition under Section 121 of the </w:t>
      </w:r>
      <w:r>
        <w:rPr>
          <w:rFonts w:ascii="arial" w:eastAsia="arial" w:hAnsi="arial" w:cs="arial"/>
          <w:i/>
          <w:color w:val="000000"/>
          <w:sz w:val="20"/>
          <w:lang w:val="en-US" w:eastAsia="en-US" w:bidi="ar-SA"/>
        </w:rPr>
        <w:t>Forest 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Forest Service will not use the foregoing expenditures for the purposes of claiming the existing road through the Lands as a public or Forest Service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Section 121 of the </w:t>
      </w:r>
      <w:r>
        <w:rPr>
          <w:rFonts w:ascii="arial" w:eastAsia="arial" w:hAnsi="arial" w:cs="arial"/>
          <w:i/>
          <w:color w:val="000000"/>
          <w:sz w:val="20"/>
          <w:lang w:val="en-US" w:eastAsia="en-US" w:bidi="ar-SA"/>
        </w:rPr>
        <w:t>Forest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157</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Forest Act</w:t>
      </w:r>
      <w:r>
        <w:rPr>
          <w:rFonts w:ascii="arial" w:eastAsia="arial" w:hAnsi="arial" w:cs="arial"/>
          <w:color w:val="000000"/>
          <w:sz w:val="20"/>
          <w:lang w:val="en-US" w:eastAsia="en-US" w:bidi="ar-SA"/>
        </w:rPr>
        <w:t>] gives the Crown the option of temporarily using private roads, or acquiring them, for certain purposes. It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121 (1) </w:t>
      </w:r>
      <w:r>
        <w:rPr>
          <w:rFonts w:ascii="arial" w:eastAsia="arial" w:hAnsi="arial" w:cs="arial"/>
          <w:color w:val="000000"/>
          <w:sz w:val="20"/>
          <w:u w:val="single"/>
          <w:lang w:val="en-US" w:eastAsia="en-US" w:bidi="ar-SA"/>
        </w:rPr>
        <w:t>The minister, for the purpose of providing access to timber or for any other purpose consistent with this Act</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Forest and Range Practices Act</w:t>
      </w:r>
      <w:r>
        <w:rPr>
          <w:rFonts w:ascii="arial" w:eastAsia="arial" w:hAnsi="arial" w:cs="arial"/>
          <w:color w:val="000000"/>
          <w:sz w:val="20"/>
          <w:lang w:val="en-US" w:eastAsia="en-US" w:bidi="ar-SA"/>
        </w:rPr>
        <w:t xml:space="preserve"> or the </w:t>
      </w:r>
      <w:r>
        <w:rPr>
          <w:rFonts w:ascii="arial" w:eastAsia="arial" w:hAnsi="arial" w:cs="arial"/>
          <w:i/>
          <w:color w:val="000000"/>
          <w:sz w:val="20"/>
          <w:lang w:val="en-US" w:eastAsia="en-US" w:bidi="ar-SA"/>
        </w:rPr>
        <w:t>Wildfire Act</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may</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construct and maintain roads and trails,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enter on and take possession of private land, and of roads and trails on private land,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enter on private land and take from it timber, stones, gravel, sand, clay or other materials for the purpose of constructing roads and trails,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(d) construct, take possession of and use temporarily roads for the purposes of paragraph (c),</w:t>
      </w:r>
      <w:r>
        <w:rPr>
          <w:rFonts w:ascii="arial" w:eastAsia="arial" w:hAnsi="arial" w:cs="arial"/>
          <w:color w:val="000000"/>
          <w:sz w:val="20"/>
          <w:lang w:val="en-US" w:eastAsia="en-US" w:bidi="ar-SA"/>
        </w:rPr>
        <w:t xml:space="preserve"> and</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enter on private land and construct and maintain on it drains to carry water from a road.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private land is taken under subsection (1) (b) and, as a result of the taking, the total area in the original grant of the private land from the government or Her Majesty in right of Canada, that is taken by the government</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[Repealed 2004-44-105.]</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this Act since the date of the original grant from the government or Her Majesty in right of Canada, exceeds 5% of the total area in the original grant, the government must pay compensation in respect of the area exceeding 5%.</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since the date of the government grant, private land taken under subsection (1) has been subdivided into 2 or more parcels by a registered conveyance or subdivision plan,</w:t>
      </w:r>
    </w:p>
    <w:p>
      <w:pPr>
        <w:numPr>
          <w:numId w:val="18"/>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area of a parcel that may be taken without compensation must not exceed 5% of the area of the parcel, and</w:t>
      </w:r>
    </w:p>
    <w:p>
      <w:pPr>
        <w:numPr>
          <w:numId w:val="18"/>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total area to be taken without compensation must be apportioned among all parcels, portions of which are taken at the same time, in proportion to the area taken from each.</w:t>
      </w:r>
    </w:p>
    <w:p>
      <w:pPr>
        <w:numPr>
          <w:numId w:val="1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government must pay compensation in respect of improvements on all private land taken under subsection (1).</w:t>
      </w:r>
    </w:p>
    <w:p>
      <w:pPr>
        <w:numPr>
          <w:numId w:val="1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land is expropriated under subsection (1), the </w:t>
      </w:r>
      <w:r>
        <w:rPr>
          <w:rFonts w:ascii="arial" w:eastAsia="arial" w:hAnsi="arial" w:cs="arial"/>
          <w:i/>
          <w:color w:val="000000"/>
          <w:sz w:val="20"/>
          <w:lang w:val="en-US" w:eastAsia="en-US" w:bidi="ar-SA"/>
        </w:rPr>
        <w:t>Expropriation Act</w:t>
      </w:r>
      <w:r>
        <w:rPr>
          <w:rFonts w:ascii="arial" w:eastAsia="arial" w:hAnsi="arial" w:cs="arial"/>
          <w:color w:val="000000"/>
          <w:sz w:val="20"/>
          <w:lang w:val="en-US" w:eastAsia="en-US" w:bidi="ar-SA"/>
        </w:rPr>
        <w:t xml:space="preserve"> applies.</w:t>
      </w:r>
    </w:p>
    <w:p>
      <w:pPr>
        <w:numPr>
          <w:numId w:val="1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[Repealed 2004-44-105.]</w:t>
      </w:r>
    </w:p>
    <w:p>
      <w:pPr>
        <w:numPr>
          <w:numId w:val="1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minister may designate employees of the ministry of the minister responsible for the administration of this Act who may prepare explanatory plans for the purposes of</w:t>
      </w:r>
    </w:p>
    <w:p>
      <w:pPr>
        <w:numPr>
          <w:numId w:val="20"/>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permitting persons to dedicate a forest service road to the government if</w:t>
      </w:r>
    </w:p>
    <w:p>
      <w:pPr>
        <w:numPr>
          <w:numId w:val="21"/>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consideration for the dedication has been agreed on, or</w:t>
      </w:r>
    </w:p>
    <w:p>
      <w:pPr>
        <w:numPr>
          <w:numId w:val="22"/>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agreement under section 3 (1) of the </w:t>
      </w:r>
      <w:r>
        <w:rPr>
          <w:rFonts w:ascii="arial" w:eastAsia="arial" w:hAnsi="arial" w:cs="arial"/>
          <w:i/>
          <w:color w:val="000000"/>
          <w:sz w:val="20"/>
          <w:lang w:val="en-US" w:eastAsia="en-US" w:bidi="ar-SA"/>
        </w:rPr>
        <w:t>Expropriation Act</w:t>
      </w:r>
      <w:r>
        <w:rPr>
          <w:rFonts w:ascii="arial" w:eastAsia="arial" w:hAnsi="arial" w:cs="arial"/>
          <w:color w:val="000000"/>
          <w:sz w:val="20"/>
          <w:lang w:val="en-US" w:eastAsia="en-US" w:bidi="ar-SA"/>
        </w:rPr>
        <w:t xml:space="preserve"> has been made, or</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sections 5 (5) and 6 (4) (b) of the </w:t>
      </w:r>
      <w:r>
        <w:rPr>
          <w:rFonts w:ascii="arial" w:eastAsia="arial" w:hAnsi="arial" w:cs="arial"/>
          <w:i/>
          <w:color w:val="000000"/>
          <w:sz w:val="20"/>
          <w:lang w:val="en-US" w:eastAsia="en-US" w:bidi="ar-SA"/>
        </w:rPr>
        <w:t>Expropriation Act</w:t>
      </w:r>
      <w:r>
        <w:rPr>
          <w:rFonts w:ascii="arial" w:eastAsia="arial" w:hAnsi="arial" w:cs="arial"/>
          <w:color w:val="000000"/>
          <w:sz w:val="20"/>
          <w:lang w:val="en-US" w:eastAsia="en-US" w:bidi="ar-SA"/>
        </w:rPr>
        <w:t>.</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person agrees to dedicate a forest service road to the government and has</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agreed to the consideration for the dedication, or</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entered into an agreement under section 3 (1) of the </w:t>
      </w:r>
      <w:r>
        <w:rPr>
          <w:rFonts w:ascii="arial" w:eastAsia="arial" w:hAnsi="arial" w:cs="arial"/>
          <w:i/>
          <w:color w:val="000000"/>
          <w:sz w:val="20"/>
          <w:lang w:val="en-US" w:eastAsia="en-US" w:bidi="ar-SA"/>
        </w:rPr>
        <w:t>Expropriation 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explanatory plan prepared by a person designated under subsection (7) may be filed in the land title office, and section 107 (1) (c) and (d) and (3)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applies.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The parties to the Right of Way Agreement clearly had s. 121 of the </w:t>
      </w:r>
      <w:r>
        <w:rPr>
          <w:rFonts w:ascii="arial" w:eastAsia="arial" w:hAnsi="arial" w:cs="arial"/>
          <w:i/>
          <w:color w:val="000000"/>
          <w:sz w:val="20"/>
          <w:lang w:val="en-US" w:eastAsia="en-US" w:bidi="ar-SA"/>
        </w:rPr>
        <w:t>Forest Act</w:t>
      </w:r>
      <w:r>
        <w:rPr>
          <w:rFonts w:ascii="arial" w:eastAsia="arial" w:hAnsi="arial" w:cs="arial"/>
          <w:color w:val="000000"/>
          <w:sz w:val="20"/>
          <w:lang w:val="en-US" w:eastAsia="en-US" w:bidi="ar-SA"/>
        </w:rPr>
        <w:t xml:space="preserve"> in mind, expressly referring to it and expressly identifying that their intention was not to alter the private nature of the road which was the subject of that agreement and the Road Maintenance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As was noted above, the Right of Way Agreement provides access to the grantee Ministry to enter the defendant's land in order to take from it timber, gravel, and the like. Section 121 of the </w:t>
      </w:r>
      <w:r>
        <w:rPr>
          <w:rFonts w:ascii="arial" w:eastAsia="arial" w:hAnsi="arial" w:cs="arial"/>
          <w:i/>
          <w:color w:val="000000"/>
          <w:sz w:val="20"/>
          <w:lang w:val="en-US" w:eastAsia="en-US" w:bidi="ar-SA"/>
        </w:rPr>
        <w:t>Forest Act</w:t>
      </w:r>
      <w:r>
        <w:rPr>
          <w:rFonts w:ascii="arial" w:eastAsia="arial" w:hAnsi="arial" w:cs="arial"/>
          <w:color w:val="000000"/>
          <w:sz w:val="20"/>
          <w:lang w:val="en-US" w:eastAsia="en-US" w:bidi="ar-SA"/>
        </w:rPr>
        <w:t xml:space="preserve"> grants authority for the temporary use of roads for the purpose of entering private land to effect the taking of timber and gravel, and other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The meaning of clause 2 of the Right of Way Agreement, set out above, seems clear. The parties agreed that if the Crown was to in the future "take" possession of any part of the lands, pursuant to s. 121(1)(b) of the </w:t>
      </w:r>
      <w:r>
        <w:rPr>
          <w:rFonts w:ascii="arial" w:eastAsia="arial" w:hAnsi="arial" w:cs="arial"/>
          <w:i/>
          <w:color w:val="000000"/>
          <w:sz w:val="20"/>
          <w:lang w:val="en-US" w:eastAsia="en-US" w:bidi="ar-SA"/>
        </w:rPr>
        <w:t>Forest Act</w:t>
      </w:r>
      <w:r>
        <w:rPr>
          <w:rFonts w:ascii="arial" w:eastAsia="arial" w:hAnsi="arial" w:cs="arial"/>
          <w:color w:val="000000"/>
          <w:sz w:val="20"/>
          <w:lang w:val="en-US" w:eastAsia="en-US" w:bidi="ar-SA"/>
        </w:rPr>
        <w:t xml:space="preserve">, that the Crown expenditures for temporary use of the roads would not constitute payments for the purpose of just compensation or for the purpose of claiming the road as public. In other words, if the Crown did in the future acquire the property, it would have to pay additional compensation for this in accordance with s. 121(2) or (4) and (5) of the </w:t>
      </w:r>
      <w:r>
        <w:rPr>
          <w:rFonts w:ascii="arial" w:eastAsia="arial" w:hAnsi="arial" w:cs="arial"/>
          <w:i/>
          <w:color w:val="000000"/>
          <w:sz w:val="20"/>
          <w:lang w:val="en-US" w:eastAsia="en-US" w:bidi="ar-SA"/>
        </w:rPr>
        <w:t>Forest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I find the purpose of the Right of Way Agreement and Road Maintenance Agreement to be consistent with s. 121 of the </w:t>
      </w:r>
      <w:r>
        <w:rPr>
          <w:rFonts w:ascii="arial" w:eastAsia="arial" w:hAnsi="arial" w:cs="arial"/>
          <w:i/>
          <w:color w:val="000000"/>
          <w:sz w:val="20"/>
          <w:lang w:val="en-US" w:eastAsia="en-US" w:bidi="ar-SA"/>
        </w:rPr>
        <w:t>Forest Act</w:t>
      </w:r>
      <w:r>
        <w:rPr>
          <w:rFonts w:ascii="arial" w:eastAsia="arial" w:hAnsi="arial" w:cs="arial"/>
          <w:color w:val="000000"/>
          <w:sz w:val="20"/>
          <w:lang w:val="en-US" w:eastAsia="en-US" w:bidi="ar-SA"/>
        </w:rPr>
        <w:t xml:space="preserve">. As such, any related expenditures by the Crown for construction or maintenance of the Disputed Road were pursuant to s. 121 of the </w:t>
      </w:r>
      <w:r>
        <w:rPr>
          <w:rFonts w:ascii="arial" w:eastAsia="arial" w:hAnsi="arial" w:cs="arial"/>
          <w:i/>
          <w:color w:val="000000"/>
          <w:sz w:val="20"/>
          <w:lang w:val="en-US" w:eastAsia="en-US" w:bidi="ar-SA"/>
        </w:rPr>
        <w:t>Forest Act</w:t>
      </w:r>
      <w:r>
        <w:rPr>
          <w:rFonts w:ascii="arial" w:eastAsia="arial" w:hAnsi="arial" w:cs="arial"/>
          <w:color w:val="000000"/>
          <w:sz w:val="20"/>
          <w:lang w:val="en-US" w:eastAsia="en-US" w:bidi="ar-SA"/>
        </w:rPr>
        <w:t xml:space="preserve">, and therefore, by virtue of s. 24 of the </w:t>
      </w:r>
      <w:r>
        <w:rPr>
          <w:rFonts w:ascii="arial" w:eastAsia="arial" w:hAnsi="arial" w:cs="arial"/>
          <w:i/>
          <w:color w:val="000000"/>
          <w:sz w:val="20"/>
          <w:lang w:val="en-US" w:eastAsia="en-US" w:bidi="ar-SA"/>
        </w:rPr>
        <w:t>Forest and Range Practices Act</w:t>
      </w:r>
      <w:r>
        <w:rPr>
          <w:rFonts w:ascii="arial" w:eastAsia="arial" w:hAnsi="arial" w:cs="arial"/>
          <w:color w:val="000000"/>
          <w:sz w:val="20"/>
          <w:lang w:val="en-US" w:eastAsia="en-US" w:bidi="ar-SA"/>
        </w:rPr>
        <w:t xml:space="preserve">, they are exempt from the operation of s. 42 of the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 xml:space="preserve">. This means that s. 42 of the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 xml:space="preserve"> does not apply to these expenditures and the Disputed Road is therefore not deemed a public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 also observe that s. 218 of the </w:t>
      </w:r>
      <w:r>
        <w:rPr>
          <w:rFonts w:ascii="arial" w:eastAsia="arial" w:hAnsi="arial" w:cs="arial"/>
          <w:i/>
          <w:color w:val="000000"/>
          <w:sz w:val="20"/>
          <w:lang w:val="en-US" w:eastAsia="en-US" w:bidi="ar-SA"/>
        </w:rPr>
        <w:t>LTA</w:t>
      </w:r>
      <w:r>
        <w:rPr>
          <w:rFonts w:ascii="arial" w:eastAsia="arial" w:hAnsi="arial" w:cs="arial"/>
          <w:color w:val="000000"/>
          <w:sz w:val="20"/>
          <w:lang w:val="en-US" w:eastAsia="en-US" w:bidi="ar-SA"/>
        </w:rPr>
        <w:t xml:space="preserve"> provides that the registration of an instrument granting a right of way constitutes a charge on the land in favour of the grantee and confers on the grantee the right to use the land charge in accordance with the terms of the instrument. Nothing in the </w:t>
      </w:r>
      <w:r>
        <w:rPr>
          <w:rFonts w:ascii="arial" w:eastAsia="arial" w:hAnsi="arial" w:cs="arial"/>
          <w:i/>
          <w:color w:val="000000"/>
          <w:sz w:val="20"/>
          <w:lang w:val="en-US" w:eastAsia="en-US" w:bidi="ar-SA"/>
        </w:rPr>
        <w:t>LTA</w:t>
      </w:r>
      <w:r>
        <w:rPr>
          <w:rFonts w:ascii="arial" w:eastAsia="arial" w:hAnsi="arial" w:cs="arial"/>
          <w:color w:val="000000"/>
          <w:sz w:val="20"/>
          <w:lang w:val="en-US" w:eastAsia="en-US" w:bidi="ar-SA"/>
        </w:rPr>
        <w:t xml:space="preserve"> suggests that such a right of way, if paid for by the Crown, creates a public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addition, there are other arguments against the Disputed Road being deemed to be a public road by virtue of the expenditure of public monies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Section 42 (1) of the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 xml:space="preserve"> also requires that the Disputed Road be a "travelled road" during the time expenditures were made. That s. 42 (1) has two components, both that it be "travelled" and that public money be expended on it, was recognized by the Court of Appeal in </w:t>
      </w:r>
      <w:r>
        <w:rPr>
          <w:rFonts w:ascii="arial" w:eastAsia="arial" w:hAnsi="arial" w:cs="arial"/>
          <w:i/>
          <w:color w:val="000000"/>
          <w:sz w:val="20"/>
          <w:lang w:val="en-US" w:eastAsia="en-US" w:bidi="ar-SA"/>
        </w:rPr>
        <w:t>Dunstan</w:t>
      </w:r>
      <w:r>
        <w:rPr>
          <w:rFonts w:ascii="arial" w:eastAsia="arial" w:hAnsi="arial" w:cs="arial"/>
          <w:color w:val="000000"/>
          <w:sz w:val="20"/>
          <w:lang w:val="en-US" w:eastAsia="en-US" w:bidi="ar-SA"/>
        </w:rPr>
        <w:t xml:space="preserve">, as well as in </w:t>
      </w:r>
      <w:r>
        <w:rPr>
          <w:rFonts w:ascii="arial" w:eastAsia="arial" w:hAnsi="arial" w:cs="arial"/>
          <w:i/>
          <w:color w:val="000000"/>
          <w:sz w:val="20"/>
          <w:lang w:val="en-US" w:eastAsia="en-US" w:bidi="ar-SA"/>
        </w:rPr>
        <w:t>Silvern Estates Ltd. v. British Columbia</w:t>
      </w:r>
      <w:r>
        <w:rPr>
          <w:rFonts w:ascii="arial" w:eastAsia="arial" w:hAnsi="arial" w:cs="arial"/>
          <w:color w:val="000000"/>
          <w:sz w:val="20"/>
          <w:lang w:val="en-US" w:eastAsia="en-US" w:bidi="ar-SA"/>
        </w:rPr>
        <w:t xml:space="preserve">, </w:t>
      </w:r>
      <w:hyperlink r:id="rId290" w:history="1">
        <w:r>
          <w:rPr>
            <w:rFonts w:ascii="arial" w:eastAsia="arial" w:hAnsi="arial" w:cs="arial"/>
            <w:i/>
            <w:color w:val="0077CC"/>
            <w:sz w:val="20"/>
            <w:u w:val="single"/>
            <w:shd w:val="clear" w:color="auto" w:fill="FFFFFF"/>
            <w:lang w:val="en-US" w:eastAsia="en-US" w:bidi="ar-SA"/>
          </w:rPr>
          <w:t>2007 BCCA 284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Silvern Estates</w:t>
      </w:r>
      <w:r>
        <w:rPr>
          <w:rFonts w:ascii="arial" w:eastAsia="arial" w:hAnsi="arial" w:cs="arial"/>
          <w:color w:val="000000"/>
          <w:sz w:val="20"/>
          <w:lang w:val="en-US" w:eastAsia="en-US" w:bidi="ar-SA"/>
        </w:rPr>
        <w:t>], dealing with the predecessor to s.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There appears to be little authority on the meaning of "travelled road" in the context of s. 42 of the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 However, the case law there is suggests that the meaning requires the route in question to have had some substantive public use, something more than occasional or rare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Whistler Service Park Ltd. v. Normway Industries Ltd.</w:t>
      </w:r>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(1988), 48 D.L.R. (4th) 160</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Whistler</w:t>
      </w:r>
      <w:r>
        <w:rPr>
          <w:rFonts w:ascii="arial" w:eastAsia="arial" w:hAnsi="arial" w:cs="arial"/>
          <w:color w:val="000000"/>
          <w:sz w:val="20"/>
          <w:lang w:val="en-US" w:eastAsia="en-US" w:bidi="ar-SA"/>
        </w:rPr>
        <w:t xml:space="preserve">], aff'd </w:t>
      </w:r>
      <w:hyperlink r:id="rId292" w:history="1">
        <w:r>
          <w:rPr>
            <w:rFonts w:ascii="arial" w:eastAsia="arial" w:hAnsi="arial" w:cs="arial"/>
            <w:i/>
            <w:color w:val="0077CC"/>
            <w:sz w:val="20"/>
            <w:u w:val="single"/>
            <w:shd w:val="clear" w:color="auto" w:fill="FFFFFF"/>
            <w:lang w:val="en-US" w:eastAsia="en-US" w:bidi="ar-SA"/>
          </w:rPr>
          <w:t>(1990), 69 D.L.R. (4th) 150</w:t>
        </w:r>
      </w:hyperlink>
      <w:r>
        <w:rPr>
          <w:rFonts w:ascii="arial" w:eastAsia="arial" w:hAnsi="arial" w:cs="arial"/>
          <w:color w:val="000000"/>
          <w:sz w:val="20"/>
          <w:lang w:val="en-US" w:eastAsia="en-US" w:bidi="ar-SA"/>
        </w:rPr>
        <w:t xml:space="preserve"> (C.A.), at issue was whether or not a logging road had become a public highway under s. 4 of the </w:t>
      </w:r>
      <w:r>
        <w:rPr>
          <w:rFonts w:ascii="arial" w:eastAsia="arial" w:hAnsi="arial" w:cs="arial"/>
          <w:i/>
          <w:color w:val="000000"/>
          <w:sz w:val="20"/>
          <w:lang w:val="en-US" w:eastAsia="en-US" w:bidi="ar-SA"/>
        </w:rPr>
        <w:t>Highway Act</w:t>
      </w:r>
      <w:r>
        <w:rPr>
          <w:rFonts w:ascii="arial" w:eastAsia="arial" w:hAnsi="arial" w:cs="arial"/>
          <w:color w:val="000000"/>
          <w:sz w:val="20"/>
          <w:lang w:val="en-US" w:eastAsia="en-US" w:bidi="ar-SA"/>
        </w:rPr>
        <w:t xml:space="preserve">. The evidence in </w:t>
      </w:r>
      <w:r>
        <w:rPr>
          <w:rFonts w:ascii="arial" w:eastAsia="arial" w:hAnsi="arial" w:cs="arial"/>
          <w:i/>
          <w:color w:val="000000"/>
          <w:sz w:val="20"/>
          <w:lang w:val="en-US" w:eastAsia="en-US" w:bidi="ar-SA"/>
        </w:rPr>
        <w:t>Whistler</w:t>
      </w:r>
      <w:r>
        <w:rPr>
          <w:rFonts w:ascii="arial" w:eastAsia="arial" w:hAnsi="arial" w:cs="arial"/>
          <w:color w:val="000000"/>
          <w:sz w:val="20"/>
          <w:lang w:val="en-US" w:eastAsia="en-US" w:bidi="ar-SA"/>
        </w:rPr>
        <w:t xml:space="preserve"> demonstrated that the road was, at various times, consistently used by the public, including locals, fishermen, 4 x 4 tourists, and sightseers, with traffic increasing over the years, and then was used as a detour during separate but proximate highway construction. The road was therefore found to be "travelled" within the meaning of s. 4 of the </w:t>
      </w:r>
      <w:r>
        <w:rPr>
          <w:rFonts w:ascii="arial" w:eastAsia="arial" w:hAnsi="arial" w:cs="arial"/>
          <w:i/>
          <w:color w:val="000000"/>
          <w:sz w:val="20"/>
          <w:lang w:val="en-US" w:eastAsia="en-US" w:bidi="ar-SA"/>
        </w:rPr>
        <w:t>Highway Act</w:t>
      </w:r>
      <w:r>
        <w:rPr>
          <w:rFonts w:ascii="arial" w:eastAsia="arial" w:hAnsi="arial" w:cs="arial"/>
          <w:color w:val="000000"/>
          <w:sz w:val="20"/>
          <w:lang w:val="en-US" w:eastAsia="en-US" w:bidi="ar-SA"/>
        </w:rPr>
        <w:t xml:space="preserve"> (a predecessor section to s. 42 of the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 xml:space="preserve">). To this end, the words of Macdonald J. in </w:t>
      </w:r>
      <w:r>
        <w:rPr>
          <w:rFonts w:ascii="arial" w:eastAsia="arial" w:hAnsi="arial" w:cs="arial"/>
          <w:i/>
          <w:color w:val="000000"/>
          <w:sz w:val="20"/>
          <w:lang w:val="en-US" w:eastAsia="en-US" w:bidi="ar-SA"/>
        </w:rPr>
        <w:t>Whistler</w:t>
      </w:r>
      <w:r>
        <w:rPr>
          <w:rFonts w:ascii="arial" w:eastAsia="arial" w:hAnsi="arial" w:cs="arial"/>
          <w:color w:val="000000"/>
          <w:sz w:val="20"/>
          <w:lang w:val="en-US" w:eastAsia="en-US" w:bidi="ar-SA"/>
        </w:rPr>
        <w:t>, at 165, are apt: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if an owner stands by and watches </w:t>
      </w:r>
      <w:r>
        <w:rPr>
          <w:rFonts w:ascii="arial" w:eastAsia="arial" w:hAnsi="arial" w:cs="arial"/>
          <w:color w:val="000000"/>
          <w:sz w:val="20"/>
          <w:u w:val="single"/>
          <w:lang w:val="en-US" w:eastAsia="en-US" w:bidi="ar-SA"/>
        </w:rPr>
        <w:t>the public travel</w:t>
      </w:r>
      <w:r>
        <w:rPr>
          <w:rFonts w:ascii="arial" w:eastAsia="arial" w:hAnsi="arial" w:cs="arial"/>
          <w:color w:val="000000"/>
          <w:sz w:val="20"/>
          <w:lang w:val="en-US" w:eastAsia="en-US" w:bidi="ar-SA"/>
        </w:rPr>
        <w:t xml:space="preserve"> along a road on his lands, and permits public expenditure thereon in a </w:t>
      </w:r>
      <w:r>
        <w:rPr>
          <w:rFonts w:ascii="arial" w:eastAsia="arial" w:hAnsi="arial" w:cs="arial"/>
          <w:color w:val="000000"/>
          <w:sz w:val="20"/>
          <w:u w:val="single"/>
          <w:lang w:val="en-US" w:eastAsia="en-US" w:bidi="ar-SA"/>
        </w:rPr>
        <w:t>significant amount</w:t>
      </w:r>
      <w:r>
        <w:rPr>
          <w:rFonts w:ascii="arial" w:eastAsia="arial" w:hAnsi="arial" w:cs="arial"/>
          <w:color w:val="000000"/>
          <w:sz w:val="20"/>
          <w:lang w:val="en-US" w:eastAsia="en-US" w:bidi="ar-SA"/>
        </w:rPr>
        <w:t xml:space="preserve">, s. 4 will apply. The </w:t>
      </w:r>
      <w:r>
        <w:rPr>
          <w:rFonts w:ascii="arial" w:eastAsia="arial" w:hAnsi="arial" w:cs="arial"/>
          <w:color w:val="000000"/>
          <w:sz w:val="20"/>
          <w:u w:val="single"/>
          <w:lang w:val="en-US" w:eastAsia="en-US" w:bidi="ar-SA"/>
        </w:rPr>
        <w:t>greater the benefit</w:t>
      </w:r>
      <w:r>
        <w:rPr>
          <w:rFonts w:ascii="arial" w:eastAsia="arial" w:hAnsi="arial" w:cs="arial"/>
          <w:color w:val="000000"/>
          <w:sz w:val="20"/>
          <w:lang w:val="en-US" w:eastAsia="en-US" w:bidi="ar-SA"/>
        </w:rPr>
        <w:t xml:space="preserve"> that results to the owner, the more likely it will be that s. 4 will be invoked.</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Silvern Estates</w:t>
      </w:r>
      <w:r>
        <w:rPr>
          <w:rFonts w:ascii="arial" w:eastAsia="arial" w:hAnsi="arial" w:cs="arial"/>
          <w:color w:val="000000"/>
          <w:sz w:val="20"/>
          <w:lang w:val="en-US" w:eastAsia="en-US" w:bidi="ar-SA"/>
        </w:rPr>
        <w:t xml:space="preserve"> the Court of Appeal noted that there was "ample evidence" to show that the road was travelled, not only for commercial purposes for access for mining interests, but also by the general public and tourists. In part the Court of Appeal gave weight to affidavit evidence of elderly residents of the area, who deposed that they had driven the road often, including in the 1930's and 1940's, for picking raspberries and skiing, and that it was a well-gravelled and maintained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Dunstan</w:t>
      </w:r>
      <w:r>
        <w:rPr>
          <w:rFonts w:ascii="arial" w:eastAsia="arial" w:hAnsi="arial" w:cs="arial"/>
          <w:color w:val="000000"/>
          <w:sz w:val="20"/>
          <w:lang w:val="en-US" w:eastAsia="en-US" w:bidi="ar-SA"/>
        </w:rPr>
        <w:t>, the Court of Appeal noted a distinction between a road and a trail. The Court overturned a finding of the trial judge that found the road to be a public highway. The Court of Appeal acknowledged the evidence that some public money had been expended on the road, and that it had been used by the public, but found that the route in question was a "trail" and not a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In contrast to the </w:t>
      </w:r>
      <w:r>
        <w:rPr>
          <w:rFonts w:ascii="arial" w:eastAsia="arial" w:hAnsi="arial" w:cs="arial"/>
          <w:i/>
          <w:color w:val="000000"/>
          <w:sz w:val="20"/>
          <w:lang w:val="en-US" w:eastAsia="en-US" w:bidi="ar-SA"/>
        </w:rPr>
        <w:t>Whistler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Silvern Estates</w:t>
      </w:r>
      <w:r>
        <w:rPr>
          <w:rFonts w:ascii="arial" w:eastAsia="arial" w:hAnsi="arial" w:cs="arial"/>
          <w:color w:val="000000"/>
          <w:sz w:val="20"/>
          <w:lang w:val="en-US" w:eastAsia="en-US" w:bidi="ar-SA"/>
        </w:rPr>
        <w:t xml:space="preserve"> cases, here the only parties with a right to travel the road were the private owner, people granted permission by the private owner, and the Crown (and its employees or agents). There was no evidence from local residents of the area sufficient to establish that the Disputed Road was travelled, or used, by the general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It was clear by the terms of the Right of Way Agreement that the Crown considered that the road remained a private road, and not open to public use. The access to the Disputed Road was gated and locked. Also, the annual fees associated with the Right of Way Agreement were nominal and not of great benefit to the owner. In light of these circumstances, I find that the Crown's use of the Disputed Road did not result in the road being "travelled" within the intended meaning of s. 42 (1) of the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Another argument militating against the Disputed Road being a public road are the very terms of the Right of Way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The question raised by the terms of the Right of Way Agreement is whether the Crown may contract out of the operation of s. 42(1) of the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 and do so on behalf of all members of the public if the Crown is the only party using the road, other than the private owner? Surely that must be the case, as otherwise it would do an injustice to the private owner, who thought they were entering into a limited agreement with the Crown but would end up losing a portion of their property to the public for all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Returning to </w:t>
      </w:r>
      <w:r>
        <w:rPr>
          <w:rFonts w:ascii="arial" w:eastAsia="arial" w:hAnsi="arial" w:cs="arial"/>
          <w:i/>
          <w:color w:val="000000"/>
          <w:sz w:val="20"/>
          <w:lang w:val="en-US" w:eastAsia="en-US" w:bidi="ar-SA"/>
        </w:rPr>
        <w:t>Whistler Service Park Ltd. v. Normway Industries Ltd.</w:t>
      </w:r>
      <w:r>
        <w:rPr>
          <w:rFonts w:ascii="arial" w:eastAsia="arial" w:hAnsi="arial" w:cs="arial"/>
          <w:color w:val="000000"/>
          <w:sz w:val="20"/>
          <w:lang w:val="en-US" w:eastAsia="en-US" w:bidi="ar-SA"/>
        </w:rPr>
        <w:t xml:space="preserve"> </w:t>
      </w:r>
      <w:hyperlink r:id="rId292" w:history="1">
        <w:r>
          <w:rPr>
            <w:rFonts w:ascii="arial" w:eastAsia="arial" w:hAnsi="arial" w:cs="arial"/>
            <w:i/>
            <w:color w:val="0077CC"/>
            <w:sz w:val="20"/>
            <w:u w:val="single"/>
            <w:shd w:val="clear" w:color="auto" w:fill="FFFFFF"/>
            <w:lang w:val="en-US" w:eastAsia="en-US" w:bidi="ar-SA"/>
          </w:rPr>
          <w:t>(1990), 69 D.L.R. (4th) 150</w:t>
        </w:r>
      </w:hyperlink>
      <w:r>
        <w:rPr>
          <w:rFonts w:ascii="arial" w:eastAsia="arial" w:hAnsi="arial" w:cs="arial"/>
          <w:color w:val="000000"/>
          <w:sz w:val="20"/>
          <w:lang w:val="en-US" w:eastAsia="en-US" w:bidi="ar-SA"/>
        </w:rPr>
        <w:t xml:space="preserve"> (B.C.C.A.), the Court of Appeal upheld the trial judge's findings that a road was a "travelled road" and that public monies had been expended on it, thereby making it a public road pursuant to the then applicable s. 4 of the </w:t>
      </w:r>
      <w:r>
        <w:rPr>
          <w:rFonts w:ascii="arial" w:eastAsia="arial" w:hAnsi="arial" w:cs="arial"/>
          <w:i/>
          <w:color w:val="000000"/>
          <w:sz w:val="20"/>
          <w:lang w:val="en-US" w:eastAsia="en-US" w:bidi="ar-SA"/>
        </w:rPr>
        <w:t>Highway Act</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obiter</w:t>
      </w:r>
      <w:r>
        <w:rPr>
          <w:rFonts w:ascii="arial" w:eastAsia="arial" w:hAnsi="arial" w:cs="arial"/>
          <w:color w:val="000000"/>
          <w:sz w:val="20"/>
          <w:lang w:val="en-US" w:eastAsia="en-US" w:bidi="ar-SA"/>
        </w:rPr>
        <w:t xml:space="preserve">, the Court left open the possibility that a private owner might be able to expressly contract with the Crown to permit expenditures to be made on a private road without bringing the statutory deeming provision into effect. This was </w:t>
      </w:r>
      <w:r>
        <w:rPr>
          <w:rFonts w:ascii="arial" w:eastAsia="arial" w:hAnsi="arial" w:cs="arial"/>
          <w:i/>
          <w:color w:val="000000"/>
          <w:sz w:val="20"/>
          <w:lang w:val="en-US" w:eastAsia="en-US" w:bidi="ar-SA"/>
        </w:rPr>
        <w:t>obiter</w:t>
      </w:r>
      <w:r>
        <w:rPr>
          <w:rFonts w:ascii="arial" w:eastAsia="arial" w:hAnsi="arial" w:cs="arial"/>
          <w:color w:val="000000"/>
          <w:sz w:val="20"/>
          <w:lang w:val="en-US" w:eastAsia="en-US" w:bidi="ar-SA"/>
        </w:rPr>
        <w:t xml:space="preserve"> because no such contract was found by the trial judge, but the Court of Appeal was sufficiently concerned to make note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In the case at bar, there is a contract demonstrating an intention as between the Crown and corporate defendants to keep the road private. Failure to give effect to such intention would tread closely to sanctioning an expropriation without compensation. I find that the effect of the Right of Way Agreement is to acknowledge that the Crown use of the private road does not, in and of itself, make the road a "travelled road" for the purposes of s. 42(1) of the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Conclusion - Crown Expenditures on Disputed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On the whole of the evidence, I find that any expenditures on the Disputed Road by the Crown were pursuant to s. 24 of the </w:t>
      </w:r>
      <w:r>
        <w:rPr>
          <w:rFonts w:ascii="arial" w:eastAsia="arial" w:hAnsi="arial" w:cs="arial"/>
          <w:i/>
          <w:color w:val="000000"/>
          <w:sz w:val="20"/>
          <w:lang w:val="en-US" w:eastAsia="en-US" w:bidi="ar-SA"/>
        </w:rPr>
        <w:t>Forest and Range Practices Act</w:t>
      </w:r>
      <w:r>
        <w:rPr>
          <w:rFonts w:ascii="arial" w:eastAsia="arial" w:hAnsi="arial" w:cs="arial"/>
          <w:color w:val="000000"/>
          <w:sz w:val="20"/>
          <w:lang w:val="en-US" w:eastAsia="en-US" w:bidi="ar-SA"/>
        </w:rPr>
        <w:t xml:space="preserve">, and that therefore s. 42(1) of the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 xml:space="preserve"> does not apply to deem the road a public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Further, in the circumstances of this case, where the Crown has expressly agreed with the private property owner that its expenditures and use do not transform an otherwise private road into a public highway, and where there is no evidence that the road has been generally used by the public, I find that the Disputed Road is not a "travelled road" pursuant to s. 42(1) of the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 and so that section does not apply to deem the road a public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 Issue #1 - Is the Disputed Road public or private?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burden of proof is on the plaintiff to prove that the Disputed Road crossing the southwest corner of Lot 3836 and intersecting with the road allowance bordering Lot 3504 is a public road. I conclude that he has not met this burden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 #2 - Was the Crown negligent in approving the subdivision of predecessor Lot 3504?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The property purchased by the plaintiff in February 2005 is a north section of what was a larger lot prior to 1960. In 1960, the predecessor Lot 3504 was subdivided into two parcels. This subdivision was created by approval of the Approving Officer under the then </w:t>
      </w:r>
      <w:r>
        <w:rPr>
          <w:rFonts w:ascii="arial" w:eastAsia="arial" w:hAnsi="arial" w:cs="arial"/>
          <w:i/>
          <w:color w:val="000000"/>
          <w:sz w:val="20"/>
          <w:lang w:val="en-US" w:eastAsia="en-US" w:bidi="ar-SA"/>
        </w:rPr>
        <w:t>Land Registry Act</w:t>
      </w:r>
      <w:r>
        <w:rPr>
          <w:rFonts w:ascii="arial" w:eastAsia="arial" w:hAnsi="arial" w:cs="arial"/>
          <w:color w:val="000000"/>
          <w:sz w:val="20"/>
          <w:lang w:val="en-US" w:eastAsia="en-US" w:bidi="ar-SA"/>
        </w:rPr>
        <w:t>, S.B.C. 1948, c. 171 [</w:t>
      </w:r>
      <w:r>
        <w:rPr>
          <w:rFonts w:ascii="arial" w:eastAsia="arial" w:hAnsi="arial" w:cs="arial"/>
          <w:i/>
          <w:color w:val="000000"/>
          <w:sz w:val="20"/>
          <w:lang w:val="en-US" w:eastAsia="en-US" w:bidi="ar-SA"/>
        </w:rPr>
        <w:t>Land Registry Act</w:t>
      </w:r>
      <w:r>
        <w:rPr>
          <w:rFonts w:ascii="arial" w:eastAsia="arial" w:hAnsi="arial" w:cs="arial"/>
          <w:color w:val="000000"/>
          <w:sz w:val="20"/>
          <w:lang w:val="en-US" w:eastAsia="en-US" w:bidi="ar-SA"/>
        </w:rPr>
        <w:t>] on October 28, 1960, as identified in the subdivision plan no. 6468 deposited in the Land Title Office on December 2, 1960. It is not disputed that the Approving Officer was a representative of the defendant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plaintiff claims that the Crown was negligent in approving the subdivision plan of Lot 3504. His theory is that the approved road allowance was impossible to build at its south end where it was shown as intersecting with Highway 101, and therefore the subdivision plan should not have been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owner who applied for the subdivision was Martin Barchuk. He presumably agreed to dedicate on the subdivision plan a road allowance shown on the plan running from Highway 101 along the east boundary of the southern portion of Lot 3504 (which became Block A). This was the road access dedicated to provide access to the remainder of Lot 3504.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As I have noted earlier, a further subdivision in 1961 carved a Lot 1 out of the southeast corner of Block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The parties do not dispute that by virtue of its dedication on a subdivision plan, the road allowance shown on the plan is a public highway, title to which is vested in the Province: s. 112, </w:t>
      </w:r>
      <w:r>
        <w:rPr>
          <w:rFonts w:ascii="arial" w:eastAsia="arial" w:hAnsi="arial" w:cs="arial"/>
          <w:i/>
          <w:color w:val="000000"/>
          <w:sz w:val="20"/>
          <w:lang w:val="en-US" w:eastAsia="en-US" w:bidi="ar-SA"/>
        </w:rPr>
        <w:t>Land Registry Act</w:t>
      </w:r>
      <w:r>
        <w:rPr>
          <w:rFonts w:ascii="arial" w:eastAsia="arial" w:hAnsi="arial" w:cs="arial"/>
          <w:color w:val="000000"/>
          <w:sz w:val="20"/>
          <w:lang w:val="en-US" w:eastAsia="en-US" w:bidi="ar-SA"/>
        </w:rPr>
        <w:t xml:space="preserve">; s. 57,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No road has ever been fully constructed on the road allowance. A person must not cause anything to be constructed on a provincial public highway unless the person is authorized to do so: s. 62,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subdivision plan 6468 was not seen by the plaintiff prior to his purchase of the property. The realtor, Mr. McLeod, did show him a survey prepared in 1996 "showing boundary staking and flagging for Bowen Contracting" which showed the same road allowance as in the subdivision plan. The Bowen Contracting survey did not indicate whether or not the road was built on the road allowance. However, when he went to the property it would have been clear to the plaintiff that the road shown on the road allowance was not built.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Bowen Contracting survey notes in the southeast corner of Block A, where the road allowance meets Highway 101, that the road allowance intersects with the centre line of a creek. The plaintiff did not investigate this prior to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creek is a reference to Jefferd Creek, which runs through Block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Before and after Lot 3504 was subdivided by Martin Barchuk, Mr. Barchuk was able to access the west side of the lot by a driveway on the west of Jefferd Creek. Once the lot was subdivided, apparently that driveway did not provide access to the northern piece of the property which was purchased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After the plaintiff purchased the property in February 2005, he did not visit it until January 2006. When he showed up at the property in January 2006, he found the gate locked across the Disputed Road. He subsequently tried to obtain permission of the owners of Lot 3836, the corporate defendants, to use the Disputed Road, seeking that they grant him an easement, but they did not agree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By letter dated February 10, 2006, the plaintiff wrote to Mr. Robert White of the Ministry of Transportation in Powell River, stating that he would be constructing a gravel road on the road allowance. His letter did not seek permission but requested that if there was any objection to provide it to him in writing at an address in Calgary.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Ministry of Transportation subsequently sent to the plaintiff an application form for an access permit, by cover letter dated February 23, 2006. The plaintiff filled out the permit application and returned it to the Ministry of Transportation, dating it March 7, 2006. Again, he showed his mailing address as in Calgary. The plaintiff did not provide any particulars, plan, or specifications with his application, although he says that he was told he did not need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By letter dated May 18, 2006, Mr. Tyler Lambert of the Ministry of Transportation wrote to the plaintiff and advised him that his application for an access permit had been refused. The letter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Your application is refused on the grounds that sufficient access cannot be constructed as proposed due to the presence of a fish-bearing stream in the right-of-way. Constructing this access would put you in direct contravention of Department of Fisheries and Oceans rules and regulations regarding placement of roads/driveways adjacent to fish-bearing watercourses.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 best option for access to DL3504 is to negotiate an agreement with the owner of DL3836 to allow access through that property to your own. Should DL 3836 subdivide, additional right of way will be acquired to allow for access that will not be in conflict with the stream.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plaintiff considered the refusal of the application for an access permit to be an admission by the Province that it had originally erred in approving the subdivision plan. He began a campaign to have the Province take responsibility for this error and resolve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By letter dated June 15, 2006, the plaintiff wrote to his MLA, Mr. Nicholas Simons, asserting: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is extremely unfair that the Ministry of Transportation has refused my application to construct the road in order that I may have road access to my property. </w:t>
      </w:r>
      <w:r>
        <w:rPr>
          <w:rFonts w:ascii="arial" w:eastAsia="arial" w:hAnsi="arial" w:cs="arial"/>
          <w:color w:val="000000"/>
          <w:sz w:val="20"/>
          <w:u w:val="single"/>
          <w:lang w:val="en-US" w:eastAsia="en-US" w:bidi="ar-SA"/>
        </w:rPr>
        <w:t>Particularly since it was an error of the Ministry of Transportation in approving and designating a Gazetted Road that crossed Jefferd Creek.</w:t>
      </w:r>
    </w:p>
    <w:p>
      <w:pPr>
        <w:spacing w:before="120"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As an aside, the road allowance was referred to by the plaintiff and in some of the documents as a gazetted road. However, at the time the road allowance was approved as part of the subdivision, it was not necessary to publish the dedication of the road in the gazette. Technically, it is not a gazetted road, but it is an approved dedicated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plaintiff's June 15, 2006 letter to his MLA asserted the basis for his conclusion that the Ministry of Transportation had erred in approving the road allowance: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Had the personnel from the Dept of Transportation visited the site of the Gazetted road, or studied the area drawings at the planing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and approval stage, it would have been obvious that the Gazetted road should never have been permitted and approved in its present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plaintiff's letter was forwarded to the Minister of Transportation, who was at that time Mr. Kevin Falcon. Mr. Simons' forwarding letter dated July 19, 2006, identified that the plaintiff "claims that an error was made on the part of your Ministry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Minister of Transportation, Mr. Falcon, responded by letter dated September 6, 2006 to the plaintiff.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advised that, while we are unsure as to how the road right-of-way came to occupy the same land as the creek, it would be extremely difficult to build a road such as you requested, even if Fisheries and Oceans Canada would permit it. We do intend to secure a right-of-way from district lot 3836 if and when it subdivides, with the intention of providing access to your property and others located in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plaintiff asserts that Mr. Falcon's September 6, 2006 letter was an admission that the Ministry of Transportation erred in approving the subdivision plan. Furthermore, he asserts that Mr. Falcon's letter admits two errors by the Ministry of Transportation: first, in approving the road allowance over a creek; and second, in approving the road allowance in an area that is so steep that it would be impossible to use it to access the highway without creating a danger to the safety of the public travelling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With respect, I do not read any admissions in the letter from the Minister of Transportation. The Minister of Transportation at best was attempting to acknowledge a problem and, without assigning responsibility or liability for the problem, wished to propose a potential 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September 6, 2006 letter from Mr. Falcon went on to suggest that if the plaintiff was interested in negotiating a land swap with the neighbouring lot, Lot 3836, for an equal sized strip of Crown land, that the plaintiff begin by contacting the Integrated Land Management Bureau (ILMB). The letter suggested that the plaintiff also contact a Mr. Lambert to ensure that the swapped land would be appropriate for constructing a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notion of a land swap was first mentioned in the plaintiff's letter to his MLA of June 15, 2006 which started this string of correspondence. He stated in his letter that the owners of Lot 3836 "refused categorically" to grant him an easement, but also asserted that they suggested that "they would be willing to swap the area of the access road for equivalent Crown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 am not persuaded that the corporate defendants had made this suggestion in the strong terms stated in the plaintiff's letter, but regardless, the idea of a land swap in the plaintiff's communications with the government, initiated with him. Therefore, when the Minister of Transportation replied and suggested how he might proceed to negotiating a land swap, it was nothing more than an indication of where the process might begin. It was not an "agreement" by the Minister of Transportation that the Province would approve a land swap (something subsequently repeatedly asserted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Regardless of Mr. Falcon's suggestions in his September 6, 2006 letter, the plaintiff did try once more to persuade the Ministry of Transportation that it must solve the problem because, in the plaintiff's view, the Ministry had erred in the first place in approving and designating the road allowance. By letter dated October 10, 2006 to Mr. Brian Atkins of the Ministry of Transportation, the plaintiff once again asserted that the Ministry of Transportation had erred. He stated that there were two problems with approving the road allowance: first, that it was over salmon spawning Jefferd Creek; and second "on [e]xpert advice" he was informed that there would be very poor visibility of the intersection of the approved road with Highway 101, which would result in an extremely dangerous collision area. The plaintiff asserted that the Minister, Mr. Falcon, had alluded to this factor in his letter of September 6, 2006 (which, as I have indicated, is not borne out by the Minister's letter). The plaintiff did not present any of this "expert advice"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plaintiff, in his letter to Mr. Atkins of October 10, 2006, stated that negotiating with the property owners of Lot 3836 was an option which he had "exhausted" after several meetings. He asserted that the Disputed Road was a common road historically since before 1912, providing access for many years to Lot 3504. He asked Mr. Atkins to provide a public access over the Disputed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Ministry of Transportation replied by letter of October 16, 2006. Mr. Atkins on behalf of the Ministry offered the following comments:</w:t>
      </w:r>
      <w:r>
        <w:rPr>
          <w:rFonts w:ascii="arial" w:eastAsia="arial" w:hAnsi="arial" w:cs="arial"/>
          <w:sz w:val="20"/>
          <w:lang w:val="en-US" w:eastAsia="en-US" w:bidi="ar-SA"/>
        </w:rPr>
        <w:cr/>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Access to the remainder of District Lot 3504 was established on December 2, 1960 when Reference Plan 6468 was deposited in the Land Title Office. The only location that the original District Lot (prior to subdivision) fronted on Highway 101 is the South East corner of the lot. No other portion of DL 3504 could access the highway. It is likely for this reason that, the access was established at that location in accordance with the legislation at the time.</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road dedication in 1960 the legislation of today concerning fish bearing streams is unlikely to have existed. To abide by the access to lands beyond requirements, the access to the remainder of DL3504 was at the only location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Mr. Atkins' letter suggested that the plaintiff consider an alternative option of approaching the adjacent landowners to obtain the access that he feels he needs. Mr. Atkins stated that the Ministry had no obligation to acquire land for the plaintiff's access. His letter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as much as the Province tries to protect and ensure a property owner's access rights, it still remains the duty of the buyer to undertake due diligence in that and all regards.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letter from Mr. Atkins to the plaintiff dated October 16, 2006 proposed that the plaintiff inquire of the Ministry of Forests to see if it would allow him as an "invitee" to gain access across the Ministry's Right of Way agreement with the owner of Lot 3836. There is no evidence that this was pursued or whether it would have been successful if it was pursued.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plaintiff then began to deal with the ILMB in an attempt to pursue the land swap idea. In his many communications with the ILMB, the plaintiff continually asserted as a fact that the Ministry of Transportation had erred in approving and designating the road allowance. He also asserted that the Minister of Transportation had admitted this, and had approved the land swap -- which was a misinterpretation of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Subsequent internal documents of ILMB indicate that employees of ILMB accepted that the problem with road access was created by the mistake of the Ministry of Transportation. Nothing appears in the documents that have been admitted at trial that would explain why that conclusion was 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What appears from the internal ILMB documents is that it was the view of some ILMB employees that since the Ministry of Transportation was responsible for the problem, it should "take the lead in resolving the issue" and that it was not up to ILMB to resolve the issue. In an email from Mr. Drysdale to Heather MacKnight, both of ILMB, on January 27, 2007, he wrote "it is not acceptable for MOT to pass their mistakes (which they have acknowledged) onto us. We are more than prepared to support MOT - but they should take the lead".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plaintiff argues that these emails prove that the Ministry of Transportation erred when approving the subdivision and the road allowance.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documents of ILMB that the plaintiff relies on to assert that the Province has essentially admitted its error in approving the subdivision plan do not go so far as the plaintiff asserts. They do not provide sufficient evidence to support a finding that the Ministry of Transportation was negligent when the subdivision plan was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emails and internal documents of ILMB were introduced by the plaintiff as hearsay evidence. The plaintiff did not call any of the authors as witnesses. While it is true that the authors of these documents were employees of the defendant Province, I am unable to treat them as admissions against interest or to give them considerable weight, in the absence of evidence that the authors of these statements had the knowledge to support their conclusions that the Ministry of Transportation had erred. There is no evidence to indicate that these employees had any knowledge of what occurred when the subdivision plan was approved in 1960. There is also no evidence to suggest that these employees had the experience or expertise to be able to assess the facts of what occurred in 1960.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Furthermore, the comments in IMLB documents that suggest the Ministry of Transportation erred were in the context of responding to repeated assertions by the plaintiff that they had done so, and his repeated assertions that the Minister of Transportation had suggested that ILMB solve the problem. I read the ILMB internal documents as amounting to an employee in one department, faced with that department's own resource constraints, saying "if the other department says a mistake occurred, it was their mistake, and they should fix it, not us". It may appear to the plaintiff to be buck-passing and it was no doubt extremely frustrating for him, but to be fair, each government department has different spheres of authority and responsibility. It is not necessarily an admission of liability on the part of the Province for someone in one department to suggest a problem is another department's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 therefore give the internal documents of ILMB very little weight in considering whether or not the Province was negligent in approving the subdivision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plaintiff called no evidence on the following:</w:t>
      </w:r>
      <w:r>
        <w:rPr>
          <w:rFonts w:ascii="arial" w:eastAsia="arial" w:hAnsi="arial" w:cs="arial"/>
          <w:sz w:val="20"/>
          <w:lang w:val="en-US" w:eastAsia="en-US" w:bidi="ar-SA"/>
        </w:rPr>
        <w:cr/>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process for approval of the subdivision in 1960, including what was the nature of the application and what information was provided with the application;</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or not the process that was followed for approval of the subdivision plan in 1960 was in accordance with a statutory or regulatory regime; and,</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or not the process that was followed for approval of the subdivision plan in 1960 was in accordance with an accepted standard of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 do not know, for example, what Mr. Barchuk submitted to the Province in order to obtain approval of the subdivision plan. Thus, I do not know whether an employee of the Province failed to ask important questions or to see gaping problems with the application, or whether an employee was misled by information provided by Mr. Barchuk. I do not suggest that either situation happened, but simply point out that there is no evidence of what occurred when the subdivision plan, with the road allowance, was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The legislation governing road allowances and subdivision plans as of 1960 was the </w:t>
      </w:r>
      <w:r>
        <w:rPr>
          <w:rFonts w:ascii="arial" w:eastAsia="arial" w:hAnsi="arial" w:cs="arial"/>
          <w:i/>
          <w:color w:val="000000"/>
          <w:sz w:val="20"/>
          <w:lang w:val="en-US" w:eastAsia="en-US" w:bidi="ar-SA"/>
        </w:rPr>
        <w:t>Land Registry Act</w:t>
      </w:r>
      <w:r>
        <w:rPr>
          <w:rFonts w:ascii="arial" w:eastAsia="arial" w:hAnsi="arial" w:cs="arial"/>
          <w:color w:val="000000"/>
          <w:sz w:val="20"/>
          <w:lang w:val="en-US" w:eastAsia="en-US" w:bidi="ar-SA"/>
        </w:rPr>
        <w:t>, as amended.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Section 86 of the </w:t>
      </w:r>
      <w:r>
        <w:rPr>
          <w:rFonts w:ascii="arial" w:eastAsia="arial" w:hAnsi="arial" w:cs="arial"/>
          <w:i/>
          <w:color w:val="000000"/>
          <w:sz w:val="20"/>
          <w:lang w:val="en-US" w:eastAsia="en-US" w:bidi="ar-SA"/>
        </w:rPr>
        <w:t>Land Registry Act</w:t>
      </w:r>
      <w:r>
        <w:rPr>
          <w:rFonts w:ascii="arial" w:eastAsia="arial" w:hAnsi="arial" w:cs="arial"/>
          <w:color w:val="000000"/>
          <w:sz w:val="20"/>
          <w:lang w:val="en-US" w:eastAsia="en-US" w:bidi="ar-SA"/>
        </w:rPr>
        <w:t xml:space="preserve"> provided that all subdivisions had to comply with several requirements, including:</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necessary and reasonable access to all new parcels and through the land subdivided to lands lying beyond or around shall to the extent of the owner's control be provided by a sufficient public highway, and all existing highways provided for in subdivision plans of adjoining lands or otherwise legally established shall be continued without unnecessary jogs: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According to s. 91 of the </w:t>
      </w:r>
      <w:r>
        <w:rPr>
          <w:rFonts w:ascii="arial" w:eastAsia="arial" w:hAnsi="arial" w:cs="arial"/>
          <w:i/>
          <w:color w:val="000000"/>
          <w:sz w:val="20"/>
          <w:lang w:val="en-US" w:eastAsia="en-US" w:bidi="ar-SA"/>
        </w:rPr>
        <w:t>Land Registry Act</w:t>
      </w:r>
      <w:r>
        <w:rPr>
          <w:rFonts w:ascii="arial" w:eastAsia="arial" w:hAnsi="arial" w:cs="arial"/>
          <w:color w:val="000000"/>
          <w:sz w:val="20"/>
          <w:lang w:val="en-US" w:eastAsia="en-US" w:bidi="ar-SA"/>
        </w:rPr>
        <w:t>, every subdivision plan had to be approved or rejected by the approving officer within thirty days from the date it was tendered for examination and approval, or from the furnishing of any profile or sketch when demanded under s. 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Section 95 of the </w:t>
      </w:r>
      <w:r>
        <w:rPr>
          <w:rFonts w:ascii="arial" w:eastAsia="arial" w:hAnsi="arial" w:cs="arial"/>
          <w:i/>
          <w:color w:val="000000"/>
          <w:sz w:val="20"/>
          <w:lang w:val="en-US" w:eastAsia="en-US" w:bidi="ar-SA"/>
        </w:rPr>
        <w:t>Land Registry Act</w:t>
      </w:r>
      <w:r>
        <w:rPr>
          <w:rFonts w:ascii="arial" w:eastAsia="arial" w:hAnsi="arial" w:cs="arial"/>
          <w:color w:val="000000"/>
          <w:sz w:val="20"/>
          <w:lang w:val="en-US" w:eastAsia="en-US" w:bidi="ar-SA"/>
        </w:rPr>
        <w:t xml:space="preserve"> set out a number of criteria that the approving officer had to take into consideration in considering the sufficiency of the highway allowances shown upon the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A further subdivision occurred when Lot 1 was carved out of Block A on Lot 3504, which was approved by the approving officer on August 24, 1961. Again, the road allowance which was already provided for would have provided the only potential access from Highway 101 to Lot 1 after the subdivision.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There is no evidence that the plaintiff's property contained a residence at the time of subdivision. The road was not constructed on the road allowance but there was no statutory requirement that this be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With respect to the allegations of negligent subdivision, the plaintiff appears to be advancing two main contentions: first, that the Province erred in approving a road on top of a salmon-bearing stream, namely, Jefferd Creek, and secondly, that there was a visibility problem at the location where the road adjoined to Highway 101 which prevented the road from being constructed, as it would make it dangerous for vehicles on Highway 101 and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With respect to the first allegation, that the Province erred in approving a road on top of a salmon-bearing stream, the plaintiff has failed to prove that at the time of subdivision there would have been any barriers, either practical or legislative, to constructing a road on or near Jefferd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On the issue of legislative restrictions, in 1960 the federal </w:t>
      </w:r>
      <w:r>
        <w:rPr>
          <w:rFonts w:ascii="arial" w:eastAsia="arial" w:hAnsi="arial" w:cs="arial"/>
          <w:i/>
          <w:color w:val="000000"/>
          <w:sz w:val="20"/>
          <w:lang w:val="en-US" w:eastAsia="en-US" w:bidi="ar-SA"/>
        </w:rPr>
        <w:t>Fisheries Act</w:t>
      </w:r>
      <w:r>
        <w:rPr>
          <w:rFonts w:ascii="arial" w:eastAsia="arial" w:hAnsi="arial" w:cs="arial"/>
          <w:color w:val="000000"/>
          <w:sz w:val="20"/>
          <w:lang w:val="en-US" w:eastAsia="en-US" w:bidi="ar-SA"/>
        </w:rPr>
        <w:t>, R.S. 1952, c. 119 [</w:t>
      </w:r>
      <w:r>
        <w:rPr>
          <w:rFonts w:ascii="arial" w:eastAsia="arial" w:hAnsi="arial" w:cs="arial"/>
          <w:i/>
          <w:color w:val="000000"/>
          <w:sz w:val="20"/>
          <w:lang w:val="en-US" w:eastAsia="en-US" w:bidi="ar-SA"/>
        </w:rPr>
        <w:t>Fisheries Act</w:t>
      </w:r>
      <w:r>
        <w:rPr>
          <w:rFonts w:ascii="arial" w:eastAsia="arial" w:hAnsi="arial" w:cs="arial"/>
          <w:color w:val="000000"/>
          <w:sz w:val="20"/>
          <w:lang w:val="en-US" w:eastAsia="en-US" w:bidi="ar-SA"/>
        </w:rPr>
        <w:t xml:space="preserve">] did not contain any provisions that regulated the construction of roads or driveways in and around fish-bearing streams. At that time, the </w:t>
      </w:r>
      <w:r>
        <w:rPr>
          <w:rFonts w:ascii="arial" w:eastAsia="arial" w:hAnsi="arial" w:cs="arial"/>
          <w:i/>
          <w:color w:val="000000"/>
          <w:sz w:val="20"/>
          <w:lang w:val="en-US" w:eastAsia="en-US" w:bidi="ar-SA"/>
        </w:rPr>
        <w:t>Fisheries Act</w:t>
      </w:r>
      <w:r>
        <w:rPr>
          <w:rFonts w:ascii="arial" w:eastAsia="arial" w:hAnsi="arial" w:cs="arial"/>
          <w:color w:val="000000"/>
          <w:sz w:val="20"/>
          <w:lang w:val="en-US" w:eastAsia="en-US" w:bidi="ar-SA"/>
        </w:rPr>
        <w:t xml:space="preserve"> did contain s. 33 (2) which prohibited the deposit of a deleterious substance into waters frequented by fish. However, the plaintiff has not produced any evidence to demonstrate that, even if Jefferd Creek did contain fish, that a road could not have been constructed without resulting in the deposit of any substances that would be considered deleterious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Fisheries Act</w:t>
      </w:r>
      <w:r>
        <w:rPr>
          <w:rFonts w:ascii="arial" w:eastAsia="arial" w:hAnsi="arial" w:cs="arial"/>
          <w:color w:val="000000"/>
          <w:sz w:val="20"/>
          <w:lang w:val="en-US" w:eastAsia="en-US" w:bidi="ar-SA"/>
        </w:rPr>
        <w:t xml:space="preserve"> was substantially amended in 1976 to include what are commonly referred to as the "HADD" provisions. At that time what is now s. 35 (then s. 31) was added to the </w:t>
      </w:r>
      <w:r>
        <w:rPr>
          <w:rFonts w:ascii="arial" w:eastAsia="arial" w:hAnsi="arial" w:cs="arial"/>
          <w:i/>
          <w:color w:val="000000"/>
          <w:sz w:val="20"/>
          <w:lang w:val="en-US" w:eastAsia="en-US" w:bidi="ar-SA"/>
        </w:rPr>
        <w:t>Fisheries Act</w:t>
      </w:r>
      <w:r>
        <w:rPr>
          <w:rFonts w:ascii="arial" w:eastAsia="arial" w:hAnsi="arial" w:cs="arial"/>
          <w:color w:val="000000"/>
          <w:sz w:val="20"/>
          <w:lang w:val="en-US" w:eastAsia="en-US" w:bidi="ar-SA"/>
        </w:rPr>
        <w:t>. Section 35 (1) provides that no person shall carry on any work or undertaking that results in the harmful alteration, disruption or destruction of fish habitat. Section 35 (2) provides that no person contravenes subsection (1) by causing the alteration, disruption or destruction of fish habitat by any means or under any conditions authorized by the Minister or under regulations made by the Governor in Council under this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The effect of these provisions added to the </w:t>
      </w:r>
      <w:r>
        <w:rPr>
          <w:rFonts w:ascii="arial" w:eastAsia="arial" w:hAnsi="arial" w:cs="arial"/>
          <w:i/>
          <w:color w:val="000000"/>
          <w:sz w:val="20"/>
          <w:lang w:val="en-US" w:eastAsia="en-US" w:bidi="ar-SA"/>
        </w:rPr>
        <w:t>Fisheries Act</w:t>
      </w:r>
      <w:r>
        <w:rPr>
          <w:rFonts w:ascii="arial" w:eastAsia="arial" w:hAnsi="arial" w:cs="arial"/>
          <w:color w:val="000000"/>
          <w:sz w:val="20"/>
          <w:lang w:val="en-US" w:eastAsia="en-US" w:bidi="ar-SA"/>
        </w:rPr>
        <w:t xml:space="preserve"> in 1976 is that the construction of works or undertakings in areas of fish habitat became regulated and controlled. The plaintiff called no evidence from which I could conclude that an approving officer of a subdivision in 1960 ought to have foreseen this evolution in fisheries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Secondly, the plaintiff has adduced no evidence to establish that it would be impossible, from an engineering design perspective, to have constructed a road at the site of the road allowance in 1960. There has been no expert opinion provided on this point. In the absence of such evidence, I am unable to accept the plaintiff's argument that it would be practically impossible or highly dangerous to build a road at the junction of Highway 101 and the road allowance.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Returning to the sequence of events, after the plaintiff failed in his attempts to have the ILMB solve the problem of road access to his property, he again wrote to the Minister of Transportation by letters dated April 11, 2007 and May 9, 2007. The Minister of Transportation, Mr. Falcon, replied by letter dated July 17, 2007. In his letter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Regional staff have revisited your proposal of an access road from Highway 101 to your property, District Lot 3504, and can advise you that you are welcome to formally submit plans for approval. However, please keep in mind the plans must meet my ministry's requirements for safety and design, and drawings for all plans must be done by a certified engineer and contracted at your expense. You will also have to secure approval of the access design by appropriate regulatory agencies.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plaintiff considers the suggestion of revisiting the subject of providing an access road to his property as meaningless and has not responded.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situation the court must grapple with appears to be this: the plaintiff has not been successful in resolving the problem of road access to his property, either through his dealings with the Province or with the neighbouring landowners; the plaintiff asserts that the Province was negligent in 1960 in approving the subdivision plan, but has provided no evidence which would establish what steps the approving officer took in 1960, and whether those steps did or did not meet a standard of care; and the plaintiff has called no expert evidence to establish that no engineering solution is possible at the existing location of the road allowance.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The Court cannot assume there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 way of providing a judicial solution to a difficult problem. There must be evidence of sufficient facts on which the Court can find that a duty of care was owed; the standard of care was not met; and the breach of the standard of care caused the plaintiff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I have not received sufficient evidence to determine that a standard of care was breached and therefore I will not proceed to consider the question of whether or not the approving officer owed the plaintiff a duty of care. But this question is by no means a small hurdle for the plaintiff to get over given the apparent lack of proximity between the approving officer in 1960 and the plaintiff as a subsequent purchaser 45 years later. I note that the Crown has asserted that no such duty of care exists because, amongst other things, the officer who approved the subdivision in 1960 was acting in a quasi-judicial capacity. In this regard, the Crown relies on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293"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Edwards v. Law Society of Upper Canada</w:t>
      </w:r>
      <w:r>
        <w:rPr>
          <w:rFonts w:ascii="arial" w:eastAsia="arial" w:hAnsi="arial" w:cs="arial"/>
          <w:color w:val="000000"/>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2001 SCC 80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Bowen v. Edmonton (City) (No. 2)</w:t>
      </w:r>
      <w:r>
        <w:rPr>
          <w:rFonts w:ascii="arial" w:eastAsia="arial" w:hAnsi="arial" w:cs="arial"/>
          <w:color w:val="000000"/>
          <w:sz w:val="20"/>
          <w:lang w:val="en-US" w:eastAsia="en-US" w:bidi="ar-SA"/>
        </w:rPr>
        <w:t xml:space="preserve">, </w:t>
      </w:r>
      <w:hyperlink r:id="rId295" w:history="1">
        <w:r>
          <w:rPr>
            <w:rFonts w:ascii="arial" w:eastAsia="arial" w:hAnsi="arial" w:cs="arial"/>
            <w:i/>
            <w:color w:val="0077CC"/>
            <w:sz w:val="20"/>
            <w:u w:val="single"/>
            <w:shd w:val="clear" w:color="auto" w:fill="FFFFFF"/>
            <w:lang w:val="en-US" w:eastAsia="en-US" w:bidi="ar-SA"/>
          </w:rPr>
          <w:t>[1977] 6 W.W.R. 344</w:t>
        </w:r>
      </w:hyperlink>
      <w:r>
        <w:rPr>
          <w:rFonts w:ascii="arial" w:eastAsia="arial" w:hAnsi="arial" w:cs="arial"/>
          <w:color w:val="000000"/>
          <w:sz w:val="20"/>
          <w:lang w:val="en-US" w:eastAsia="en-US" w:bidi="ar-SA"/>
        </w:rPr>
        <w:t xml:space="preserve"> (A.B.S.C.). Furthermore, the Crown correctly makes the point that the plaintiff did not rely on the subdivision plan in making the decision to purchase the property. He obtained the subdivision plan subsequent to purchasing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Lastly, even if the approving officer did breach a duty of care in approving the subdivision plan, the plaintiff has not provided any evidence that he has suffered damages as a result. The plaintiff did not call any evidence to prove what the market value of the property would have been when he bought it, based on whether or not it had road access. The vendor of the property was not called as a witness. The listing price for the property was $175,000.00. The plaintiff purchased this approximately 50 acres of property for $90,000.00. He did so after visiting the property and doing no investigations regarding road access to it. The 2007 property assessment valued the land at $153,000.00; the 2011 property assessment values the land at $263,500.00.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 Issue #2 - Was the Crown negligent in approving the subdivision?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 conclude that the plaintiff has failed to call evidence that would support a finding that the Crown's approving officer was negligent in approving the 1960 subdivision plan concerning Lot 3504.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Other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In addition to the two key issues I have addressed, the plaintiff raised a number of additional issues, for which the factual foundation to a large degree overlapped with the facts I have already reviewed, as follows:</w:t>
      </w:r>
      <w:r>
        <w:rPr>
          <w:rFonts w:ascii="arial" w:eastAsia="arial" w:hAnsi="arial" w:cs="arial"/>
          <w:sz w:val="20"/>
          <w:lang w:val="en-US" w:eastAsia="en-US" w:bidi="ar-SA"/>
        </w:rPr>
        <w:cr/>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Disputed Road is not public but instead is a private road, does the plaintiff have any enforceable agreement with the corporate defendants to allow him to use the Disputed Road, and if so, did the corporate defendants breach that agreement, causing the plaintiff damages?</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Plaintiff have any kind of easement which would allow him to use the Disputed Road?</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corporate defendants commit an actionable tort, such as nuisance, by locking their gate across the Disputed Road, preventing the plaintiff from accessing his property via that road in January 2006?</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Crown negligently misrepresent to the plaintiff that the road allowance provided access to Lot 3504?</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an employee of the Crown, Mr. Drysdale, make and then breach an agreement with the plaintiff that the Crown would engage in a land swap to solve the problem of the use of the Disputed Road? and,</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Crown breach a fiduciary duty owed to the plaintiff, or did the conduct of its employee, Mr. Drysdale, in dealing with the plaintiff amount to bad faith or an abuse of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evidence was clear that the plaintiff did not reach any agreement with the corporate defendants to allow him to use the Disputed Road. He admitted this in his correspondence with the Crown and in his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plaintiff's argument that an easement exists over the Disputed Road appeared to be based on the same factual allegations he advanced with respect to common law road dedication, or, the existence of an enforceable agreement with the corporate defendants. These allegations were not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There was no evidence to support any duty on the part of the corporate defendants to have the gate access on their private property, across the Disputed Road, unlocked so as to allow the plaintiff to use it in January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There were no negligent representations by the Crown relied upon by the plaintiff to his detriment.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Mr. Drysdale did not make any agreement with the plaintiff. There is also no evidence to support any allegation that Mr. Drysdale dealt with the plaintiff any way that might found a cause of action. There is no basis in the evidence for any claim by the plaintiff that the Crown owed a fiduciary duty to him and then breached that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Final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 plaintiff has failed to prove his claims. His claims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Typically on the result in this case, ordinary costs would be payable by the plaintiff to the successful defendants and this is what I would order. However, if there are facts not within my knowledge and any party wishes to argue a different costs result, they may do so by taking steps, within 45 days of these reasons, to schedule a costs hearing before me at some point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 GRIFFIN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7" style="position:absolute;z-index:2518753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02" w:history="1">
        <w:r>
          <w:rPr>
            <w:rFonts w:ascii="arial" w:eastAsia="arial" w:hAnsi="arial" w:cs="arial"/>
            <w:b/>
            <w:bCs/>
            <w:i/>
            <w:color w:val="0077CC"/>
            <w:kern w:val="32"/>
            <w:sz w:val="28"/>
            <w:szCs w:val="32"/>
            <w:u w:val="single"/>
            <w:shd w:val="clear" w:color="auto" w:fill="FFFFFF"/>
            <w:lang w:val="en-US" w:eastAsia="en-US" w:bidi="ar-SA"/>
          </w:rPr>
          <w:t>1076586 Alberta Ltd. v. Octagon Properties Ltd., [2014] B.C.J. No. 316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G.J. Fitch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16,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25,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21891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Cranbrook</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316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268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41 R.P.R. (5th) 305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CarswellBC 461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1076586 Alberta Ltd., Petitioner, and Octagon Properties Ltd., Marco DeDominicis, Stoneset Equities Ltd., BKDI Architects, a partnership, Hayesborne Holdings Inc., Colin Lawson and Stoneset One Mortgage Corporation, Respondents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8" style="position:absolute;z-index:251675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9" w:name="Keywords_16"/>
      <w:bookmarkEnd w:id="109"/>
      <w:r>
        <w:rPr>
          <w:rFonts w:ascii="arial" w:eastAsia="arial" w:hAnsi="arial" w:cs="arial"/>
          <w:b/>
          <w:color w:val="000000"/>
          <w:sz w:val="20"/>
          <w:lang w:val="en-US" w:eastAsia="en-US" w:bidi="ar-SA"/>
        </w:rPr>
        <w:t>Civil litigation — Civil procedure — Trials — Summary trials — Estoppel — Estoppel in pais (by conduct) — Laches or delay — Application by mortgage holder for summary trial for order nisi of foreclosure with shortened redemption period allowed — Defendant S had defaulted under terms of vendor take back mortgage in relation to lands — S claimed negligent misrepresentation and breach of contract against land vendor — Matter was suitable for disposition by way of summary trial application — There was no evidence of fraudulent misrepresentation as ground for rescission of sale agreement, which was also barred by laches — Negligent misrepresentation was not made out.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Real property law — Sale of land — Agreement of purchase and sale — Rescission — Grounds — Misrepresentation — Fraudulent misrepresentation — Negligent misrepresentation — Application by mortgage holder for summary trial for order nisi of foreclosure with shortened redemption period allowed — Defendant S had defaulted under terms of vendor take back mortgage in relation to lands — S claimed negligent misrepresentation and breach of contract against land vendor — Matter was suitable for disposition by way of summary trial application — There was no evidence of fraudulent misrepresentation as ground for rescission of sale agreement, which was also barred by laches — Negligent misrepresentation was not made out.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Real property law — Mortgages — Mortgage agreement — Terms — Mortgagee's remedies — Foreclosure order — Application for — Mortgagee's rights — Right to redemption — Limits — Order nisi of foreclosure — Application by mortgage holder for summary trial for order nisi of foreclosure with shortened redemption period allowed — Defendant S had defaulted under terms of vendor take back mortgage in relation to lands — S claimed negligent misrepresentation and breach of contract against land vendor — Matter was suitable for disposition by way of summary trial application — There was no evidence of fraudulent misrepresentation as ground for rescission of sale agreement, which was also barred by laches — Negligent misrepresentation was not made out.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0" w:name="Case Summary_13"/>
            <w:bookmarkEnd w:id="11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a mortgage holder for summary trial for an order nisi of foreclosure with a shortened redemption period. The defendant S had defaulted under the terms of a vendor take back mortgage as of July 31, 2011. The mortgage was in relation to lands acquired by S from the defendant O. After the sale, the defendant S learned the lands were of a lesser acreage than previously thought, and of a lower appraisal value, and also that the planned development of the land could not proceed. In December 2011, S began an Alberta action against various defendants, claiming damages for negligent misrepresentation and breach of contract. In January 2012, the original mortgage holder petitioned for an order nisi of foreclosure. The defendant S was granted an order that the petition be remitted to trial. In January 2013, another defendant, H, advised S of its intention to set the matter down for summary trial application. In February 2013, S filed a British Columbia notice of civil claim against various defendants, also seeking rescission. The mortgage was assigned to the applicant in April 2013. S opposed the application on the ground the issues were not suitable for determination by way of summary trial application. S argued that their right to rescission was an equity to which the applicant, as assignee of the mortgage, was subject.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1" w:name="Holdings of Court_13"/>
            <w:bookmarkEnd w:id="111"/>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matter was suitable for disposition by way of summary trial application. The defendant S had been aware of an intention to schedule an application for hearing since January 2013, but had not taken steps to complete pre-trial procedures to put themselves in the best possible position. Few factual issues were disputed, and the application could be determined on the basis of the language of the sale contract. On the issue of rescission, there was no evidence of fraudulent misrepresentation that induced S to enter into the purchase and sale agreement. Even if there had been innocent misrepresentation, S had not acted promptly after learning of such to disaffirm the contract and pursue rescission. Rescission was barred by laches and it would have been unjust to grant the remedy. S also failed to establish that it was induced to enter the sale contract on the basis of negligent misrepresentations. The contract manifested the intention of the parties that S would satisfy itself with respect to the development potential of the land. Opinions as to the market value of the land were not statements of fact subject to a claim for misrepresentation, and there was no evidence any false or negligent representation had been made. As to negligent misrepresentations respecting the size of the lands, the defendant O had validly relied on an appraisal and surveys on file in the Land Title Office. Judgment was granted in favour of the applicant.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2" w:name="Legislation Cited_12"/>
      <w:bookmarkEnd w:id="11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9" style="position:absolute;z-index:2517268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 B.C. Reg. 119/2010, Rule 9-7, Rule 22-1(7), Rule 22-1(7)(d)</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3" w:name="Counsel_16"/>
      <w:bookmarkEnd w:id="11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0" style="position:absolute;z-index:2517780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1076586 Alberta Ltd.: Dylana R. Bloor and Christopher D. Filipchuk.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Hayesborne Holdings Inc. and Colin Lawson: Kimberley A. Robertson.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BKDI Architects: Ronald Eichler.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Stoneset Equities Ltd. and Stoneset One Mortgage Corporation: J. Andrew Bird.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Octagon Properties Limited and Marco DeDominicis: No Appearance.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4" w:name="Judgment_16"/>
      <w:bookmarkEnd w:id="114"/>
      <w:r>
        <w:pict>
          <v:line id="_x0000_s1111" style="position:absolute;z-index:2518292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5" w:name="G.J. FITCH J."/>
            <w:bookmarkEnd w:id="115"/>
            <w:r>
              <w:rPr>
                <w:rFonts w:ascii="arial" w:eastAsia="arial" w:hAnsi="arial" w:cs="arial"/>
                <w:b/>
                <w:color w:val="000000"/>
                <w:sz w:val="30"/>
                <w:lang w:val="en-US" w:eastAsia="en-US" w:bidi="ar-SA"/>
              </w:rPr>
              <w:t>G.J. FITCH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A.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 summary trial application pursuant to Rule 9-7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B.C. Reg. 119/2010, as amended, for an Order Nisi of foreclosure with a shortened redemption period. The application arises out of Stoneset's default under the terms of a vendor take back mortgage (the "VTB mortgage"). The application is opposed by Stoneset Equities Ltd. and Stoneset One Mortgage Corporation ("Stoneset") on a variety of grounds, including that the issues raised by the summary trial application are not suitable for disposition under the Rule 9-7. Stoneset submits that the application should be dismissed. In the alternative, Stoneset separately applies for an order adjourning the summary trial application on grounds that it is premature.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Background</w:t>
      </w:r>
      <w:r>
        <w:rPr>
          <w:rFonts w:ascii="arial" w:eastAsia="arial" w:hAnsi="arial" w:cs="arial"/>
          <w:sz w:val="20"/>
          <w:lang w:val="en-US" w:eastAsia="en-US" w:bidi="ar-SA"/>
        </w:rPr>
        <w:cr/>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Chronology of Transactions Respecting the Property</w:t>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 Stoneset's acquisition of the land from Octagon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Stoneset is the registered owner of a number of contiguous parcels of land located in Invermere, British Columbia. Stoneset acquired these lands from the defendant, Octagon Properties Ltd. ("Octagon"), for development purposes by a purchase and sale agreement entered into on March 16, 2007. Marco DeDominicis ("DeDominicis") is the principal of Octagon, Navigator Development Corporation and Navigator Development Invermere Corporation (collectively, "Navigator").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purchase price was $23,000,000. It was paid by a $4,000,000 cash payment and financing by way of a VTB mortgage in the principal amount of $19,000,000. The VTB mortgage was registered in the Land Title Office on October 26, 2007. The VTB mortgage is the subject of this foreclosure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agreement of purchase and sale between Octagon and Stoneset contains the following conditions: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Purchaser shall have satisfied itself with respect to all environmental matters pertaining to the Lands;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Purchaser shall have reviewed and satisfied itself with respect to a geo-technical report with respect to the Lands;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Purchaser shall have satisfied itself with respect to the zoning and proposed use of the Lands or portions thereof;</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Purchaser shall have satisfied itself with respect to proposed use of the Lands for the development of a hotel and residential condominium units upon the Lands;</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Purchaser and Vendor being satisfied with the Development Management Agreement, entered into by and between the Purchaser and Navigator Development Corporation, to develop and construct a hotel and residential condominium units upon the Lands [the development of the property was to be a joint venture between Stoneset and Navigator].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agreement of purchase and sale states that conditions (a) through (d), above, "are inserted for the sole benefit of the Purchaser and may be unilaterally waived by the Purchaser, or declared satisfied or not satisfied by the Purchaser in its sole discretion at any time up to but not after 4 p.m. on May 18, 2007". The agreement further provides that the conditions "shall be deemed satisfied and waived only if the party for whose benefit the condition is inserted gives written notice to the other party" on or before the date and time specified. The agreement contains no express representations or warranties respecting the size of the properties collectively being conveyed or the suitability of those properties for the proposed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Octagon covenanted in the agreement of purchase and sale to authorize and direct all municipal, provincial, federal, and other authorities having jurisdiction over the lands to provide the purchaser with such information, certificates, clearances and statements relating thereto as the purchaser may in writing request "in order to fully apprise the purchaser of the status of the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May 18, 2007 Stoneset waived in writing all of the conditions contained in the purchase and sale agreement that were inserted for its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an affidavit put before me on this summary trial application, Tony Argento ("Argento"), a director of Stoneset, deposes that between September and December, 2006 he discussed with DeDominicis the proposed development and the terms of a possible joint venture involving Octagon/Navigator and Stoneset. Those discussions were reflected in a written proposal dated December 1, 2006. The proposal describes the lands in issue as being a "+/- 12 acre parcel" with an "estimated value (pending appraisal) of $30,000,000".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Argento further deposes that in late 2006 he was shown a portfolio of Navigator's property developments, including the Invermere properties, which were described, in aggregate, as being 12.5 acres. In addition, he says DeDominicis told him the properties totalled 12.5 acres.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Prior to executing the purchase and sale agreement, Octagon provided Stoneset with an appraisal of the properties prepared by Brad Kroeker of Cushman &amp; Wakefield Lepage Inc. at Octagon's request ("the Cushman appraisal"). The Cushman appraisal describes the lands in issue as consisting of 12.34 acres. That the properties are, in aggregate, 12.34 acres was confirmed by surveys obtained from the Registry. The surveys were attached to and formed part of the Cushman appraisal. British Columbia Assessment Authority documents from 2007 reflect that the lands in issue consist of 12.33 acres. The assumptions and limiting conditions set out in the appraisal include that the author of the report cannot accept responsibility for legal matters, including questions of survey, and that the legal description of the property, and the area of the site, were obtained from the Registry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market value of the property, based on an assumption that the site was ready for development, was estimated in the Cushman appraisal to be $25,000,000. The appraisal also discloses that the properties were purchased by Octagon for a total of $6,099,000 from January to September 2005. It reports that, since that time, the properties have been rezoned to allow for a commercial and multi-family development site, which resulted in the determination of a much higher market value estimate. The appraisal also notes that the residential market in Invermere had improved since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Prior to entering into the agreement of purchase and sale, DeDominicis also provided Stoneset with an Official Community Plan Amendment Request (the "OCPAR"), prepared by BKDI Architects. The OCPAR provided that the development would include 570 condominium units, a 144-room hotel and conference centre, and 45,000 square feet of commercial space. The amendment requests made in the OCPAR were granted by the City of Invermere on June 13,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the time of the sale, the Lands were the subject of a Trust Declaration made July 4, 2007 in which Octagon acknowledged that the Hayesborne parties (Hayesborne Holdings Inc. and Colin Lawson) and BKDI held a beneficial ownership interest in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Before the agreement of purchase and sale was executed, DeDominicis provided Stoneset with projections in relation to the proposed development showing revenues of about $329,000,000 and gross profits of about $77,000,000.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Argento deposes that, in deciding to purchase the properties, Stoneset relied on: the Cushman appraisal of $25,000,000; representations that the properties were 12.34 or 12.5 acres; the financial projections; representations that the plans contained in the OCPAR were in compliance with all applicable bylaws and other regulatory or legal requirements; the stated experience and skill of DeDominicis in real estate development; representations made in the management agreement regarding the ability of Navigator to act as development manager of the lands pursuant to the joint venture proposed as between Navigator and Stoneset; and, the special skill and knowledge of BKDI Architects as to the legality and feasibility of the plans in the OCPAR.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Stoneset entered into a joint venture agreement with Navigator on May 15, 2007 for the development of the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July 9, 2007, by Offering Memorandum, Stoneset sought to raise investment capital to assist in the development of the land. The land was described in the body of the Offering as consisting of 12.34 acres located in the Town of Invermere, British Columbia. The Offering references the $25,000,000 Cushman appraisal but advises potential investors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Caution should be exercised in the evaluation and use of the Appraisal as appraisals are estimates only and not a precise measure of value. Appraisals are based on various assumptions including future expectations which may not materialize or may differ materially from actual experiences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Stoneset's Offering also appended the District of Invermere's bylaw containing a schedule setting out the site area for each phase of development. The site area, in aggregate, is noted to be 3.859 hectares. As one hectare equals 2.47 acres, the total site area, as represented by Stoneset to potential investors, was 9.53 acres.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Peter Jarman ("Jarman"), the president of Stoneset until August 31, 2011, filed an affidavit for use on this summary trial application deposing that the site areas for each phase noted in the schedule to the bylaw do not refer to the actual size of the lots. He notes that of the 12 development phases set out in the bylaw schedule, phases 5, 10 and 12 have no site area attributed to them. He deposes that the apparent discrepancy between the acreage reflected in the bylaw on the one hand, and that represented by Octagon and reflected in the Cushman appraisal on the other, was raised by Stoneset with DeDominicis before the purchase was completed. Jarman says DeDominicis explained that the difference was attributable to the unaccounted for site areas to be developed in phases 5, 10 and 12. As Stoneset had the Cushman appraisal stating that the total size of the lots was 12.34 acres, Jarman deposes it made sense to him that the unaccounted for site areas in phases 5, 10 and 12 made up the difference. He deposes that he was not aware prior to closing that the true acreage of the properties was 9.7 acres instead of 12.34 or 12.5 acres.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Jarman also deposes that Stoneset purchased the lands for the sole purpose of developing them in accordance with the OCPAR and bylaw. He says that Stoneset relied on the Cushman appraisal, which valued the lands based on their highest and best use; in other words, on the assumption the lands could be developed to the maximum extent permitted under the bylaw. He says Stoneset also relied on representations that the lands consisted of 12.34 acres. He says, but for the representations of Octagon, Stoneset would not have purchased the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addition, Jarman deposes that, prior to the acquisition of lands, it was never brought to Stoneset's attention that the ability to develop them in accordance with the bylaw was contingent on the consent of a third party, Canadian Pacific Railway ("CPR"), which operates a railway on the lands between the proposed development property and Lake Windermere. The bylaw requires, as part of the proposed development, construction of a portion of a boardwalk between the railway and Lake Windermere concurrent with each phase of the development. Stoneset attempted to obtain the consent of CPR to the construction of a boardwalk in the location contemplated in the bylaw, but it was denied. Jarman deposes that Stoneset did not apply for an amendment to the bylaw to eliminate the need for a boardwalk because: (a) it did not have the cash flow to finance such an application; (b) as the land was not large enough to house the proposed development, the project needed to be revised at a cost Stoneset could not afford; and (c) the District of Invermere made clear that it would not bend on its phasing requirements and was insisting on construction of the hotel and boardwalk first.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 Trumpet's loan to Octagon and the assignment to Trumpet of the VTB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or about February 20, 2008, Octagon entered into a loan agreement with Trumpet Capital Corp. ("Trumpet") whereby Trumpet, through its private investors, agreed to loan $5,000,000 to Octagon ("the Trumpet loan"). The Trumpet loan was secured by way of an assignment of the VTB mortgage from Octagon to Trumpet, as well as the personal guarantee of DeDominicis. Pursuant to the assignment, Stoneset was required to continue to pay the amounts due under the VTB to Trumpet. Upon Trumpet being paid the full amount due and owing to it by Octagon under the Trumpet Loan, the remaining obligations under the VTB mortgage were to be reassigned and conveyed back to Octagon.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(iii) Stoneset's efforts to develop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Argento says that Navigator did not comply with the joint venture agreement in any substantial manner and that, in 2010, Stoneset began managing the development of the properties because Navigator was not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the course of preparing for a road realignment application, Stoneset retained R. Griffith Land Surveying Inc. ("Griffith") to prepare a plan of subdivision. Argento deposes that Griffith informed him the site area of the properties was not over 12 acres. In October 2010, Griffith prepared a two-page report to Octagon stating that, in aggregate, the properties consist of 9.732 acres. The report is appended as an exhibit to the affidavit of Argento. Argento deposes that he asked Griffith to confirm his calculations were not reduced by the CPR right-of-way. Argento says he was informed by Griffith in March 2011 that the properties had been "further inspected" and the site size was confirmed to be 9.732 acres. As noted above, the Cushman appraisal relies on surveys filed in the Land Title Office. I have no evidence before me from Griffith respecting the methodology he used to calculate the site area and no drawings or updated surveys are attached to the Griffith summary report. There is no evidence before me explaining the conclusion Griffith comes to that the surveys on file are incorrect, or why there exists a discrepancy between his conclusion and those surveys.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Rebecca Alexander, a legal assistant to counsel acting on behalf of the petitioner, deposes that James Gordon David ("David") the sole officer and director of Trumpet, advised her that Stoneset made interest payments to Trumpet pursuant to the assigned VTB mortgage in December 2010, and in January and February 2011. The affidavit of Ms. Alexander is filed in support of the petitioner's argument that Stoneset, by making these three payments, waived its right to rely upon the alleged misrepresentations and is estopped from relying upon those misrepresentations as a defence to the application for an Order Nisi. I note that David does not address this factual point in his affidavit. The evidence of Ms. Alexander is hearsay and inadmissible for its truth on this summary trial. I will not take it into account in the resolution of this application. As I do not intend to return to this issue, I would also note that, quite apart from the deficiencies in the evidentiary foundation upon which the petitioner's waiver argument is premised, I would be disinclined to give effect to the submission. In my view, Stoneset's decision to continue to make payments until such time as its further inquiries of Griffith concerning the acreage of the proposed development site were answered, which was not until March 2011, does not meet the test for waiver set out in </w:t>
      </w:r>
      <w:r>
        <w:rPr>
          <w:rFonts w:ascii="arial" w:eastAsia="arial" w:hAnsi="arial" w:cs="arial"/>
          <w:i/>
          <w:color w:val="000000"/>
          <w:sz w:val="20"/>
          <w:lang w:val="en-US" w:eastAsia="en-US" w:bidi="ar-SA"/>
        </w:rPr>
        <w:t>Saskatchewan River Bungalows Ltd. v. Maritime Life Assurance Co.</w:t>
      </w:r>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[1994] 2 S.C.R. 490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Octagon obtained its own appraisal of the property in November 2010. The appraisal was prepared by Christian Piche ("Piche") of Colliers International Realty Advisors Inc. (the "Colliers appraisal"). The estimated market value of the lands was then determined to be $10,900,000.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Argento deposes that he spoke with Piche about the Cushman appraisal and says Piche informed him the 2007 Cushman appraisal for $25,000,000 was not feasible and, based on historical data, a more realistic value in 2007 would have been in the $14,000,000 range. I pause to note here that the evidence Argento gives on this point is also hearsay and inadmissible for its truth on this summary trial. I have not taken it into account in the resolution of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December 22, 2010 BKDI obtained default judgment against Octagon in the amount of $687,554.19.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(iv) Stoneset's default under the VTB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of July 31, 2011:</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Stoneset was in default of the terms of the VTB mortgage then held by Trumpet;</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due and owing under the VTB mortgage was $8,909,410.63 (inclusive of contractual interest to that date);</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due and owing under the Trumpet Loan, secured by the VTB mortgage, was $3,594,366.32; and</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remaining secured by the VTB mortgage was, therefore, $5,315,044.31.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Octagon defaulted on the Trumpet loan, and DeDominicis defaulted on his personal guarantee in connection with the Trumpet loan, Trumpet demanded on April 5, 2011 payment of the whole of the principal amount and interest outstanding on the loan. No payments have been forthcoming on the loan since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Stoneset defaulted on the VTB mortgage, Trumpet demanded on June 23, 2011 payment of the whole of the principal amount and interest outstanding on the VTB mortgage. No payments have been forthcoming on the VTB mortgage since the demand for payment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On December 8, 2011 Stoneset filed in the Court of Queen's Bench of Alberta a Statement of Claim naming Octagon, Navigator, Cushman &amp; Wakefield, Bradley Kroeker and Marco DeDominicis as defendants. The action alleges that negligent misrepresentations were made by all of the defendants that induced Stoneset to enter into the agreement of purchase and sale with Octagon. The action further alleges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defendants Cushman &amp; Wakefield and Kroeker, and breach of contract against Navigator. The pleadings do not allege fraudulent misrepresentation on behalf of any of the named defendants. Stoneset seeks in the Alberta action damages for negligent misrepresentation and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January 19, 2012 the Hayesborne parties were granted judgment against Octagon in the total amount of $1,330,727.94 ("the Hayesborne Trust Order"). By the terms of the Order, any proceeds from the sale of the lands, or otherwise realized under the terms of the VTB mortgage, were impressed with a trust for the benefit of the Hayesborne parties, subsequent in priority, and in addition to, any amounts owed to Trumpet as secured by the VTB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April 23, 2013 Trumpet assigned and transferred to 1076586 Alberta Ltd. ("1076586") the VTB mortgage, which gives rise to this summary trial application for an Order Nisi. On May 29, 2013 an Order was obtained adding 1076586 as a petitioner in this proceeding. The style of cause was amended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January 15, 2014 an Order was made removing Trumpet as petitioner in this proceeding. The style of cause was again amended to reflect this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The Petitioner's Chambers Application for an Order Nisi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January 24, 2012, prior to the assignment of the VTB mortgage to 1076586, Trumpet applied in Chambers before Master Bishop for an Order Nisi of foreclosure with a shortened redemption period and an order for conduct of sale. The petitioner agreed that if successful in obtaining the order for conduct of sale and in selling the property, it would pay the balance of the net sale proceeds into Court after deducting the amounts actually owed to it under the Trumpet loan. In other words, Trumpet has acknowledged that its interest in the VTB mortgage is limited to the amount outstanding on its $5,000,000 loan to Octagon.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respondents, Octagon and DeDominicis, did not respond to the application and the petitioner obtained default judgment against them on April 3, 2012 in the amount of $4,012,691.66.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the same day, Stoneset was granted an Order that the petition be remitted to trial. This Order was, I assume, made under Rule 22-1(7)(d). It was not appealed nor was any application made to vary its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Master Bishop's reasons for remitting the petition to trial are reflected in the following judgment excerpts: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Stoneset argues that Trumpet took the assignment of the VTBM subject to the equities between Octagon and Stoneset. In the circumstances of this case, the equities, based on the facts set out earlier in these reasons, include the right of rescission based on misrepresentation and/or a set off for damages. That being the case, the matter should be remitted to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 I am unable to conclude that Trumpet has met the onus that there are no triable issues. Indeed, there is little, if any, evidence to contradict the affidavit of Mr. Argento with respect to the misrepresentations made. That is so, as Marco [DeDominicis] and Octagon have so far declined to defend their position nor to participate at all in these proceedings.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Mr. Eichler argued that rescission was not possible in the case at hand in that what Stoneset was actually purchasing was the land and the opportunity to make a profit. Therefore, he argues, it is a certainty that the defence will fail because rescission is not possible with respect to the opportunity to make a profit.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With respect, I disagree. I cannot say that it is manifestly clear that Stoneset is without a defence that deserves to be tried. Part of the evidence before me is that any development of the property is unlikely at the present time. That is so in that as I understand the evidence, the City requires a boardwalk which would require the consent of CPR as they hold a right-of-way over some or all of the area needed for a boardwalk. CPR's consent has not been forthcoming and therefore no development is possible at this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Given that the representations of the land size and therefore value and the development potential of the properties strike at the very heart of the transaction and the fact we do not presently know whether they were innocent, negligent, or fraudulent, it may be open to the Court to find total failure of consideration with respect to the property transaction.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In the result, the issues raised by Stoneset are referred to the trial list and the parties are directed to file the appropriate pleadings for that purpose. If the parties cannot agree on how or on what to proceed, any of them may apply for directions.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Summary of Events Following the Order made by Master Bishop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July 27, 2012 counsel for Stoneset advised former counsel for Trumpet that Trumpet should file a notice of civil claim so that Stoneset could file pleadings in response. On August 6, 2012 former counsel for Trumpet advised that it was his preference that a new notice of civil claim be filed and that each of the parties file a response. On August 20, 2012 counsel for Stoneset proposed to counsel for Trumpet a schedule for filing pleadings, documentary exchange, examinations for discovery, witness list exchange, a trial management conference and the trial. Subsequently, former counsel for Trumpet advised that the notice of claim would be filed on or before October 15, 2012. Counsel for Stoneset confirmed by letter dated September 25, 2012 that he had instructions to file an application for directions that Trumpet file its notice of claim forthwith, but that the application was not being filed in light of Trumpet's indication that it would be filing its notice of claim by the middle of October 2012. It is apparent that Trumpet, despite its assurances to the contrary, took no steps to file a notice of claim as contemplated by the order of Master Bishop.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January, 2013 counsel for the Hayesborne parties advised Stoneset of its intention to set the matter down for summary trial application. Pursuant to Rule 9-7, a party may apply to the court for judgment by way of summary trial on a proceeding that has been transferred to the trial list under Rule 22-1(7).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On February 19, 2013 Stoneset, as plaintiff, filed a notice of civil claim in this Court naming Octagon, Navigator, Cushman &amp; Wakefield, Bradley Kroeker, and DeDominicis as defendants. Although the action has been commenced, the pleadings have not yet been served. As in the Alberta action, Stoneset alleges that negligent or, in the alternative, innocent (but not fraudulent) misrepresentations were made by the defendants Octagon, Cushman &amp; Wakefield, Kroeker and DeDominicis,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relation to Cushman &amp; Wakefield and Kroeker, and breach of contract by Navigator for failing to discharge its obligations pursuant to the joint venture management agreement. Unlike the Alberta claim, Stoneset seeks in the British Columbia action rescission of the contract of sale and related VTB mortgage, and a return of monies paid by Stoneset under the VTB mortgage or, in the alternative, damages for misrepresentation and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May 3, 2013 counsel for Stoneset again advised counsel for Trumpet/1076586 that he was waiting for Trumpet to file its notice of civil claim and that Stoneset's response would include a counterclaim against Trumpet for restitution of $2,000,000 paid by Stoneset to Trumpet against the VTB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notice of application for judgment pursuant to Rule 9-7 was filed on behalf of the Hayesborne parties on May 17, 2013. The matter was set for June 2013, and then adjourned to the August hearing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July 22, 2013 counsel for the Hayesborne parties suggested that the petition should stand in place of a notice of civil claim and that, to avoid confusion, the parties might apply for directions and an order to that effect. Counsel for Stoneset noted in response that Master Bishop ordered that pleadings be filed and Stoneset asked Trumpet, on several occasions, to take this step. He suggested that to dispense with the filing of pleadings, an application would have to be made to amend Master Bishop's order. Further, counsel for Stoneset disagreed with the contention that nothing would change by the filing of pleadings. He advised that Stoneset would, upon receipt of the notice of civil claim, file a counterclaim not only against Octagon, but also against Cushman &amp; Wakefield and Kroeker alleging misrepresentation, and against Trumpet for restitution of monies paid by Stoneset directly to Trumpet pursuant to the VTB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No pleadings were filed, no application to vary the Order of Master Bishop was made, and no application for directions was made by any of the parties prior to the hearing of this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The 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From the perspective of the Hayesborne parties, 1076586 and BKDI, the matter is relatively straightforward. The VTB mortgage is a valid and enforceable agreement as against the defendant, Stoneset. Stoneset is in default under the terms of the VTB mortgage. The VTB mortgage previously secured Stoneset's obligation to Octagon and now, as a consequence of the assignment of the VTB to Trumpet, secures: (1) Stoneset's obligation to Trumpet under the Trumpet loan in the amount of $3,594,366.32 (as at July 31, 2011 plus interest thereafter); and (2) upon satisfaction of that obligation, Stoneset's obligation to Octagon for the residual VTB mortgage security, which is impressed with a trust: (i) in favour of the Hayesborne parties, pursuant to the Hayesborne Trust Order made January 19, 2012, in the amount of $1,330,727.94 (as at January 19, 2012 plus interest thereafter in accordance with the terms of the VTB mortgage) and (ii) in favour of all such other beneficiaries to whom Octagon stands as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From Stoneset's perspective, the matter is considerably more complicated.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Stoneset claims that Octagon represented to Stoneset, before the agreement of purchase and sale and related financing were completed, that:</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land totalled either 12.34 or 12.5 acres;</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land had a fair market value of $25,000,000 based on the Cushman appraisal and the above-noted acreage;</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development of the land involving 570 condominium units, a 144-room hotel and conference centre, and 45,000 square feet of commercial space was feasible given the zoning and other legal requirements in place; and</w:t>
      </w:r>
    </w:p>
    <w:p>
      <w:pPr>
        <w:numPr>
          <w:numId w:val="18"/>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DeDominicis had the expertise and experience to develop the property as part of a joint venture with Stoneset.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Contrary to these representations, Stoneset says:</w:t>
      </w:r>
      <w:r>
        <w:rPr>
          <w:rFonts w:ascii="arial" w:eastAsia="arial" w:hAnsi="arial" w:cs="arial"/>
          <w:sz w:val="20"/>
          <w:lang w:val="en-US" w:eastAsia="en-US" w:bidi="ar-SA"/>
        </w:rPr>
        <w:cr/>
      </w:r>
    </w:p>
    <w:p>
      <w:pPr>
        <w:numPr>
          <w:numId w:val="19"/>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lands total only 9.73 acres;</w:t>
      </w:r>
    </w:p>
    <w:p>
      <w:pPr>
        <w:numPr>
          <w:numId w:val="20"/>
        </w:numPr>
        <w:tabs>
          <w:tab w:val="num" w:pos="760"/>
          <w:tab w:val="clear" w:pos="256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fair market value of the land in 2007 "was not reasonably close" to $25,000,000, as the Colliers appraisal in 2010 valued the land at $10,900,000;</w:t>
      </w:r>
    </w:p>
    <w:p>
      <w:pPr>
        <w:numPr>
          <w:numId w:val="21"/>
        </w:numPr>
        <w:tabs>
          <w:tab w:val="num" w:pos="760"/>
          <w:tab w:val="clear" w:pos="256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 development of the type contemplated cannot proceed due to the actual acreage, the density-based zoning bylaw governing the site, and the existence of a CPR right-of-way that frustrates construction of a waterside boardwalk that was a requirement of the development; and</w:t>
      </w:r>
    </w:p>
    <w:p>
      <w:pPr>
        <w:numPr>
          <w:numId w:val="22"/>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DeDominicis did not have the expertise or experience required for the development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would pause to note that while Octagon made some specific representations and warranties in the sale contract, no representations were made in the contract as to the matters identified in paragraph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any event, Stoneset submits that it has available to it the equitable remedy of rescission as well as a set-off for damages for misrepresentation based on the matters addressed in paragraphs 49 and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Stoneset asserts, in this regard, that the assignee of a mortgage takes it subject to the equities that existed as between the mortgagor and the original mortgagee. Stoneset asserts that the right to rescission, arising from circumstances existing at the time the mortgage is entered into, is an equity to which an assignee of the mortgage is subject: </w:t>
      </w:r>
      <w:r>
        <w:rPr>
          <w:rFonts w:ascii="arial" w:eastAsia="arial" w:hAnsi="arial" w:cs="arial"/>
          <w:i/>
          <w:color w:val="000000"/>
          <w:sz w:val="20"/>
          <w:lang w:val="en-US" w:eastAsia="en-US" w:bidi="ar-SA"/>
        </w:rPr>
        <w:t>London and Western Canada Investment Co. v. Dolph</w:t>
      </w:r>
      <w:r>
        <w:rPr>
          <w:rFonts w:ascii="arial" w:eastAsia="arial" w:hAnsi="arial" w:cs="arial"/>
          <w:color w:val="000000"/>
          <w:sz w:val="20"/>
          <w:lang w:val="en-US" w:eastAsia="en-US" w:bidi="ar-SA"/>
        </w:rPr>
        <w:t xml:space="preserve"> </w:t>
      </w:r>
      <w:hyperlink r:id="rId304" w:history="1">
        <w:r>
          <w:rPr>
            <w:rFonts w:ascii="arial" w:eastAsia="arial" w:hAnsi="arial" w:cs="arial"/>
            <w:i/>
            <w:color w:val="0077CC"/>
            <w:sz w:val="20"/>
            <w:u w:val="single"/>
            <w:shd w:val="clear" w:color="auto" w:fill="FFFFFF"/>
            <w:lang w:val="en-US" w:eastAsia="en-US" w:bidi="ar-SA"/>
          </w:rPr>
          <w:t>(1918), 43 O.L.R. 449</w:t>
        </w:r>
      </w:hyperlink>
      <w:r>
        <w:rPr>
          <w:rFonts w:ascii="arial" w:eastAsia="arial" w:hAnsi="arial" w:cs="arial"/>
          <w:color w:val="000000"/>
          <w:sz w:val="20"/>
          <w:lang w:val="en-US" w:eastAsia="en-US" w:bidi="ar-SA"/>
        </w:rPr>
        <w:t xml:space="preserve"> (H.C.) cited with approval in </w:t>
      </w:r>
      <w:r>
        <w:rPr>
          <w:rFonts w:ascii="arial" w:eastAsia="arial" w:hAnsi="arial" w:cs="arial"/>
          <w:i/>
          <w:color w:val="000000"/>
          <w:sz w:val="20"/>
          <w:lang w:val="en-US" w:eastAsia="en-US" w:bidi="ar-SA"/>
        </w:rPr>
        <w:t>Costco Wholesale Canada Inc. v. Cazalet</w:t>
      </w:r>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2008 BCSC 952</w:t>
        </w:r>
      </w:hyperlink>
      <w:r>
        <w:rPr>
          <w:rFonts w:ascii="arial" w:eastAsia="arial" w:hAnsi="arial" w:cs="arial"/>
          <w:color w:val="000000"/>
          <w:sz w:val="20"/>
          <w:lang w:val="en-US" w:eastAsia="en-US" w:bidi="ar-SA"/>
        </w:rPr>
        <w:t xml:space="preserve"> at para. 18. As a mortgage is merely security for payment of the consideration underlying a transaction, if a case for rescission of the contract of sale is made, the related mortgage should also be rescinded: </w:t>
      </w:r>
      <w:r>
        <w:rPr>
          <w:rFonts w:ascii="arial" w:eastAsia="arial" w:hAnsi="arial" w:cs="arial"/>
          <w:i/>
          <w:color w:val="000000"/>
          <w:sz w:val="20"/>
          <w:lang w:val="en-US" w:eastAsia="en-US" w:bidi="ar-SA"/>
        </w:rPr>
        <w:t>Kupchak et al. v. Dayson Holdings Co. Ltd. et al.</w:t>
      </w:r>
      <w:r>
        <w:rPr>
          <w:rFonts w:ascii="arial" w:eastAsia="arial" w:hAnsi="arial" w:cs="arial"/>
          <w:color w:val="000000"/>
          <w:sz w:val="20"/>
          <w:lang w:val="en-US" w:eastAsia="en-US" w:bidi="ar-SA"/>
        </w:rPr>
        <w:t xml:space="preserve">, </w:t>
      </w:r>
      <w:hyperlink r:id="rId306" w:history="1">
        <w:r>
          <w:rPr>
            <w:rFonts w:ascii="arial" w:eastAsia="arial" w:hAnsi="arial" w:cs="arial"/>
            <w:i/>
            <w:color w:val="0077CC"/>
            <w:sz w:val="20"/>
            <w:u w:val="single"/>
            <w:shd w:val="clear" w:color="auto" w:fill="FFFFFF"/>
            <w:lang w:val="en-US" w:eastAsia="en-US" w:bidi="ar-SA"/>
          </w:rPr>
          <w:t>(1965), 53 D.L.R. (2d) 482</w:t>
        </w:r>
      </w:hyperlink>
      <w:r>
        <w:rPr>
          <w:rFonts w:ascii="arial" w:eastAsia="arial" w:hAnsi="arial" w:cs="arial"/>
          <w:color w:val="000000"/>
          <w:sz w:val="20"/>
          <w:lang w:val="en-US" w:eastAsia="en-US" w:bidi="ar-SA"/>
        </w:rPr>
        <w:t xml:space="preserve"> (B.C.C.A.). In the case at bar, Stoneset asserts that Trumpet, then 1076586, took assignment of the VTB mortgage subject to the equities that existed between Stoneset and Octagon when the contract of sale was executed.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Against this background, Stoneset argues that the matter is unsuitable for determination by way of summary trial application. Specifically, Stoneset asserts that it would be unjust to decide the issues on this application as the Court is not in a position to find facts necessary to the resolution of this matter, and the plaintiff has not filed pleadings as directed by Master Bishop. As a consequence, Stoneset submits that not all of the issues and possible defences to enforcement of the VTB mortgage are before the Court, including: Stoneset's claim for rescission of the VTB mortgage on the basis of fraudulent misrepresentation; Stoneset's claim for rescission of the VTB mortgage based on a failure of consideration, or </w:t>
      </w:r>
      <w:r>
        <w:rPr>
          <w:rFonts w:ascii="arial" w:eastAsia="arial" w:hAnsi="arial" w:cs="arial"/>
          <w:i/>
          <w:color w:val="000000"/>
          <w:sz w:val="20"/>
          <w:lang w:val="en-US" w:eastAsia="en-US" w:bidi="ar-SA"/>
        </w:rPr>
        <w:t>error in substantialibus</w:t>
      </w:r>
      <w:r>
        <w:rPr>
          <w:rFonts w:ascii="arial" w:eastAsia="arial" w:hAnsi="arial" w:cs="arial"/>
          <w:color w:val="000000"/>
          <w:sz w:val="20"/>
          <w:lang w:val="en-US" w:eastAsia="en-US" w:bidi="ar-SA"/>
        </w:rPr>
        <w:t>; Stoneset's claim of set-off for damages for negligent or fraudulent misrepresentation; Stoneset's claim against Trumpet for restitution of money paid by Stoneset to Trumpet pursuant to the VTB mortgage should the VTB be rescinded; and, Stoneset's claim/counterclaim against Cushman &amp; Wakefield and Kroeker for negligent misrepresentation, such misrepresentations being the same as those allegedly made by Octagon, which Stoneset says ought to be tried at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Stoneset also submits that discovery against Cushman &amp; Wakefield and Kroeker is necessary to prove that the misrepresentations (of both them and Octagon) were fraudulent, entitling it to rescission of the contract of sale and VTB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Stoneset argues that would be inefficient to require it to pursue a claim against Cushman &amp; Wakefield and Kroeker outside of this proceeding. It argues that this would raise the spectre of inconsistent judicial determination of the same factual issue; namely, misrepresentation with respect to the size and value of the land and Stoneset's damages resulting therefrom.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Stoneset asserts that there is no principled reason that judgment ought to be granted in a summary trial proceeding when it was denied in a petition and nothing further has occurred in the action since then. Stoneset submits that to grant judgment on this application would render the Order of Master Baker redundant.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Finally, Stoneset submits that the applicants for summary trial, the Hayesborne parties, have no standing or right to enforce the VTB mortgage. Stoneset submits that the Hayesborne Trust Order does not grant the Hayesborne parties the right to enforce the VTB mortgage. That Order states that the proceeds of sale of the properties realized under the VTB mortgage are impressed with a trust in favour of the Hayesborne parties, subsequent in priority to any amounts owed to Trumpet/1076586 by Octagon. In other words, the trust property consists of proceeds to be realized from the VTB mortgage, not the VTB mortgage itself. Stoneset submits that the only order the Hayesborne parties could properly seek is an order that trust property be conveyed to them as trust beneficiaries. Stoneset argues that an order absolute could not be granted in favour of the Hayesborne parties (which would grant to them all of Octagon's interest in the VTB mortgage) when the Hayesborne Trust Order limits their interest in the VTB mortgage to a specific amount of the VTB mortgage proceeds. Stoneset says that only Trumpet, and now 1076586 as subsequent assignee, is entitled to enforce the VTB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 Analysis</w:t>
      </w:r>
      <w:r>
        <w:rPr>
          <w:rFonts w:ascii="arial" w:eastAsia="arial" w:hAnsi="arial" w:cs="arial"/>
          <w:sz w:val="20"/>
          <w:lang w:val="en-US" w:eastAsia="en-US" w:bidi="ar-SA"/>
        </w:rPr>
        <w:cr/>
      </w:r>
    </w:p>
    <w:p>
      <w:pPr>
        <w:numPr>
          <w:numId w:val="2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Standing of the Hayesborne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Counsel for the Hayesborne parties note that they are defendants, and thus parties, to the action. They argue that pursuant to Rule 9-7 they are entitled to make application for a summary trial, including in relation to a proceeding that has been transferred to the trial list under Rule 22-1(7). Accordingly, they submit they do have standing to bring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While I am inclined to agree with Stoneset's position on this point, I would not dismiss the application on this basis. It is apparent from the material filed that the Hayesborne parties do not seek to enforce the VTB on their own behalf, but seek an order in favour of, and in the form presented by, 1076586. In fact, the summary trial application was made by the Hayesborne parties at a time when the assignment of the VTB mortgage from Trumpet to 1076586 had not been completed. Although Hayesborne is the applicant, both Hayesborne and 1076586 agree (the assignment from Trumpet to 1076586 having now been completed) that 1076586 should stand in Hayesborne's shoes as applicant. The relief sought and draft order makes clear, and would have made clear to Stoneset, that 1076586, as the current holder of the VTB mortgage, is the party enforcing its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To require that the notice of application be amended to insert 1076586 as applicant instead of the Hayesborne parties, would accomplish nothing. If it is necessary to do so, I would amend the notice of application for summary trial to name, as applicant, 1076586. I am satisfied that no prejudice to Stoneset results therefrom.</w:t>
      </w:r>
      <w:r>
        <w:rPr>
          <w:rFonts w:ascii="arial" w:eastAsia="arial" w:hAnsi="arial" w:cs="arial"/>
          <w:sz w:val="20"/>
          <w:lang w:val="en-US" w:eastAsia="en-US" w:bidi="ar-SA"/>
        </w:rPr>
        <w:cr/>
      </w:r>
    </w:p>
    <w:p>
      <w:pPr>
        <w:numPr>
          <w:numId w:val="2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Suitability for Determination under Rule 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my view, the matter is suitable for disposition by way of summary trial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First, it is trite law that if adequate notice is given to an opposing party that a summary trial application is going to be brought on, there falls to that party an obligation to take every reasonable step to complete as many of the pre-trial procedures as are necessary to put themselves in the best possible position. A party cannot, by failing to avail themselves of these procedures, frustrate the benefits associated with a summary trial: </w:t>
      </w:r>
      <w:r>
        <w:rPr>
          <w:rFonts w:ascii="arial" w:eastAsia="arial" w:hAnsi="arial" w:cs="arial"/>
          <w:i/>
          <w:color w:val="000000"/>
          <w:sz w:val="20"/>
          <w:lang w:val="en-US" w:eastAsia="en-US" w:bidi="ar-SA"/>
        </w:rPr>
        <w:t>Anglo Canadian Shipping Co. v. Pulp Paper &amp; Woodworkers of Canada, Local 8</w:t>
      </w:r>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(1988), 27 B.C.L.R. (2d) 378</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Everest Canadian Properties Ltd. v. Mallmann</w:t>
      </w:r>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2008 BCCA 275</w:t>
        </w:r>
      </w:hyperlink>
      <w:r>
        <w:rPr>
          <w:rFonts w:ascii="arial" w:eastAsia="arial" w:hAnsi="arial" w:cs="arial"/>
          <w:color w:val="000000"/>
          <w:sz w:val="20"/>
          <w:lang w:val="en-US" w:eastAsia="en-US" w:bidi="ar-SA"/>
        </w:rPr>
        <w:t xml:space="preserve"> at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the case at bar, Stoneset was aware in January, 2013 that the Hayesborne parties intended to schedule this application for hearing. Despite this, Stoneset, although it contemplated making an application to require the petitioner to file a notice of civil claim as early as September 2012, took no steps to apply for directions as contemplated by the Order of Master Bishop at any point prior to the hearing of this application. In addition, Stoneset had ample opportunity to adduce evidence on this application and has done so. There are very few issues that are the subject of factual dispute and, in my view, this application can be determined on the basis of the language of the sale contract and application of the law to those largely uncontested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turn next to the availability of the defences Stoneset advances in response to this application and whether the issues, including those raised by the proposed counterclaim, are so intertwined that there is a danger of litigating in slices, unnecessarily prolonging the proceedings and/or courting inconsistent judicial determinations of the same factual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As noted earlier, Stoneset argues that, on assignment, Trumpet took the mortgage subject to the equities existing between Stoneset and Octagon at the time the purchase and sale agreement and VTB mortgage were executed. Stoneset argues that the right to rescission is an equity to which Trumpet/1076586, as assignee of the mortgage, is subject.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jurisdiction of a court to rescind a contract on equitable grounds may be invoked where a party was induced to enter a contract by reason of the fraudulent conduct of the other party, even if the contract is one transferring an interest in land. The fraud must relate to matters of fact. Neither an incorrect opinion, nor mere "salesmanship" will amount to a fraudulent misrepresentation of a fact. If fraud is not established, it may still be possible to rescind a contract on grounds that the aggrieved party was induced to enter into it as a result of a non-fraudulent or innocent misrepresentation: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Recission for innocent misrepresentation may be obtained when the representation in question induced the plaintiff to enter into the contract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appears to be a limitation on the extent to which rescission may be obtained where there has been no fraud. If the contract involves land and it has been executed, for example, by conveyance of the property, it will be too late for the plaintiff who contracted under a mistake to obtain rescission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However, apart from fraud, there is one situation in which an executed contract for the sale of land may be rescinded. This is where there has been a failure of consideration, and the purchaser has, in fact, obtained something very different from that for which he bargained, for example, a smaller quantity of land ... Sometimes this is referred to as an </w:t>
      </w:r>
      <w:r>
        <w:rPr>
          <w:rFonts w:ascii="arial" w:eastAsia="arial" w:hAnsi="arial" w:cs="arial"/>
          <w:i/>
          <w:color w:val="000000"/>
          <w:sz w:val="20"/>
          <w:lang w:val="en-US" w:eastAsia="en-US" w:bidi="ar-SA"/>
        </w:rPr>
        <w:t>error in substantialibus</w:t>
      </w:r>
      <w:r>
        <w:rPr>
          <w:rFonts w:ascii="arial" w:eastAsia="arial" w:hAnsi="arial" w:cs="arial"/>
          <w:color w:val="000000"/>
          <w:sz w:val="20"/>
          <w:lang w:val="en-US" w:eastAsia="en-US" w:bidi="ar-SA"/>
        </w:rPr>
        <w:t>. In essence, however, what is involved is a significant variation from the contract as it was believed to be, and the contract as, in fact, it 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G.H.L. Fridman, </w:t>
      </w:r>
      <w:r>
        <w:rPr>
          <w:rFonts w:ascii="arial" w:eastAsia="arial" w:hAnsi="arial" w:cs="arial"/>
          <w:i/>
          <w:color w:val="000000"/>
          <w:sz w:val="20"/>
          <w:lang w:val="en-US" w:eastAsia="en-US" w:bidi="ar-SA"/>
        </w:rPr>
        <w:t>The Law of Contract in Canada</w:t>
      </w:r>
      <w:r>
        <w:rPr>
          <w:rFonts w:ascii="arial" w:eastAsia="arial" w:hAnsi="arial" w:cs="arial"/>
          <w:color w:val="000000"/>
          <w:sz w:val="20"/>
          <w:lang w:val="en-US" w:eastAsia="en-US" w:bidi="ar-SA"/>
        </w:rPr>
        <w:t>, 6th ed. (Toronto: Carswell, 2011) pp. 762-768.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Since rescission is an equitable remedy, it is discretionary in nature. If there are equitable grounds for refusing this remedy, it will be denied, even though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for rescission as a consequence of fraud, innocent misrepresentation or common mistake has been established: Fridman at p. 769. In </w:t>
      </w:r>
      <w:r>
        <w:rPr>
          <w:rFonts w:ascii="arial" w:eastAsia="arial" w:hAnsi="arial" w:cs="arial"/>
          <w:i/>
          <w:color w:val="000000"/>
          <w:sz w:val="20"/>
          <w:lang w:val="en-US" w:eastAsia="en-US" w:bidi="ar-SA"/>
        </w:rPr>
        <w:t>Kingu v. Walmar Ventures Ltd</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(1986), 10 B.C.L.R. (2d) 15</w:t>
        </w:r>
      </w:hyperlink>
      <w:r>
        <w:rPr>
          <w:rFonts w:ascii="arial" w:eastAsia="arial" w:hAnsi="arial" w:cs="arial"/>
          <w:color w:val="000000"/>
          <w:sz w:val="20"/>
          <w:lang w:val="en-US" w:eastAsia="en-US" w:bidi="ar-SA"/>
        </w:rPr>
        <w:t xml:space="preserve"> at 21 (B.C.C.A.), McLachlin J.A. (as she then was) noted that rescission for innocent (non-fraudulent) misrepresentation may be denied where the party seeking the remedy fails to act promptly after learning of the misrepresentation, and granting the remedy would prejudice an innocent third party who acquired rights for value on the faith of the validity of the original contract. The petitioner argues that Stoneset did nothing after learning of the alleged misrepresentations to seek the remedy of rescission.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this case, there is no evidence of any fraudulent misrepresentation that induced Stoneset to enter into the purchase and sale agreement with Octagon. It is instructive, and telling, that fraud has not been pleaded by Stoneset in its Alberta or British Columbia actions against Octagon, DeDominicis, Cushman &amp; Wakefield or Kroeker. In the Alberta action, Stoneset simply claims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against Octagon, DeDominicis, Cushman &amp; Wakefield, and Kroeker and seeks only damages. Accordingly, on the basis of Stoneset's own action, there will never be a finding of fraud in relation to the purchase and sale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Further, and assuming that either Octagon or DeDominicis, by relying on the surveys and the Cushman &amp; Wakefield/Kroeker appraisal respecting the aggregate site area, innocently misrepresented the size of the lands being conveyed to Stoneset and that it resulted in a failure of consideration, rescission is not a remedy available to Stoneset because, on the uncontradicted evidence, it failed to act promptly after learning of the alleged misrepresentation to disaffirm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By as early as October 2010, Stoneset knew from the Griffith report respecting the aggregate size of the lands that there was, or may be, a discrepancy between that which was bargained for and that which was actually acquired. According to Argento, the discrepancy was confirmed by Griffith in March 2011. Despite this, Stoneset did nothing to pursue the remedy of rescission until well after foreclosure proceedings were commenced in August, 2011. Indeed, in a publicly available Financial Statement, prepared in April, 2011 and filed on the SEDAR website, Stoneset reported that, as the original joint venture partner was no longer in business, it was seeking another joint venture partner for the development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This is not a case where Stoneset merely delayed in its assertion of the remedy, although the delay is substantial and unexplained by Argento. Rather, it is case where Stoneset made an election not to pursue the remedy in a timely way. In these circumstances, I am of the view that the right to rescission is barred by laches and that it would be unjust to grant the remedy at this time, particularly in the absence of any evidence of deceit or an intention to defraud. In short, it is apparent from the uncontested facts before me that the remedy of rescission is not available to Stoneset, and is not an equity to which Trumpet/1076586 is, or could become, subject.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turn next to Stoneset's contention that representations made by Octagon at the time of the sale contract give rise to a defence to enforcement of the VTB mortgage by way of a set off for damages for negligent misrepresentation. Stoneset argues that the statements as to acreage, value and development potential of the property were false, and that they were negligently made in circumstances where Octagon would know that Stoneset would reasonably rely on those representations. Further, Stoneset argues that its reliance on the representations was, in fact,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As in any trial, a party asserting the affirmative of an issue must prove it on a balance of probabilities. Stoneset asserts that the purchase and sale agreement and related VTB mortgage were induced by negligent misrepresentation. Accordingly, the onus rests upon Stoneset to establish that there was such a misrepresentation on a balance of probabilities and 1076586 should not be entitled to their contractual remedies under the VTB mortgage. In my view, Stoneset has failed to establish that it was induced to enter the sale contract on the basis of negligent misrepresentations made by Octagon.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 will deal first with Stoneset's contention that Octagon induced it to enter into the purchase and sale agreement by negligent misrepresentations with respect to the development potential of the land. In my view, this contention is fully answered by the terms of the contract itself. Specifically, Stoneset was, as a condition precedent to the agreement, obliged to satisfy itself with respect to zoning issues and the proposed use of the land for the development of a hotel and residential condominium units. These conditions were expressed in the contract to be inserted for the sole benefit of Stoneset. Stoneset was in possession of the applicable bylaw and Octagon, by the terms of the contract, authorized the municipal authority having jurisdiction over the land to provide Stoneset with any information it requested. The contract manifests the intention of the parties that Stoneset would make its own due diligence inquiries respecting the development potential of the land. That Stoneset, a sophisticated commercial party, failed to do so (in fact it waived all of the conditions inserted for its benefit before closing) does not give rise to a remedy or a defence to enforcement of the VTB mortgage at issue in these proceedings: </w:t>
      </w:r>
      <w:r>
        <w:rPr>
          <w:rFonts w:ascii="arial" w:eastAsia="arial" w:hAnsi="arial" w:cs="arial"/>
          <w:i/>
          <w:color w:val="000000"/>
          <w:sz w:val="20"/>
          <w:lang w:val="en-US" w:eastAsia="en-US" w:bidi="ar-SA"/>
        </w:rPr>
        <w:t>John Bosworth Ltd. v. Professional Syndicated Dev.</w:t>
      </w:r>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(1979), 97 D.L.R. (3d) 112</w:t>
        </w:r>
      </w:hyperlink>
      <w:r>
        <w:rPr>
          <w:rFonts w:ascii="arial" w:eastAsia="arial" w:hAnsi="arial" w:cs="arial"/>
          <w:color w:val="000000"/>
          <w:sz w:val="20"/>
          <w:lang w:val="en-US" w:eastAsia="en-US" w:bidi="ar-SA"/>
        </w:rPr>
        <w:t xml:space="preserve"> (Ont.H.C.).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With respect to Stoneset's contention that misrepresentations were made respecting the expertise of the proposed joint venture partner, such representations were made by Navigator, not Octagon. To the extent such representations were made at all, they reflect "salesmanship" rather than representations of fact. But more to the point, there is no evidence before me that those representations were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With respect to Stoneset's contention that misrepresentations were made respecting the market value of the land, only statements of fact are subject to a claim for misrepresentation. An opinion as to value is not actionable against the vendor, Octagon. In any event, there is no evidence before me that any representation made as to the value of the property was false. That the property was worth substantially less, in the context of a declining market, some 3 1/2 years later establishes nothing. Further, Octagon was entitled to rely on the opinion of a qualified appraiser, supported by a survey on file in the Land Title Office, as to the value and size of the land. In my view, it cannot be said that any representation made by Octagon, based on its reliance on these documents,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With respect to Stoneset's contention that it was induced to enter the agreement of purchase and sale on the basis of negligent misrepresentations made respecting the aggregate size of the lands being conveyed, Octagon relied on the appraisal and surveys on file in the Land Title Office. It was entitled to do so. Even if this can be construed as a representation made by Octagon (as opposed to the surveyors and appraiser) I am not satisfied on the evidence before me that the representation was false. As noted earlier, I have no evidence before me respecting the methodology used by Griffiths to calculate the land mass or why those calculations differ from the aggregate size of the lands as reflected on the surveys. Stoneset was certainly in a position to adduce evidence on these points. It did not do so. But even assuming the aggregate size of the lands conveyed are less than those represented on the survey and reflected in the appraisal, it cannot be said that any representation made by Octagon, based on its reliance on these documents,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In my view, if the size of the land was wrong, the value of the land was wrong or there was a breach of the joint venture agreement by virtue of Navigator's ability to perform, Stoneset </w:t>
      </w:r>
      <w:r>
        <w:rPr>
          <w:rFonts w:ascii="arial" w:eastAsia="arial" w:hAnsi="arial" w:cs="arial"/>
          <w:i/>
          <w:color w:val="000000"/>
          <w:sz w:val="20"/>
          <w:lang w:val="en-US" w:eastAsia="en-US" w:bidi="ar-SA"/>
        </w:rPr>
        <w:t>may</w:t>
      </w:r>
      <w:r>
        <w:rPr>
          <w:rFonts w:ascii="arial" w:eastAsia="arial" w:hAnsi="arial" w:cs="arial"/>
          <w:color w:val="000000"/>
          <w:sz w:val="20"/>
          <w:lang w:val="en-US" w:eastAsia="en-US" w:bidi="ar-SA"/>
        </w:rPr>
        <w:t xml:space="preserve"> have a cause of action for damages against third parties unrelated to this action, specifically: the surveyor; Cushman &amp; Wakefield; Kroeker and/or Navigator. But any action for damages against these third parties does not go to the root of the VTB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An Order Nisi would not preclude Stoneset from continuing the action it has already commenced in Alberta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As there is no reasonable prospect of payment, the Order Nisi should set a shortened redemption period and, in the likely event that the VTB mortgage is not redeemed, a further application can be made by 1076586 for an Order of Sale (the application before me does not seek this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For the foregoing reasons, judgment is granted in favour of 1076586. Upon filing by the petitioner of a revised Statement of Accounting, an Order Nisi will issue on the terms and conditions set out in the draft order submitted by 1076586 in support of this summary trial, with the following amendments. The last date for redemption shall be two clear days from the date of the issuance of this judgment. 1076586 and the trust beneficiaries will have their costs in relation to this application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G.J. FITCH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2" style="position:absolute;z-index:2518763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10"/>
          <w:headerReference w:type="default" r:id="rId311"/>
          <w:footerReference w:type="even" r:id="rId312"/>
          <w:footerReference w:type="default" r:id="rId313"/>
          <w:headerReference w:type="first" r:id="rId314"/>
          <w:footerReference w:type="first" r:id="rId31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16" w:history="1">
        <w:r>
          <w:rPr>
            <w:rFonts w:ascii="arial" w:eastAsia="arial" w:hAnsi="arial" w:cs="arial"/>
            <w:b/>
            <w:bCs/>
            <w:i/>
            <w:color w:val="0077CC"/>
            <w:kern w:val="32"/>
            <w:sz w:val="28"/>
            <w:szCs w:val="32"/>
            <w:u w:val="single"/>
            <w:shd w:val="clear" w:color="auto" w:fill="FFFFFF"/>
            <w:lang w:val="en-US" w:eastAsia="en-US" w:bidi="ar-SA"/>
          </w:rPr>
          <w:t>Adamson v. Charity, [2007] B.C.J. No. 1009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Bauman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20-24, 28-30, December 1, 4-8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11-15, 2006; January 2-5 and 8-11,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14,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02-1809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1009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671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157 A.C.W.S. (3d) 323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Roger Adamson, Plaintiff, and Donald Emil Charity,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(321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3"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6" w:name="Keywords_17"/>
      <w:bookmarkEnd w:id="116"/>
      <w:r>
        <w:rPr>
          <w:rFonts w:ascii="arial" w:eastAsia="arial" w:hAnsi="arial" w:cs="arial"/>
          <w:b/>
          <w:color w:val="000000"/>
          <w:sz w:val="20"/>
          <w:lang w:val="en-US" w:eastAsia="en-US" w:bidi="ar-SA"/>
        </w:rPr>
        <w:t>Damages — General damages — Categories of — Loss of income — Loss of opportunity — For personal injuries — Cost of future care -- non-pecuniary damages, including pain and suffering — The plaintiff was awarded over $1.75 million in damages after suffering brain injuries in a motor vehicle accident for which the defendant, who had run a stop sign, was held to be 100 per cent responsible.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injuries — Head injuries — Brain damage — The plaintiff was awarded over $1.75 million in damages after suffering brain injuries in a motor vehicle accident for which the defendant, who had run a stop sign, was held to be 100 per cent responsible.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The plaintiff was awarded over $1.75 million in damages after suffering brain injuries in a motor vehicle accident for which the defendant, who had run a stop sign, was held to be 100 per cent responsible.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7" w:name="Case Summary_14"/>
            <w:bookmarkEnd w:id="11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failed to stop at a stop sign, and crashed his SUV into the plaintiff's pick-up truck -- The plaintiff sought damages for chronic pain, major depression and an alleged mild traumatic brain injury -- HELD: The defendant was solely responsible for the accident, and the plaintiff was awarded over $1.75 million in damages -- The court found that the defendant was not a reliable witness, and that his version of the accident was not credible, as it conflicted with the physical evidence -- He was driving his vehicle too quickly for the road conditions at the time, and inattention caused his failure to stop at the stop sign -- The plaintiff had no warning and it was impossible for him to avoid the collision -- The court awarded $200,000 in non-pecuniary damages, plus $400,000 for pre-trial loss of working capacity and $925,000 for future loss of working capacity, $75,000 for lost business opportunity (from a plan to convert properties into rental suites), $125,000 for cost of future care (for medications and ergonomic assistive devices, rehabilitation, etc.), $26,875 in special damages -- The court declined to award damages for loss of opportunity to invest in real estate as it was speculative.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8" w:name="Legislation Cited_13"/>
      <w:bookmarkEnd w:id="11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4" style="position:absolute;z-index:2517278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26(14), Rule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Evidence Act, </w:t>
      </w:r>
      <w:hyperlink r:id="rId317" w:history="1">
        <w:r>
          <w:rPr>
            <w:rFonts w:ascii="arial" w:eastAsia="arial" w:hAnsi="arial" w:cs="arial"/>
            <w:i/>
            <w:color w:val="0077CC"/>
            <w:sz w:val="20"/>
            <w:u w:val="single"/>
            <w:shd w:val="clear" w:color="auto" w:fill="FFFFFF"/>
            <w:lang w:val="en-US" w:eastAsia="en-US" w:bidi="ar-SA"/>
          </w:rPr>
          <w:t>R.S.B.C. 1996, c. 124, s. 42</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9" w:name="Counsel_17"/>
      <w:bookmarkEnd w:id="11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5" style="position:absolute;z-index:2517790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D.A. Acheson, Q.C., S. Sweeney and M. Selly.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R.B. McDaniel.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0" w:name="Judgment_17"/>
      <w:bookmarkEnd w:id="120"/>
      <w:r>
        <w:pict>
          <v:line id="_x0000_s1116" style="position:absolute;z-index:2518302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1" w:name="BAUMAN J."/>
            <w:bookmarkEnd w:id="121"/>
            <w:r>
              <w:rPr>
                <w:rFonts w:ascii="arial" w:eastAsia="arial" w:hAnsi="arial" w:cs="arial"/>
                <w:b/>
                <w:color w:val="000000"/>
                <w:sz w:val="30"/>
                <w:lang w:val="en-US" w:eastAsia="en-US" w:bidi="ar-SA"/>
              </w:rPr>
              <w:t>BAUMAN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 </w:t>
      </w:r>
      <w:r>
        <w:rPr>
          <w:rFonts w:ascii="arial" w:eastAsia="arial" w:hAnsi="arial" w:cs="arial"/>
          <w:b/>
          <w:color w:val="000000"/>
          <w:sz w:val="20"/>
          <w:u w:val="single"/>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9 October 2000, Donald Charity's sports utility vehicle collided with Roger Adamson's Ford pickup truck at the intersection of Nanaimo and Market Streets in the city of Victoria.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Adamson had the right of way and Mr. Charity's vehicle failed to stop at the stop sign controlling his entry into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Adamson's truck was pushed across the intersection by the force of the collision. It struck the curb, sheared off a boulevard tree and came to rest on the passenger side door. The emergency crew had to use the "jaws of life" to extricate Mr. Adamson.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Notwithstanding the dramatic accident scene, it initially appeared that Mr. Adamson's injuries were relatively minor.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They were not. Those few moments have changed Roger Adamson's life and the lives of his wife and children completely.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Sadly, it was Thanksgiving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Briefly, Mr. Adamson suffers from chronic pain, major depression and, it is alleged, a mild traumatic brain injury. Mr. Adamson has not worked since 2003. He advances a very substantial claim in damages and, in particular, for past and future loss of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That aspect of the claim is hotly contested by the defendant; all other aspects of the claims in damages and liability are as well put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 maintains that the plaintiff has not suffered a brain injury; that many of his symptoms and his depression are amenable to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 </w:t>
      </w:r>
      <w:r>
        <w:rPr>
          <w:rFonts w:ascii="arial" w:eastAsia="arial" w:hAnsi="arial" w:cs="arial"/>
          <w:b/>
          <w:color w:val="000000"/>
          <w:sz w:val="20"/>
          <w:u w:val="single"/>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will resolve critical issues of fact as I proceed through these reasons but I will provide a general view on the credibility of a number of the major players.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These include Roger Adamson, his wife Sharon, his brother-in-law, Jin Dhillon, the family accountant, Terry Parkes and an occupational therapist/case coordinator for Mr. Adamson, Mair Edwards.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To varying degrees, their credibility was challenged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the contrary, I found these witnesses individually to be credible and reliable historians.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III </w:t>
      </w:r>
      <w:r>
        <w:rPr>
          <w:rFonts w:ascii="arial" w:eastAsia="arial" w:hAnsi="arial" w:cs="arial"/>
          <w:b/>
          <w:color w:val="000000"/>
          <w:sz w:val="20"/>
          <w:u w:val="single"/>
          <w:lang w:val="en-US" w:eastAsia="en-US" w:bidi="ar-SA"/>
        </w:rPr>
        <w:t>Roger Adamson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what follows I will provide more detail than one might normally expect. I do so because just who Roger Adamson is and what he was capable of before the accident are very much in issue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Roger Adamson was born on 17 December 1957. At the time of the accident, he was 42 years of age and at trial, 48. He is married to Sharon Adamson and they have two children, a son aged 12 and a daughter aged 16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Adamson was good with his hands from early childhood. He testified that he built a lot of models and Balsa wood gliders as a youngster. He says that as a teenager, he built a recreation room in his Oshawa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Judging by his skills as an adult, this recollection is quite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Adamson took some trade courses in welding, but with respect to general carpentry, he was basically self-taught. This offers an insight into the man which I will discuss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Adamson was not a gifted academic student. He left school without completing grade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Adamson soon joined the military where he served for almost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At 20 he arrived in Fort McMurray, Alberta, where he worked as a welder on the first drag lines for the tarsands development. Mr. Adamson did that work for about three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By then, his parents had relocated to Banff, Alberta, where they operated a motel. Mr. Adamson undertook a contract for the owner of the motel renovating its 80 rooms and bathrooms. This was his first major construction project. He did much of the varied work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Adamson said at trial that he found the long hours of work "easy"; that you simply "learn as you go". This is typical of the man and his approach to various construction projects.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After a three year relationship ended, Mr. Adamson eventually arrived in Sidney, British Columbia. He has remained in the greater Victoria area ever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Sidney, Mr. Adamson established Rogers Finishing Touch Ltd. through which he undertook home renovations for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Early on in Sidney, Mr. Adamson completed a large commercial contract which involved a three storey addition to an existing building. Asked at trial how he bid on the ambitious project, Mr. Adamson responded: "I read the plans and quoted the going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At some point in the 1980s (the plaintiff was unsure), Mr. Adamson met Mahinder Dhillon, a Victoria developer. Mr. Dhillon was apparently impressed with the quality of Mr. Adamson's work and he gave Mr. Adamson the opportunity to work on a three suite renovation project for the Dhillon family in a large home in the Rockland area of Victoria.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It was on this project that Mr. Adamson met Mr. Dhillon's daughter, Sharon, who had returned to Victoria after the breakdown of her marriage.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Adamson and Ms. Dhillon soon became serious. Mr. Adamson was welcomed into Ms. Dhillon's extended Indo-Canadian family. He undertook many more projects for Mahinder Dhillon.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Dhillon family was very active in the residential rental suite market. To a person they all grew up "talking" residential real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family business model, according to the evidence at trial, was simple: purchase multi-suite properties in good locations, renovate them, increase the rents appropriately and leverage off the appreciating capital value to finance the acquisition of more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Sharon Dhillon shared the family's passion for property. She and Mr. Adamson formed a symbiotic team; she with the family talent for identifying likely properties which were financially viable, and he with the vision and talent to renovate them so as to maximize their potential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An example of this, which in turn highlights Mr. Adamson's talents, was the couple's acquisition of a property in the late 1980s referred to at trial as the Cloakhill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property was located in a new subdivision near Sidney. It was priced significantly below other lots in the subdivision. The reason apparently was that driveway access to the building site, which offered the best view, was felt by the developer to be very difficult and prohibitively expensive. Mr. Adamson did not see it that way. He identified the prime view site on the lot, educated himself to an extent in the art of road building through rock, and convinced his fiancée to acquire the property. They did so and Mr. Adamson superintended the construction of a suitable access for under $10,000. The couple later sold the lot for a very substantial profit.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couple married in 1989. They soon acquired a rental property on Bay Street in Victoria through Sharon Adamson's father and brothers. In 1989, the couple purchased another rental property on Howe Street. Thereafter in the early 1990s they acquired a six suite home on Dallas Road with a panoramic view of the ocean.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All of the properties were acquired in the name of Sharon Adamson alone. It was, however, the couple's evidence that they shared beneficial ownership equally.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It was Jin Dhillon's evidence (as the family financial adviser) that in their close knit family, it was irrelevant whose name was formally on title. Individuals were intentionally kept off title to various properties, and the accompanying financial obligations, in order to keep their credit "freed up" for future acquisitions.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accept that this was so in the case of Roger and Sharon Adamson.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Much time was expended at trial with the defendant questioning Roger Adamson's claim to equal beneficial ownership in the properties registered in the name of Sharon Adamson. It was the defendant's theory, apparently, that the plaintiff could not lay claim to ownership of the properties and that this told against his claim for lost rental revenue and capital appreciation in new acquisitions which he advanced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It is not necessary to review the extensive evidence in the record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Based on the evidence of the plaintiff, Sharon Adamson, the family accountant Terry Parkes and Jin Dhillon, I find that Sharon and Roger Adamson are co-venturers in the family rental property business; that they share equally in the ownership of the properties noted above, and others to which I will refer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From 1990 to 1993 the family, largely through Roger Adamson, undertook extensive renovations to the Bay Street property which consists of four rental suites. Very little work was undertaken on the Howe Street property, but beginning in 1994 and continuing right up to the date of the accident, Dallas Road was extensively renovated.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This was a job that started literally at the rafters and studs. It is with Dallas Road, and in particular in the suite in which to this day the Adamson family resides, where we see the true measure of Roger Adamson's talent for carpentry and woodworking.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Based on the independent evidence of Darrell Orr, an expert carpenter and Victoria area contractor, Roger Adamson's work can only be described as that of a highly talented and dedicated finishing carpenter.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photographs of his work (Exhibit 1, Tab 1) at Dallas Road, evidence a talent for woodworking and an attention to detail of which only a small percentage of carpenters could boast.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Again, the defendant at trial sought to characterize the plaintiff as a run of the mill, uncertified carpenter.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While the plaintiff does not have his journeyman papers in this trade, he is nevertheless, I find, or at least was until the date of the accident, an extremely gifted carpenter with considerable knowledge and ability in most aspects of the construction trades and in drafting plans and specifications. In this latter regard, the plans exhibited at trial display a technical expertise paired, literally, with a significant artistic talent.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find that Mr. Adamson had an innate ability to look at a potential renovation project and to visualize a finished layout which would tend to maximize the usefulness of the space; that his talent was coupled with the ability to physically carry out the renovation.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1994, Sharon Adamson gave birth to the couple's son. She apparently had a difficult pregnancy and she experienced health challenges in the years afterwards.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By 1998, Mrs. Adamson's condition had worsened and she went on short term disability. Thereafter, she qualified for her CPP permanent disability pension.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It is not necessary to detail the nature and extent of Mrs. Adamson's conditions. I do note, however, that her illnesses, while preventing her from engaging in full-time employment, are not totally debilitating. She gave evidence at trial over the course of several days and she clearly enjoys a residual capacity to function. This is important when I turn to the issue of damages, especially the loss of opportunity claim, which in part hinges on the prospects for the Adamson's rental property investment ventures.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Roger Adamson's health before the accident was excellent. Only one medical intervention is of note. In 1994, Mr. Adamson was referred to Dr. Wong, a specialist, complaining of tinnitus and hearing loss in his left 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Wong in his consult report of 14 April 1994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the findings this patient was found to have bilateral high tone loss, secondary to noise trauma. The tinnitus stems from hair cell damage. He was advised to wear ear protectors whenever he is working in noisy surroundings.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have discussed at some length Roger Adamson's talents as a carpenter. Effectively he was his family's general contractor in the renovation of the rental investment properties which he and Sharon Adamson acquired. But it bears observation that the renovation projects often took a considerable time for completion.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Dallas Road, in particular, is a good example. By the time of the accident the renovation, by then some years in progress, was not yet finished. Indeed, it is not finished to this day. Very little work has been undertaken on the Howe Street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Adamsons explained that this was largely the result of Mr. Adamson's extensive work on the properties of the extended Dhillon family, especially at the request of Mahinder Dhillon, who apparently frequently called Mr. Adamson away from his own projects to work on his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This work by Roger Adamson on his own properties and those of his father-in-law is also offered as an explanation for Mr. Adamson's minimal taxable income in the years before the accident. His tax returns for the ten years before the accident disclose total income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1987"/>
        <w:gridCol w:w="700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Year</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Total Income</w:t>
            </w:r>
          </w:p>
        </w:tc>
        <w:tc>
          <w:tcPr>
            <w:tcW w:w="6861"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6861"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1990</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$ 11,260.88</w:t>
            </w:r>
          </w:p>
        </w:tc>
        <w:tc>
          <w:tcPr>
            <w:tcW w:w="6861"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2301"/>
        <w:gridCol w:w="700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1991</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- 16,488.90</w:t>
            </w:r>
          </w:p>
        </w:tc>
        <w:tc>
          <w:tcPr>
            <w:tcW w:w="6861"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1992</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16,093.82</w:t>
            </w:r>
          </w:p>
        </w:tc>
        <w:tc>
          <w:tcPr>
            <w:tcW w:w="686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941"/>
        <w:gridCol w:w="1359"/>
        <w:gridCol w:w="700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1993</w:t>
            </w:r>
          </w:p>
        </w:tc>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2,484.24</w:t>
            </w:r>
          </w:p>
        </w:tc>
        <w:tc>
          <w:tcPr>
            <w:tcW w:w="686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2301"/>
        <w:gridCol w:w="700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1994</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- 10,405.81</w:t>
            </w:r>
          </w:p>
        </w:tc>
        <w:tc>
          <w:tcPr>
            <w:tcW w:w="6861"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1995</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- 7,963.04</w:t>
            </w:r>
          </w:p>
        </w:tc>
        <w:tc>
          <w:tcPr>
            <w:tcW w:w="6861"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1996</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- 19,710.00</w:t>
            </w:r>
          </w:p>
        </w:tc>
        <w:tc>
          <w:tcPr>
            <w:tcW w:w="6861"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1997</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- 6,528.00</w:t>
            </w:r>
          </w:p>
        </w:tc>
        <w:tc>
          <w:tcPr>
            <w:tcW w:w="6861"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1998</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12,289.00</w:t>
            </w:r>
          </w:p>
        </w:tc>
        <w:tc>
          <w:tcPr>
            <w:tcW w:w="6861"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1999</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23,180.00</w:t>
            </w:r>
          </w:p>
        </w:tc>
        <w:tc>
          <w:tcPr>
            <w:tcW w:w="686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It is not disputed by the defendant that these returns do not reflect Roger Adamson's true income in these years, but the parties are some distance apart on the true figures.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any event, Mr. Adamson at trial maintained that the deflection from work on his own projects had, coincidentally, effectively ended shortly before the accident with the death of Mahinder Dhillon in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One other development in this regard should also be noted. With Sharon Adamson's uncertain health issues, and her inability to continue her work at the local hospital, Roger Adamson, beginning in 1998, had begun working for others. In particular, in 1999 he took on projects as a contractor for Home Depot undertaking door and kitchen installations.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This was piece work and Mr. Adamson's efficiency as a general carpenter resulted in a relatively high effective hourly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flexibility of scheduling the work also made it an ideal part time job for Roger Adamson.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Finally, in this same period just before the accident, the Adamson's business model changed slightly. They identified, largely I find through Roger Adamson, the opportunity to substantially increase their rental revenues by offering furnished suites for short and longer term visitors to Victoria.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They introduced this concept with success to a number of the suites in the Dallas Road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We have in Roger Adamson before the accident, then, a gifted multi-talented carpenter, effectively a general contractor, and a person who co-managed the family's rental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We also have a healthy, active man who on the evidence was outgoing and energetic and who enjoyed a number of hobbies, including fishing, canoeing, camping and skiing.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IV </w:t>
      </w:r>
      <w:r>
        <w:rPr>
          <w:rFonts w:ascii="arial" w:eastAsia="arial" w:hAnsi="arial" w:cs="arial"/>
          <w:b/>
          <w:color w:val="000000"/>
          <w:sz w:val="20"/>
          <w:u w:val="single"/>
          <w:lang w:val="en-US" w:eastAsia="en-US" w:bidi="ar-SA"/>
        </w:rPr>
        <w:t>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will recount the accident from the perspective of the plaintiff's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the early afternoon of 9 October 2000, Roger Adamson was travelling east on Market Street in Victoria on his way home. The visibility was clear, the road conditions were damp, but it was not 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Adamson estimates that he was travelling at 30 to 35 kilometres per hour on this two lane roadway. I would characterize Market Street as a side street - it is not, for example, even lined.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Nanaimo Street runs north/south and its intersection with Market, is controlled by a stop sign for vehicles travelling south on Nanaimo. Clearly, and it is not disputed, traffic on Market enjoys the right of way through the intersection with Nanaimo.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Adamson recounts how his truck was "T-boned" by the defendant's SUV as he was crossing the intersection of Market and Nanaimo Streets. Roger Adamson did not see the defendant's vehicle coming; he heard no horn sound or braking.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have described the dynamics of the accident itself in my overview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Adamson was strapped in the driver's seat notwithstanding the truck's position laying on its passenger door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He testified that his left shoulder was numb and tingling; that it felt like a "wet noodle."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Adamson was unable to open the driver's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Someone came to the vehicle. Mr. Adamson indicated that he was okay, save for his left arm; he expressed a concern that his engine was still running and felt anxious about a potential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Another person approached the Adamson vehicle. Mr. Adamson deduced that it was the driver of the other vehicle. Mr. Adamson testified that this individual stated: "It was my fault, I ran the stop 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Adamson did not remember if he briefly lost consciousness in the roll over. Police, fire and ambulance personnel attended. As well, a local television station arrived and took some very helpful footage of the vehicles, which I will discuss in my section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Adamson was extricated from his truck and transported to Royal Jubilee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Ambulance Crew Report notes Mr. Adamson's chief complaint as "sore left shoulder and elbow"; his score on the coma scale was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Sharon Adamson attended at the hospital. She was advised of the accident by one of her brothers whom the plaintiff had managed to contact before police arrived at the accident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Adamson was attended by a young resident. He advised Mr. Adamson that he could go home and gave him some Tylenol No. 3s. Sharon Adamson wanted x-rays taken, but the attending doctor did not think that necessary and Mr. Adamson did not insist.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At home, Mr. Adamson testified that he was quite exhausted, that it "felt like I slept for two days." In fact, he did not. Sharon Adamson testified that she encouraged Mr. Adamson to get out of bed. The two attended a Victoria lawyer that day. Asked why, Mrs. Adamson responded on cross-examination that it was because the couple had never been in a "big accident" before. The lawyer advised the couple to maintain a diary and they did so for many months with Mrs. Adamson recording what Mr. Adamson reported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Also on that first day after the accident, Sharon Adamson drove Roger to do two "measures" for Home Depot installations. This is a pre-ordering/pre-installation procedure which is not very time consuming. The fact of it cuts both ways. It does demonstrate that the plaintiff was not totally disabled after the accident; it also underlines the importance of the Home Depot work to the family and Roger Adamson's work ethic.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Finally, on that day (10 October 2000) Mr. Adamson attended on his family physician, Dr. Roy A. Smardon, whose clinical note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Oct. 10, 2000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Neck strain, post MVA - works as a kitchen installer. On Oct. 9 at about 2 pm, his car was T-boned on the driver's side. Other vehicle hit him at about 30km. / hour (it ran a stop sign). His left shoulder, elbow and arm felt numb. Was seen in the ER. Numbness now gone but sore in neck and shoulders now. Low back OK. Was given Tylenol #3's in the ER and was moaning all night.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examination - Neck - Loss of 30% extension, 50% flexion and loss of 20% right and left rotation. Able to extend arm above head.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Plan - over the counter meds, ice, heat and possibly physiotherapy. See me in 7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Adamsons noted in the diary (Exhibit 65) various symptoms which Roger Adamson presented with in the remaining weeks of 2000. These included:</w:t>
      </w:r>
      <w:r>
        <w:rPr>
          <w:rFonts w:ascii="arial" w:eastAsia="arial" w:hAnsi="arial" w:cs="arial"/>
          <w:sz w:val="20"/>
          <w:lang w:val="en-US" w:eastAsia="en-US" w:bidi="ar-SA"/>
        </w:rPr>
        <w:cr/>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dizziness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nausea</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extreme fatigue</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severe headaches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numbness and tingling in the left arm</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train of thought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"confusion"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Adamson was off work for some days after the accident. He did return to his Home Depot duties, but he testified that he took longer to complete jobs. He also required helpers to assist him and ICBC for a time covered the cost of this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Sharon Adamson testified, for example, that in this period it would take the plaintiff three hours to complete a storm door installation, whereas before the accident he did it in one hour; that after the work the plaintiff was exhausted and simply came home and slept.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This was a theme which I find was repeated in the weeks and months which followed the accident: The plaintiff made a sincere effort to maintain the Home Depot part time work, but in doing so, he paid a price, a considerable one, for his exertion.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ICBC took an early and active role in Mr. Adamson's rehabilitation. The "running notes" of its adjusters were exhibited at trial as business records under s. 42 of the </w:t>
      </w:r>
      <w:r>
        <w:rPr>
          <w:rFonts w:ascii="arial" w:eastAsia="arial" w:hAnsi="arial" w:cs="arial"/>
          <w:b/>
          <w:i/>
          <w:color w:val="000000"/>
          <w:sz w:val="20"/>
          <w:lang w:val="en-US" w:eastAsia="en-US" w:bidi="ar-SA"/>
        </w:rPr>
        <w:t>Evidence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124</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note this entry on 30 October 2000: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MET WITH ROGER AND WIFE SHARON AT CLAIM CENTRE: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THEY ARE NICE PEOPLE, BUT CAUGHT UP WITH THE UNCERTAINTY AND INCONVENIENCE OF HAVING AN MVA INTERRUPT THEIR LIFESTYLE. GP SMARDON IS A 'PASSIVE' GP AND IS NOT PROACTIVE IN DEALING WITH MVA RELATED INJURIES. HE IS A VERY SYMPATHETIC GP AND HAS GIVEN INSTRUCTION TO ROGER TO "TAKE IT EASY" AND SEE ME IN A FEW WEEKS." HE FELT IT WAS "TOO SOON" TO UNDERGO THERAPY AND THEREFORE, ROGER HASN'T SEEN ANYONE OTHER THAN THE GP SINCE THE MVA. ROGER WAS IN A SEVERE IMPACT ON THE DRIVERS SIDE BY A VEHICLE WHICH T-BONED HIS TRUCK; THE TRUCK ROLLED, THEN HIT A POLE ON THE RIGHT SIDE OF THE TRUCK. ROGER STATES HIS LEFT ARM FELT "FUNNY" IMMEDIATELY AT THE MVA SITE. HIS NECK THEN GRADUALLY STIFFENED, AND THIS CREPT DOWN HIS CERVICAL SPINE AND INTO THE TRAP AREAS AND INTO THE SHOULDER AREA. AT PRESENT, ROGER FEELS HIS L ARM IS AT ABOUT 65 - 70% CAPACITY. HIS GRIP STRENGTH IS REDUCED, HE IS GETTING NEUROLOGICAL PROBLEMS WITH IT: TINGLING. NUMBNESS THAT EXTENDS INTO HIS TWO FINGERS, A 'CLICKING' SOUND IN THE SHOULDER AND IS WAKING UP WITH DAILY HEADACHES. HE STATES HE DOESN'T HAVE ANY HX OF MIGRAINES OR HEADACHES. HE HAS TAKEN T3'S AND ADVIL. HE DOESN'T TAKE THE T3'S WITH CODEINE DURING THE DAY, AS IT MAKES HIM DROWSY, SO HE USES THE ADVIL. FOR TWO WEEKS POST MVA, HE DIDN'T WORK. SINCE THEN, HE HAS BEEN ABLE TO DO LIGHTER JOBS AND HAS HIRED A HELPER AT $15/HOUR TO DO THE GRUNT WORK. ROGER INDICATES HE CAN'T RAISE HIS ARM ABOVE SHOULDER LEVEL, AS THIS 'PUTS IT TO SLEEP AND TINGLING ETC STARTS. SO ANY OVERHEAD PHYSICAL WORK IS OUT AT THIS TIME. LORRAINE, HANDLING ADJUSTER HAS OK'D THE HIRING OF AN ASSISTANT. SHARON, ROGERS WIFE, DOES THE BOOKS AND IS KEEPING TRACK OF ALL HOURS. ROGER HAS TWO JOBS, INDICATING THAT HE SPENDS ABOUT 50/50 OF HIS TIME AT 1) HOME DEPOT WHERE HE WORKS ON CONTRACT DOING MEASUREMENTS FOR DOORS ETC AND 2) SELF-EMPLOYED DOING KITCHENS AND RE &amp; RE IN THE HOME. HE HAS WORKED FOR HOME DEPOT FOR ABOUT A YEAR (THE OTHER CONTRACTOR IS JUAN DE FUCA CONTRACTING) AND USUALLY GROSSES ABOUT $2800/MONTH WITH HOME DEPOT AND HIS SELF-EMPLOYED INCOME IS ABOUT $1200? SHARON HAS HAS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THE BOOKS. INCOME LOSS WILL BE EXPERIENCED FOR TWO WEEKS IMMEDIATELY POST MVA, THEN HE GOT BACK INTO THE JOB AND HIRED AN ASSISTANT WITH HIS OUTLAY BEING THE $15/HR FOR THIS PERSON. STATES HE IS HAPPY WITH THE WAY THIS HAS TURNED OUT. HE AND WIFE WERE VERY STRESSED IN THE FIRST FEW WEEKS AS THEY HAD NO VEHICLE AND DEALING WITH THIS AND HER SICKNESS WAS TAXING -- FIGHT ABOUT MONEY, INCONVENIENCE ETC. THEY HAVE FINALLY P/U A TRUCK AND HAD TO GO TO VANCOUVER TO BUY ONE USED. ALL TRUCKS THEY LOOKED AT ON THE ISLAND WERE OF VERY POOR STANDARD. HOME DEPOT HAS STANDARDS AS TO WHAT TYPE OF VEHICLE THEIR CONTRACTORS CAN DRIVE; IE NO RUST, GOOD PAINT ETC. THE ADAMSONS HAD TO COME UP WITH A VEHICLE THAT MET THIS STANDARD. THEY ARE VERY PROTECTIVE OF THIS ASSOCIATION WITH HOME DEPOT AND DO NOT WANT TO JEOPARDISE THIS RELATIONSHIP; WHEN HOME DEPOT GIVES HIM A JOB, HE JUMPS -- THE MONEY IS GOOD AND OVERHEAD IS WITH HOME DEPOT. HE HAS DONE JOBS POST MVA WHEN HE SHOULDN'T HAVE, BUT FOR THE MVA INJURY. SHARON AND ROGER SEE THIS JOB AS A 'JOB FOR LIFE." HE DIDN'T WANT TO LOSE OUT ON ANY WORK AND HAVE IT GO TO THE JUAN DE FUCA CONTRACTER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INDICATES HE LOST OUT ON SOME SELF-EMPLOYED WORK, PUTTING IN KITCHENS. THEY HAVE THEIR DEPOSIT BOOK AND THE INDEPENDENT ADJUSTER, SHAUN BLENNERHASSET, ADVISED THEM TO TRACK LOSSES ETC FOR ICBC.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SPOKE TO ROGER ABOUT ACTIVE REHAB, AND OCC REHAB VIA SUMMIT, HE WANTS TO GET GOING ON THIS, BEING VERY MOTIVATED AND CONCERNED ABOUT HIS JOB AND REPUTATION. I'LL CALL DR SMARDON, SET UP AND APPT AND FAX HIS OFFICE RE SUMMIT REHAB FOR THERAPY. THIS IS CLOSE FOR ROGER AND HE KNOWS WHERE SUMMIT IS. ROGER REALIZES HE HAS A SAY IN HIS RECOVERY AND ALSO RECOGNIZES THAT DR SMARDON IS SOMEWHAT PASSIVE IN HIS APPROACH TO THIS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EXPLAINED MY ROLE AND THE NEED TO BE POLITICALY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CORRECT WITH DR SMARDON ... ROGER UNDERSTANDS DR SMARDON IS THE MED MGR, BUT ALSO HE DOES HAVE A SAY IN HIS TREATMENT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Adamson did undertake physiotherapy in November and December 2000. Ironically, he complained that it made him feel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V </w:t>
      </w:r>
      <w:r>
        <w:rPr>
          <w:rFonts w:ascii="arial" w:eastAsia="arial" w:hAnsi="arial" w:cs="arial"/>
          <w:b/>
          <w:color w:val="000000"/>
          <w:sz w:val="20"/>
          <w:u w:val="single"/>
          <w:lang w:val="en-US" w:eastAsia="en-US" w:bidi="ar-SA"/>
        </w:rPr>
        <w:t>Roger Adamson: 2001-2003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It does not serve the resolution of the issues before the court to simply recount chronologically Roger Adamson's life in this period. I will rather touch on some of the major themes and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As for work, Mr. Adamson continued his efforts to retain his Home Depot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During this period he undertook mostly door installations, although there were several kitchen installations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He often found the work very exhausting. In one consultation report dated 15 March 2001 prepared by Dr. Richard Backus of Summit Injury Management Inc., this is reported of Roger Adamson: "He is now working at about 70% and he can gradually increase that over the next six weeks or so up to 90% and we will see how he does."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source of this optimistic view of the plaintiff's situation at this time is unclear. I find on all the evidence that if it reflects any reality, it is simply that the plaintiff was working up to 70% of his Home Depot workload, but that was very much a part time job representing about 10 hours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defendant at trial constantly returned to this quote when suggesting that Mr. Adamson was working virtually to full capacity during this two year period. He was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February 2001, Dr. Smardon referred Mr. Adamson to Dr. Backus, a specialist in sports medicine.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Backus assessed:</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Whiplash associated disorder Class II.</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Left glenohumeral instability with pain. [in the area of the shoulder joint]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his report to Dr. Smardon of 15 February 2001 Dr. Backus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We are proceeding with the rotator cuff ultrasound and assuming that this will be normal, I think we will proceed with a subacromial ablation and then look at a strengthening program. Finally, one of his major concerns is memory loss and they are worried about a concussion. First of all, there is nothing we can do about that and secondly, it is usual for people with ongoing pain or chronic pain to experience forgetfulness and not only that to worry about it. He will be followed up one week after the ultrasound.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Roger Adamson did try to increase his work "up to 90%" as suggested by Dr. Backus, but he complained that it made him too tired; that it inflamed his condition and sent "shooting pain up into his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Adamson's diary contains this entry in June 2001 (edited):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Backus ordered one week off - June 7th to June 14th; he lost two days, May 15th to 17th, after putting shoulder out when Dr. Backus stated okay to go to 90%; most nights he doesn't sleep; he has lost 15 pounds; no longer has the strength in his left arm; it bothers him he can't do the things he enjoys in life; he feels guilty because he can't even finish his own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Dr. Backus' treatment of Mr. Adamson ended in June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Dr. Smardon at that time referred Mr. Adamson to Dr. William Martin, a specialist in neurology and internal medicine. Dr. William Martin (I add the first name because the plaintiff was also treated by Dr. Steve Martin) noted "possible left C6 nerve root lesion" and he ordered an MRI. That report (September 2001) was not remarkable, but it did note some loss of the normal cervical lordosis.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Dr. Steve Martin, a specialist in occupational and environmental medicine saw Roger Adamson in early July 2001, at the request of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Dr. Steve Martin writes in his report to ICBC's Recovery Coordinator (Exhibit 13, Tab 1) (the plaintiff places some reliance on this report, so I reproduce a significant portion of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Objectively today he has features of resolving neuropathy at the C6 level of the left side along with tendinopathy of the left shoulder likely involving the rotator cuff. Additional diagnosis would include probable post concussion recovery without evidence of long-term sequelae. His subjective complaints coincide with the objective findings and are consistent with the mechanism of injury as described.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Adamson does have an identified impairment in his left arm, specifically:</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Neuropraxia, likely C6.</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Shoulder tendinopathy.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identified impairments translate into functional limitations with respect to day-to-day living as well as his occupational requirements. Specifically I would anticipate him to have difficulties working with his left upper limb outstretched in the forward flexed or abducted position above 45 degrees for prolonged periods of time. This would include repetitive forceful activity of push/pull/carry or working overhead. In addition to this, he will likely have some difficulties working with his neck in a forward flexed or extended position or in the combination of rotation and extension for prolonged periods of time. To that end, a lot of his work activities require stabilization of material while they are placed permanently as a structure. For example, putting in doors or putting up cabinets which require some stabilization while the set screws are placed. This is something that Mr. Adamson would normally do using his left arm, however, at this point has not been able to tolerate prolonged period of time of these activities. These complaints of his, in my opinion, are entirely consistent with his medical history and current findings. The problem lies, as I have told Mr. Adamson, as to how long this will last. It is my experience that neuropraxia either contusion or stretching injuries can take many months to years to recover fully. Even with that, subjective complaints can remain much longer. There is some interference with the feedback loops and that's why the remodeling phase of injury is so important in terms of maximizing the use of the upper limb, I have suggested to Mr. Adamson that he basically has to do as much of the activity as possible without pushing it to the limits of increased symptomatology. To that end he is going to be able to do some of his work, however, in a limited fashion. He is going to require mini breaks. He is not going to be able to do things on a repetitive or forceful fashion for prolonged periods of time and thus will require some form of mechanical aid either from a lifting standpoint or alternatively a helper to do some of the sustained activity and heavy lifting/stabilizing.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From September 2001 to mid January 2002, the ICBC appointed case coordinator for Mr. Adamson was Annette Elieff.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At this point, it is apparent that both Dr. Smardon and Dr. William Martin supported the plaintiff's participation in a structured exercise program, which did not take Mr. Adamson beyond the point of pain. Unfortunately, that is not the program which was prescribed for the plaintiff. At the insistence of ICBC, I find, Mr. Adamson was referred to Victoria Exercise Rehabilitation Centre Ltd. for a work hardening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According to Joanne Cuddiford, the physiotherapist in charge of Mr. Adamson's care, a work hardening program includes work simulation tasks. It lasts two to four hours a day. It leads to a graduated return to work for the patient. Completion of a less demanding rehabilitation program is a prerequisite to the work hardening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Mr. Adamson did not do well in the program. He could not tolerate exercise on the treadmill. He reported to Ms. Cuddiford that he felt set back seven months in his rehabilitation as a result of the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At trial, Ms. Cuddiford learned for the first time that there was no medical referral for the plaintiff to a work hardening program in Ms. Elieff's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Ms. Cuddiford testified that she would not normally accept a patient for such a program in the absence of a medical referral.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She was referred to Dr. William Martin's consult report to Dr. Smardon of 13 September 2001 where Dr. Martin writes: "I suggested to him [the plaintiff] that the program of continuing activity to the point of pain and regular stretching exercise and routine maintenance of range motion of the joints is appropriate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Ms. Cuddiford testified that Dr. Martin is describing a "light" rehabilitation program, not a work hardening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On 14 January 2002, Roger Adamson was discharged by Ms. Elieff of Summit Injury Management "to the care of his family physician." Her discharge report offers a convenient summary of Mr. Adamson's status at this time. I recognize that this contains much self-reporting by Mr. Adamson and I have weighed that in light of my favourable finding as to his credibility: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CURRENT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Adamson reports that his symptoms continue to persist. He reports numbness in the left arm with prolonged driving; occasional numbness into the right side of his face with rotation to the right; daily headaches which increase in intensity up to 7-8/10 (varies with activity); clicking and popping in the left shoulder with overhead work and work with arms held away from the body; left shoulder range of motion remains restricted but the pain has improved; and ongoing sleep disturbances despite taking sleep medication. Mr. Adamson indicates that his headaches are the most debilitating and his biggest concern. He notes that he is convinced there is something wrong that has not been identified, which is causing his ongoing symptoms. He indicates that he will speak with Dr. Smardon regarding further exploration into what is causing his symptoms. Mr. Adamson is currently taking Advil a few times per week and Tylenol 3 two to three times per week.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WORK STATUS: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Adamson reports that he continues to work at Home Depot. He is working up to 6-7 hours per day, a few days per week, and is performing all contracts provided to him. He reports that it takes him longer to complete contracts, as he must modify how he performs various tasks due to his ongoing symptoms. Mr. Adamson reports that on the days he is not working for Home Depot, he tries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do some work at home or on his rental properties, however, he has only been doing light maintenance.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ACTIVITIES OF DAILY LIVING: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Adamson reports that he has not resumed his leisure activities such as fishing and swimming, as he is uncertain if he should be doing these activities due to his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February 2002, Mair Edwards, an occupational therapist, was retained on behalf of Mr. Adamson by his solicitors, Acheson and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Ms. Edwards prepared her Occupational Therapy Initial Assessment on 20 April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Ms. Edwards in her summary states that Mr. Adamson: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[C]ontinues to suffer from the following residual problems: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Pain and stiffness in neck and left shoulder, and sudden weakness in left shoulder.</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Frequent headaches.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Numbness and tingling in his left arm (cold sensation) spreading to right side of face and arm.</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problems - anxiety, decreased frustration tolerance, irritability.</w:t>
      </w:r>
    </w:p>
    <w:p>
      <w:pPr>
        <w:numPr>
          <w:numId w:val="1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Fatigue.</w:t>
      </w:r>
    </w:p>
    <w:p>
      <w:pPr>
        <w:numPr>
          <w:numId w:val="1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Sleep disturbance (frequent awakening).</w:t>
      </w:r>
    </w:p>
    <w:p>
      <w:pPr>
        <w:numPr>
          <w:numId w:val="20"/>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Sensitivity to light.</w:t>
      </w:r>
    </w:p>
    <w:p>
      <w:pPr>
        <w:numPr>
          <w:numId w:val="21"/>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Reduced ability in attention, concentration and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In July 2002, Dr. Smardon's clinical notes disclose of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July 18, 2002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Depression / Shoulder strain / Headaches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Left shoulder pains and neck pains and numbness on right side face persists. Sleep poor and mood low. Paxil caused insomnia in past but retry 20 mg. daily and Xanax. 0.5 mg. at bedtime. See in 1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In August 2002, Mr. Adamson was referred to Dr. Daniel Vincent, a specialist in anaesthesiology and pain management intervention.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Dr. Vincent administered a number of diagnostic and therapeutic nerve blocks in the C3/C4 area. These procedures provided some relief for Mr. Adamson, but it was short lived in every instance. I will deal more fully with Dr. Vincent's evidence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November 2002, Roger Adamson began a series of extensive counselling sessions with Ellen Connell, a psychological counsellor. Mr. Adamson attended 25 sessions between November 2002 and September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As well, in November and December 2002, Mr. Adamson was assessed by a neuropsycologist, Dr. Freeman (of which more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VI </w:t>
      </w:r>
      <w:r>
        <w:rPr>
          <w:rFonts w:ascii="arial" w:eastAsia="arial" w:hAnsi="arial" w:cs="arial"/>
          <w:b/>
          <w:color w:val="000000"/>
          <w:sz w:val="20"/>
          <w:u w:val="single"/>
          <w:lang w:val="en-US" w:eastAsia="en-US" w:bidi="ar-SA"/>
        </w:rPr>
        <w:t>Roger Adamson 2003 to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This period is marked by Roger Adamson's attendance on a growing number of medical practitioners for both therapeutic and medical/legal purposes; his cessation of paid employment; and his deteriorating physical and mental 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On 5 January 2003, Mr. Adamson experienced dizziness and fainted in the shower, striking his head. He attended at the hospital. This was treated as a syncopal episode (loss of consciousness and postural tone caused by diminished cerebral blood flow).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plaintiff had described episodes of dizziness since the accident. It is also possible that this incident resulted from Mr. Adamson's medication, possibly the Neurontin or Gabapentin. There was no suggestion at trial that this incident was an intervening cause of Mr. Adamson's current medical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Ellen Connell's clinical notes of 8 January 2003, report that Mr. Adamson complained of ongoing difficulties with planning and organizing tasks. The examples given deal with his inability to solve a new lock issue for a tenant.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On 28 January 2003, Mair Edwards, the occupational therapist, concluded a workplace assessment of Mr. Adamson.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In her report of 17 February 2003, Ms. Edwards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Adamson continues to have residual problems with attention, short-term memory and concentration. These symptoms have seriously affected his abilities as a carpenter. He is, for example, unable to remember a measurement in his head; he therefore has to write it down. He often has to re-measure things 2-3 times; this significantly increases the time of his jobs. This Therapist noted during her assessment that Mr. Adamson, after removing the old storm door, forgot the direction it had opened. He had to resort to checking with the customer as to the direction of opening even though he had just removed the old door. He also appeared to once again become confused with the position of the door after having installed it. This may indicate a problem with spatial awareness.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She made this recommendation: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Adamson is 2 and a half years post injury and it is probable that his soft tissue injury and residual symptoms are now chronic.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nature of his job requires a standard of fitness, flexibility and balance that Mr. Adamson no longer can achieve.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Adamson is strongly recommended to consider retraining within the field of construction (such as teaching) where the physical demands would be considerably less. However the cognitive and organizational demands would be greater.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therapist's opinion is that Mr. Adamson should consider the above options and should not continue his career in its present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Ellen Connell's clinical notes of 26 February 2003, record Mr. Adamson's report after he attempted his first kitchen installation for Home Depot in a long time. I extract these notes:</w:t>
      </w:r>
      <w:r>
        <w:rPr>
          <w:rFonts w:ascii="arial" w:eastAsia="arial" w:hAnsi="arial" w:cs="arial"/>
          <w:sz w:val="20"/>
          <w:lang w:val="en-US" w:eastAsia="en-US" w:bidi="ar-SA"/>
        </w:rPr>
        <w:cr/>
      </w:r>
    </w:p>
    <w:p>
      <w:pPr>
        <w:numPr>
          <w:numId w:val="22"/>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feeling sensation like "hung over" from exertion."</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"Had headaches to start with also notes mind was racing and he felt confused and overwhelmed."</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"Roger noted postural changes and flexion extension of neck exacerbate pain, he had to leave job at 2:30 p.m."</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"Roger reporting feeling he is getting worse, reporting deep discouragement with his physical situation, I can't carry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In late February and March 2003, Mr. Adamson attended prescribed physiotherapy with Gerry Illmayer.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In Mr. Illmayer's initial assessment: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examination Mr. Adamson's cervical range of motion (ROM) was limited to 50% of normal into forward flexion. Bilateral rotation and side flexion were limited to approximately 25% of normal. All the aforementioned movements elicited pain at the end of range. Craniovertebral ligament stability and vertebral artery patency tests could not be performed due to limited range and tissue reactivity. Upper extremity strength was limited due to pain. Neurological weakness was difficult to evaluate due to pain. A heightened sensitivity was noted on testing of the median nerve of the brachial plexus.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Mechanical evaluation of the shoulder showed elevation was limited to approximately 75% of normal and poor rotator cuff and scapular muscular control was exhibited at the shoulder girdle. The scapula was held in a protracted and downward turned position of the glenoid due to significant tightness in the levator scapulae muscle and weakness in the lower scapular muscles. Significant reduction of passive glenohumeral ROM was noted into external rotation with the arm by the side and into internal rotation in abduction. A positive impingement sign was noted at the end of abduction. This pattern is indicative of a long-term unresolved shoulder girdle dysfunction.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Mr. Illmayer attempted various manipulations. These were abruptly halted after Mr. Adamson complained of severe nausea and vomiting after the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In mid March 2003, Mr. Adamson's general practitioner, Dr. Smardon, ordered him off work for four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In April 2003, Mair Edwards accompanied Roger Adamson on a visit with Dr. Smardon. Ms. Edwards did not feel that Dr. Smardon appreciated the severity of Mr. Adamson's issues or that Dr. Smardon was attentive to Mr. Adamson's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She encouraged Mr. Adamson to consider retaining a new general practitioner. Mr. Adamson did so and he began seeing Dr. Grimwood in June of that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defendant made something of this change in doctors, intimating that it was a reflection of the plaintiff surrounding himself with his lawyer's team of medical advisors. I reject that notion. Even the representatives of ICBC had expressed earlier concerns with Dr. Smardon's passive approach to the plaintiff's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In August 2003, Dr. Grimwood recommended that Mr. Adamson apply for a CPP disability pension. Mr. Adamson did so, and he was eventually awarded a pension. He effectively has been off paid employment since early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In September 2003, Mr. Adamson began his first of some 22 sessions with Dr. Marion Ehrenberg, a registered psychologist. These sessions continued to April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In November 2003, Dr. R.J. Freeman undertook another neuropsychological examination of Mr. Adamson. Again, I will discuss his findings in more detail below, but he noted that Mr. Adamson had a significant deficit with respect to menestic function across the evaluations and a lack of ability "to manage multiple streams of information under the pressure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In March 2004, Mr. Adamson began taking MS Contin on the prescription of Dr. Grimwood. MS Contin is a slow release morphine based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In 2004 and 2005, Roger Adamson continued to see various medical advisors and I will chronicle their findings in the next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VII </w:t>
      </w:r>
      <w:r>
        <w:rPr>
          <w:rFonts w:ascii="arial" w:eastAsia="arial" w:hAnsi="arial" w:cs="arial"/>
          <w:b/>
          <w:color w:val="000000"/>
          <w:sz w:val="20"/>
          <w:u w:val="single"/>
          <w:lang w:val="en-US" w:eastAsia="en-US" w:bidi="ar-SA"/>
        </w:rPr>
        <w:t>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medical evidence at trial was extensive. I will relate it in some detail before I set out my central findings. I will in the telling, however, voice some conclusions on the weight to be given various pieces of this evidence. I will not refer in what follows to all of the medical practitioners who gave evidence, rather to those whose reports and testimony have most assisted me.</w:t>
      </w:r>
      <w:r>
        <w:rPr>
          <w:rFonts w:ascii="arial" w:eastAsia="arial" w:hAnsi="arial" w:cs="arial"/>
          <w:sz w:val="20"/>
          <w:lang w:val="en-US" w:eastAsia="en-US" w:bidi="ar-SA"/>
        </w:rPr>
        <w:cr/>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The General Practitioners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These included, of course, Drs. Smardon and Grimwood.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defendant made much of Dr. Smardon's report of 10 June 2002 which I admitted as an expert report over the plaintiff's objections and in particular this portion thereof: "With regards to prognosis, I do expect an ultimate full and complete recovery but expect this will take a number of months, yet, to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 attach no weight to this opinion. It has not been borne out since it was given and it is belied by the overwhelming evidence to the contrary tendered through various specialists called in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Dr. Grimwood provided a second medical legal report of 8 August 2006.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Mr. Adamson is permanently disabled, as described, with permanent concussive, musculoligamentous, musculoskeletal, cognitive and emotional trauma, which will at best be marginally improved with time. Mr. Adamson has symptoms referable to his cervical spine and left shoulder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Dr. Grimwood considers Mr. Adamson to be permanently disabled. His opinion is confirmed by the reports to which I will now refer.</w:t>
      </w:r>
      <w:r>
        <w:rPr>
          <w:rFonts w:ascii="arial" w:eastAsia="arial" w:hAnsi="arial" w:cs="arial"/>
          <w:sz w:val="20"/>
          <w:lang w:val="en-US" w:eastAsia="en-US" w:bidi="ar-SA"/>
        </w:rPr>
        <w:cr/>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Occupational Therapists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Those giving evidence at trial included Mair Edwards, John Lawless and Min Trevor Kyi.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 have already discussed in some detail the evidence of Mair Edwards. The reports and testimony of Min Trevor Kyi were particularly compelling and helpful. Mr. Kyi is a registered occupational therapist, a certified work capacity evaluator, advanced, and a clinical assistant professor at UBC.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Mr. Kyi conducted functional (work) capacity testing of Mr. Adamson in May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Under the heading "Reliability of Pain and Disability Reports," Mr. Kyi concludes: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clinical findings identified Mr. Adamson's subjective reports of ability and limitation to be both reasonable and reliable. He passed all encountered placebo and non-organic testing. Subjective reports of pain and associated limitation matched well with distraction-based clinical observations.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contrast to emphasizing or over-stating his pain ratings, subjective reports of pain rating were at times lower than expected, as compared to distraction-based observations of movement and function (i.e. Despite visible signs of pain and limitation during seated activity, Mr. Adamson subjectively rated his pains at a low, non-disabling, 0.50-1.0/10+).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Mr. Kyi's testing did demonstrate that Mr. Adamson definitely has some residual physical capacity for work, but it is Mr. Kyi's conclusion as to his general employability which is most telling. Mr. Kyi concludes: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upon today's physical capacity findings, I have great difficulty thinking of any job which Mr. Adamson could currently handle on a full time basis. It is my opinion, that any productive activity (work, volunteer, etc.) considered for him at this juncture, should be limited to no more than part-time (i.e. 5-20 hours/week) hours.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 such part-time work would require a supportive employer, and considerable flexibility in his work pacing. Working for himself and/or from home would be preferable to dealing with the external demands of working for others. As Mr. Adamson approached the higher end of such a part-time recommendation (i.e. 15-20 hours/week), he would likely be working with a considerable degree of discomfort and subsequent reduction to his avocational (non-work) activity and enjoyment. Based upon his current presentation, with isolated exceptions, the lower end of this range (5-10 hours/week) would be physically preferable to the upper end. Again, self-paced work would be preferable. In addition, due to the unpredictable nature of some of his symptoms (i.e. a disabling headache day), he would not be a reliable employee. Simply stated, Mr. Adamson's current presentation renders him competitively unemployable.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to Mr. Adamson's physical limitations, I have considerable work-related concern regarding his reports of losing consciousness and falling. He states that he tends to veer to the right when walking. This was supported by distraction-based observations during testing. He states that in the past, he has fallen on multiple occasions, hitting his face, breaking his toe, and badly banging his right knee. These reports were supported by collateral information from his wife Sharon. Of concern, is that these falls have occurred without warning. Any job option considered for Mr. Adamson should first occur with appropriate medical investigation and subsequent clearance regarding such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Based on his testing, Mr. Kyi is of the opinion that Mr. Adamson, in particular, is not physically capable of his pre-injury occupation.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critical thrust of Mr. Kyi's opinion is found in his cross-examination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He was asked by counsel if he was aware that the plaintiff was installing kitchen cabinets and doors for a period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Mr. Kyi was aware of that and not surprised, but stated that such activity would (and did) result in the plaintiff "paying the price". While Mr. Adamson could still do productive work, his ability to do so is not predictable; with Mr. Adamson, in Mr. Kyi's view, the issue is the lack of sustainability and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John Lawless, a vocational rehabilitation consultant, shares Mr. Kyi's opinion that Roger Adamson is competitively unemployable. He arrived at this conclusion in November 2004 and confirmed it in June 2006.</w:t>
      </w:r>
      <w:r>
        <w:rPr>
          <w:rFonts w:ascii="arial" w:eastAsia="arial" w:hAnsi="arial" w:cs="arial"/>
          <w:sz w:val="20"/>
          <w:lang w:val="en-US" w:eastAsia="en-US" w:bidi="ar-SA"/>
        </w:rPr>
        <w:cr/>
      </w:r>
    </w:p>
    <w:p>
      <w:pPr>
        <w:numPr>
          <w:numId w:val="3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Neurosurgeons/Neurologists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These include Drs. Richard Veerapen and Michael Krieger, who were called in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Dr. Veerapen's report is dated 11 November 2004. He notes Mr. Adamson's symptoms presenting at various times after the accident:</w:t>
      </w:r>
      <w:r>
        <w:rPr>
          <w:rFonts w:ascii="arial" w:eastAsia="arial" w:hAnsi="arial" w:cs="arial"/>
          <w:sz w:val="20"/>
          <w:lang w:val="en-US" w:eastAsia="en-US" w:bidi="ar-SA"/>
        </w:rPr>
        <w:cr/>
      </w:r>
    </w:p>
    <w:p>
      <w:pPr>
        <w:numPr>
          <w:numId w:val="3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memory disturbances</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executive dysfunction</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poor concentration and attention span</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headaches with upper neck pain and imbalance.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Dr. Veerapen then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considered two main etiologies for his persistent symptom-complex:</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cognitive disorder associated with his chronic post-traumatic cervical spinal pain and depression. As detailed in the following paragraphs, it is clear that his cervicogenic pain has an anatomical basis as confirmed by imaging studies, and is now a chronic condition.</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syndrome explained on the basis of the residual effects of a cerebral concussive injury, caused by rotatory forces that his head was subjected to at the instant of the trauma and immediately after, as his vehicle rolled over.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a non-impact brain concussion is the probable explanation of his present condition, if the following points are considered:</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period of his loss of awareness after the impact</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report of somnolesence for 2 days following the injury</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self-report that his wife and friends had noted his difficulty with communication, experienced in the first 2 weeks after the injury.</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persistent memory difficulties, experienced from the early months after the injury (documented medically on 15.2.2001 by Dr. R. Backus).</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mechanisms of the accident as well as the associated cervical spinal injury, both of which point toward the considerable rotatory forces that his head would have been subjected to.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Adamson's brain imaging by Magnetic Resonance Imaging (MRI) scans in Jan 2004 was normal. This is the usual finding in any patient who has experienced a 'diffuse' brain injury without focal damage or haemorrhage, as the structural changes in such injuries are microscopic and therefore not demonstrable with standard MRI imaging studies.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Dr. Veerapen is of the view that Mr. Adamson clearly suffers from ongoing chronic pain syndrome "related to multilevel cervical spondylosis and facet joint disorders." Dr. Veerapen feels that it is highly unlikely that any surgical intervention will remedy Mr. Adamson's cervical spinal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Finally, Dr. Veerapen concludes: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the progress of his condition since the time of his accident and judging by his unsustained and unpredictable response to a variety of therapeutic modalities, it is my opinion that he will require ongoing medical intervention in the long term. This will include amongst other modalities, intermittent physiotherapy during episodes of pain, medication on the long term and sustained psychological support. His current management is excellent and should be available to him in his community so that he can continue to manage the physical and psychological aspects of his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Dr. Krieger largely confirms Dr. Veerapen's opinion. In Dr. Krieger's view, Roger Adamson sustained a cerebral concussion at the time of the accident and "that the patient has ongoing symptomology relating to that head injury which includes fatigue, depression, memory difficulty, irritability, sleep disturbance and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On cross-examination, Dr. Krieger was questioned closely concerning Mr. Adamson's apparent lack of a loss of consciousness in the motor vehicle accident. Dr. Krieger maintained that a brain injury can be suffered without a loss of consciousness.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Dr. Frank Kemble was called by the defendant. A neurologist, Dr. Kemble saw Mr. Adamson in June 2001, at the request of Dr. Richard Backus. He was asked if he noted any cognitive difficulties with the plaintiff at that time. He responded simply that he had made no note of 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Dr. Backus, a specialist in sports medicine who saw the plaintiff on a number of occasions, also did not note any cognitive difficulties for the plaintiff in his clinical records, but he qualified that by saying that he had no cognitive concerns "within the limitations of that kind of interview."</w:t>
      </w:r>
      <w:r>
        <w:rPr>
          <w:rFonts w:ascii="arial" w:eastAsia="arial" w:hAnsi="arial" w:cs="arial"/>
          <w:sz w:val="20"/>
          <w:lang w:val="en-US" w:eastAsia="en-US" w:bidi="ar-SA"/>
        </w:rPr>
        <w:cr/>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Neuropsychologists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Dr. Richard Freeman is a registered psychologist called by the plaintiff. He practices clinical neuropsychology. He is clearly very highly qualified in this field. His evidence is very important. His central findings were not successfully challenged on cross-examination. They were, on the contrary, reinforced.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Dr. Freeman saw and tested the plaintiff on five occasions between November 2002 and 25 September 2003, in the aggregate for approximately 25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At page 32 of his report of November 2003 Dr. Freeman provides this definition of traumatic brain injury: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term traumatic brain injury refers to injuries to the brain caused by external factors, as opposed to intrinsic pathology resulting from disease. In motor vehicle and industrial accidents, the causal mechanism is one of physical force applied to the brain. This does not necessarily involve a blow to the head itself, however. The brain can be injured or damaged through several different mechanisms that can be set in motion by a motor vehicle accident or a fall from height.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Dr. Freeman in testimony at trial added to his report and adopted the definition of mild traumatic brain injury developed by the Mild Traumatic Brain Injury Committee of the Head Injury Interdisciplinary Special Interest Group of the American Congress of Rehabilitation Medicine: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patient with mild traumatic brain injury is a person who has had a traumatically induced physiological disruption of brain function, as manifested by at least one of the following:</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period of loss of consciousness;</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loss of memory for events immediately before or after the accident;</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alteration in mental state at the time of the accident (eg, feeling dazed, disoriented, or confused); and</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focal neurological deficit(s) that may or may not be transient;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where the severity of the injury does not exceed the following:</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consciousness of approximately 30 minutes or less;</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30 minutes, an initial Glasgow Coma Scale (GCS) of 13-15; and</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posttraumatic amnesia (PTA) not greater than 24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Of importance in the case of Mr. Adamson, is this comment of the Committee: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definition includes: ... (3) the brain undergoing an acceleration/deceleration movement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whiplash) without direct external trauma to the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Dr. Freeman reaches these central conclusions and I reproduce them at some length: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there was no loss of consciousness in the motor vehicle accident, and by his own description Mr. Adamson seemed, if anything, hyperalert, he and his wife described a period of hypersomnolence lasting 48 hours, beginning a day or two after the accident, and some confusion and alteration of speech in the weeks following the accident. It must be noted, however, that there was no apparent medical observation of this phenomenon contemporaneous with its occurrence. Dr. Steve Martin diagnosed a probable post-concussional state without long term sequelae in July of 2001. Dr. Backus diagnosed a whiplash associated disorder in February of 2001. Patients with whiplash associated disorder often complain of cognitive symptoms, but it is not clear whether Dr. Backus was including these in his diagnosis.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there is still considerable debate about the relative contribution of various factors to the cognitive complaints seen in whiplash associated disorder, both neuropsychological (e.g Kessels, Aleman, Verhagen &amp; Vanluijten, 2000) and neurophysiological (e.g., Henry, Gross, Herndon &amp; Furst, 2000) changes have been demonstrated. Chronic pain, depression and stress have also been shown to contribute to the complaint of cognitive symptoms in the absence of positive neuropsychological and neurophysiological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Reviewing all of the information available to me, it is my opinion that it is more probable than not that Roger Adamson experienced a whiplash associated, non-contact injury to the brain in the course of the motor vehicle accident of October 9, 2000. Further, he may have suffered a concussional injury in the course of syncopal falls in January of 2003, possibly related to his reaction to gabapentin, or to dizziness resulting from manipulation of his neck during treatment for his neck pain. I think it is unlikely that his ongoing cognitive complaints are directly related to either his use of or withdrawal from gabapentin. The evidence that gabapentin produces cognitive changes is equivocal, and those in whom cognitive dysfunction develops are typically using doses three times higher than the highest dose employed by Mr. Adamson (e.g, problems are noted at doses of 2400 mg per day).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said, I have no doubt that some of Mr. Adamson's cognitive difficulties can be attributed to his chronic pain, mild depression, sleep disturbance and use of narcotic analgesic medication, as prescribed by his physicians. I took all of these factors into consideration in interpreting the neuropsychological test results. Some of his poorest scores occurred when he was well-rested, on low doses of medications to which he was accustomed, and reporting lower levels of pain than are his norm.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In his section on "Intellectual Abilities," Dr. Freeman notes a significant discrepancy between Mr. Adamson's verbal IQ and performance IQ (27th and 82nd percentiles respectively). Dr. Freeman believes that this reflects a "longstanding weakness in dealing with verbal material as opposed to a recently acquired deficit ... The data are most consistent with a pre-existing mild learning disability for verbal material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But Dr. Freeman continues: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examination of Mr. Adamson's scores on the component factors of the WAIS-III is illuminating. Compared to his good perceptual organization skills, his processing speed was significantly weak, by both statistical and clinical standards. The discrepancy between Perceptual Organization and Working Memory was even more pronounced, occurring in less than 1% of the population. Working memory refers to the ability to hold and manipulate small amounts of information over short periods of time, and is a critical component of efficient function in day to day situations. The weakness in working memory corresponds with Mr. Adamson's report that he has difficulty keeping track of measurements which he would routinely remember in the past. The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is likely an acquired deficit of recent origin, that is, since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Dr. Freeman then compares Mr. Adamson's scores on the Wechsler Memory Scale administered on 10 December 2002, and repeated on 27 September 2003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after the fainting spell in the shower):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pattern of theses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sets of scores is a complex one, which I would summarize as follows: When first evaluated in December of 2002, Mr. Adamson showed a memory deficit in that his General Memory Index on the WMS-III was significantly lower than his general cognitive abilities as measured by the WAIS-III Full Scale IQ. The 19-point discrepancy between Full Scale IQ and General Memory was both statistically significant and clinically unusual, occurring in only 5-10% of the normative sample. This weakness of memory persisted through the re-examination in September, 2003, with the discrepancy remaining at 17 points in favor of overall cognitive ability. In December of 2002, Mr. Adamson had greater memory problems with auditory as opposed to visual materials. There was a significant decline in working memory as measured by the WMS-III from December of 2002 to September of 2003. I note here that at the time of the September assessment, Mr. Adamson was not taking gabapentin, and he rated his level of pain as 5/10, somewhat lower than he estimated his average pain level. He was taking Tylenol #3 at a dose comparable to his usual level. His sleep the night before testing was rated as poor, but no worse than has been his norm since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pattern of memory deficit becomes more apparent when one takes into account the likely pre-existing verbal learning weakness. When there is a large discrepancy, as in this case, between Verbal and Performance IQ, memory weaknesses can be obscured by comparing the WMS-III to the Full Scale IQ. The following tables present the comparison between Mr. Adamson's scores on the WMS-III and his Performance IQ, which, given his profession, is perhaps a more meaningful measure.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As indicated above, Dr. Freeman goes on to conclude that Mr. Adamson has a significant deficit with respect to menestic function and, a lack of ability to manage multiple streams of information under the pressure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Dr. Freeman was asked on cross-examination if he would agree that Drs. William Martin and Kemble, as neurologists, would normally be alert to the indicia of cognitive deficit (they having noted none in respect of Mr. Adamson).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Dr. Freeman said that it would depend on why they were asked to see the patient; that they might or might not have done a mental status examination of Mr. Adamson.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What is clear is that Dr. Freeman conducted extensive testing of Mr. Adamson and that he is firmly of the view that he has suffered a mild traumatic brain injury.</w:t>
      </w:r>
      <w:r>
        <w:rPr>
          <w:rFonts w:ascii="arial" w:eastAsia="arial" w:hAnsi="arial" w:cs="arial"/>
          <w:sz w:val="20"/>
          <w:lang w:val="en-US" w:eastAsia="en-US" w:bidi="ar-SA"/>
        </w:rPr>
        <w:cr/>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Psychologists/Psychiatrists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These included Dr. Marion Ehrenberg, Dr. Aindrias O'Breasail and Ellen Connell called in the plaintiff's case and Dr. Kulwant Riar called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Dr. Ehrenberg treated Mr. Adamson over the course of some 40 sessions. In her report of 30 May 2006, she notes the traumatic brain injury diagnosis of Dr. Freeman (as confirmed by Dr. Krieger). She then opines: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my continuing opinion that Mr. Adamson developed a Major repressive Disorder in reaction to the physical and cognitive limitations stemming from the 2000 MVA. Mr. Adamson continues to suffer from a now Chronic Major Depressive Disorder of Moderate Severity, in spite of having completed a full course of evidence-based psychological treatment, including a formal psychological pain management program, and complemented by a physician-monitored regime of anti-depressant medications. His symptoms of anxiety and post-traumatic stress have resurged since his last psychological treatment session in November 2005, in light of his ongoing worries about his future. His coping abilities have developed substantially as a result of psychological and pharmacological treatment, yet he still shows an unrelenting symptom picture. Individuals with a combination of wide-ranging and chronic physical and cognitive injuries can present with a complex and entrenched Major Depressive Disorder that does not respond to treatment. Sadly, Mr. Adamson's Chronic Major Depressive Disorder should now be considered as permanent, albeit </w:t>
      </w:r>
      <w:r>
        <w:rPr>
          <w:rFonts w:ascii="arial" w:eastAsia="arial" w:hAnsi="arial" w:cs="arial"/>
          <w:i/>
          <w:color w:val="000000"/>
          <w:sz w:val="20"/>
          <w:lang w:val="en-US" w:eastAsia="en-US" w:bidi="ar-SA"/>
        </w:rPr>
        <w:t>manageable</w:t>
      </w:r>
      <w:r>
        <w:rPr>
          <w:rFonts w:ascii="arial" w:eastAsia="arial" w:hAnsi="arial" w:cs="arial"/>
          <w:color w:val="000000"/>
          <w:sz w:val="20"/>
          <w:lang w:val="en-US" w:eastAsia="en-US" w:bidi="ar-SA"/>
        </w:rPr>
        <w:t xml:space="preserve"> through a combination of psychological and pharmaceutical treatment. Mr. Adamson's suicide risk should continue to be carefully monitored, although it is not actively elevated at this time.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Dr. O'Breasail is a psychiatrist who saw Mr. Adamson initially on 6 April 2004. In his report dated 13 May 2004, he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it is my opinion that this man is suffering from a Chronic Pain Syndrome and a Major Depressive Disorder. The chronic pain is directly related to the injuries he received in the motor vehicle accident of 9 October 2000. The depression developed as a result of the chronic pain, associated disability, and the losses that occurred, again directly as a result of the accident. There were other stressful factors in his life that were further contributory factors to the development of the depressive disorder. He has been treated with antidepressant medications and initially gained some benefit from this, but this benefit has largely dissipated of late. It would be my suggestion to consider changing his antidepressant medication from the current Paxil, 40 mg daily. I would suggest a trial of Effexor, dosage starting at 75 mg up to 300 mg daily depending on tolerance and response. He is also receiving psychological help from Dr. Marion Ehrenberg. I believe he may benefit from this. A limiting factor here, however, is he is not very psychologically minded and I do not believe has much insight into the psychological factors affecting him at the present time. Unfortunately, his chronic pain has been resistant to many interventions. At the present time he is on MS-Contin, which is long acting morphine. This may have a positive effect on decreasing his pain, but the long-term use of narcotic medications can have negative effects.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this man is totally disabled at the present time secondary to his Chronic Pain Disorder and Major Depression. With appropriate treatment, I believe it is likely that his depression will improve and he will be better able to cope with his current life situation. It is also likely when his depression improves that there will be a slight reduction in his pain perception. He will be better able to deal with the chronic pain. I do not believe, however, this will have a significant effect on his physical state or his long-term employability.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Dr. O'Breasail saw Mr. Adamson again in August 2006 and he confirmed his earlier opinion, noting that if anything Mr. Adamson's major depression is worse than in 2004: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man, prior to the motor vehicle accident, functioned well on a number of different levels. He was in a stable relationship and vocationally, recreationally, and financially was functioning at a high level. However, all of that has changed since the accident. In the two years since I last saw him, there appears to have been a deterioration in his condition. I believe that he may benefit from the interventions noted above, in particular adding in an antidepressant medication and ongoing individual and joint therapy with his wife. The conditions, however, that gave rise to his developing a depression persist. He continues to have chronic pain and associated disability. There have been many losses associated with this. As a result, he is likely, even with the most appropriate intervention, to continue to suffer from depressive symptoms into the future and in my opinion will remain disabled in the long-term.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The defendant called Dr. Riar, a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He spoke to his report of 21 December 2004. Unfortunately, Dr. Riar saw Mr. Adamson on only one occasion for about two hours. This affects the weight I give his opinion particularly to the extent that it conflicts with that of Dr. Freeman, who had an extraordinary opportunity to assess the plaintiff at various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Dr. Riar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believe that Mr. Adamson sustained any significant closed head injury as a result of the accident. Also, there has been no mention of any post-concussive symptoms soon after the accident. Some time after the accident, he started reporting problems with his cognition, as well as changes in his behaviour, which I believe are part and parcel of his depressive and anxious state of mind, rather than long-term sequelae of a head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It was not "some time after the accident" that Mr. Adamson reported problems with cognition. In his own report Dr. Riar notes that Mr. Adamson: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reported having "short term" memory loss, which he noted right away after the accident. With any kind of distraction, he would lose numbers or measurements.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Counsel for the plaintiff correctly argues that on the whole of the evidence after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was an alteration of consciousness in the sense of how Mr. Adamson felt at the time of the accident and in the days immediately after. There are descriptions of disorientation, speech and memory problems, dizziness and excessive sleeping over the 24 hours that follow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 agree with Ms. Acheson, that many of Dr. Riar's assumptions have been shown to be incorrect. For example, a number of his assumptions suggest that Mr. Adamson presents with somatization disorder, when, in fact, the evidence supports the conclusion that there are organic reasons for Mr. Adamson's pain and behaviour. I do not accept Dr. Riar's opinion, especially to the extent that he suggests that Mr. Adamson did not sustain "any significant closed head injury as a result of the accident".</w:t>
      </w:r>
      <w:r>
        <w:rPr>
          <w:rFonts w:ascii="arial" w:eastAsia="arial" w:hAnsi="arial" w:cs="arial"/>
          <w:sz w:val="20"/>
          <w:lang w:val="en-US" w:eastAsia="en-US" w:bidi="ar-SA"/>
        </w:rPr>
        <w:cr/>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Pain Management Specialist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 plaintiff called Dr. Daniel Vincent, a specialist in anaesthesiology and interventional pain management. As I indicated above, he administered the diagnostic and therapeutic nerve block procedures. Dr. Vincent operates a private pain management clinic in Victoria.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Dr. Vincent began seeing the plaintiff in August 2002. Dr. Vincent last saw him in May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Dr. Vincent summarized the dynamics of the accident and the plaintiff's resulting injuries (T. 13 December 2006, ll. 24-42):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first of all you summarize it, as far as I understand it, this was an abrupt side impact, which would be consistent [</w:t>
            </w:r>
            <w:r>
              <w:rPr>
                <w:rFonts w:ascii="arial" w:eastAsia="arial" w:hAnsi="arial" w:cs="arial"/>
                <w:i/>
                <w:color w:val="000000"/>
                <w:sz w:val="18"/>
                <w:lang w:val="en-US" w:eastAsia="en-US" w:bidi="ar-SA"/>
              </w:rPr>
              <w:t>sic</w:t>
            </w:r>
            <w:r>
              <w:rPr>
                <w:rFonts w:ascii="arial" w:eastAsia="arial" w:hAnsi="arial" w:cs="arial"/>
                <w:color w:val="000000"/>
                <w:sz w:val="18"/>
                <w:lang w:val="en-US" w:eastAsia="en-US" w:bidi="ar-SA"/>
              </w:rPr>
              <w:t>] a lateral flexion-extension injury. I'm not sure if he impacted his left shoulder on the door at the time, although he simply presented with a left shoulder problem from the very onset and he investigated as such.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His neck presentation was fairly consistent by history with respect to the pain, discomfort in the neck, and the headaches, which he did so from the time I saw him till the last nerve block that we discussed. In my opinion that would be consistent with lateral impact injuries in a flexion-extension laterally mechanism. What I understand from the literature and years of experience is that this would fit the picture of a potential joint injury at C2-3 and C3-4 for which testing in the form of X-rays, MRI's, bone scans, et cetera, are not particularly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The flexion extension injury resulted, in Dr. Vincent's opinion, in a suboccipital myalgia neuralgia syndrome. He explains (T. 13 December 2006, ll. 13-25):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syndrome is a description of signs and symptoms related to a specific complaint of a body part, in this case the neck, where it fits a pattern of radiating pain along recognized neuro-anatomical structures such as a nerve, and myalgia means muscle. Neuralgia means it's the nerve or the painful experience. At least on three occasions we were able to significant -- or two occasions significantly interrupt this cycle using a local anaesthetic block technique, and only partially on the third, giving me a fairly significant educated guess that this was an upper neck injury at least C2-3 or C3-4.</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This is a chronic pain condition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Again, Dr. Vincent explains (T. 13 December 2006, p. 28, l. 35-p. 29, l.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that's a frequent occurrence. Mr. Adamson can be classified as having a chronic pain syndrome, which I characterized in three major categories. The presence of pain alone does not constitute a chronic pain syndrome. What does, in my opinion, is the presence of unrelenting pain. Number two, physiological dysfunction characterized by inability to conduct normal activities, either at work, poor family relationship, poor sleep -- the third category would be physiological disturbances such as depression, change in mood, change in personality, difficulties with function in daily living based on either concentration and/or inability to achieve normal sleep patterns or stamina. So it's a triad chronic pain syndrome.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Under this heading I should also note the findings of Dr. Patrick McAllister, an orthopaedic surgeon, who saw Mr. Adamson for an independent medical examination on 12 October 2004. Dr. McAllister offers this clinical impression: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This gentleman is now four years post motor vehicle accident. He presents with significant upper cervical discomfort, headaches and left shoulder discomfort and left arm tingling.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 diagnoses would be the following:</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Cervicogenic headaches, query greater occipital neuralgia left.</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Degenerative disc disease C5-6 exacerbated by the motor vehicle accident.</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Query, burner left C6 root.</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Mild left rotator cuff tendinopathy with arthralgic left shoulder post MVA.</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Minimally symptomatic left carpal tunnel syndrome.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gentleman appeared to be well prior to his motor vehicle accident. He sustained quite likely a forced flexion rotation injury to his cervical spine. This was probably on a preexisting degenerative spine based on his MRI of September 2001, which showed C4-5, 5-6 and 6-7 degenerative changes. He has slight narrowing of the left C6 foramen as possibly with a forced compression that he had a transient compression of the left C6 nerve root, which has led to his left shoulder, left arm symptoms. By my assessment today, he is normal electrophysiologically and that has been the case by Dr. Martin and Dr. Kemble's assessments. He, unfortunately, has ongoing symptoms referable with intermittent irritability along that nerve root distribution. He, in addition, has by EMG findings very slight left carpal tunnel syndrome, although his symptoms in his hand are not entirely consistent with carnal tunnel syndrome.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 most severe symptoms are his headaches. These are probably on the basis of cervicogenic, ie referred from the neck, possibly combined with left greater occipital neuralgia (impingement of the left greater occipital nerve).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in addition, has left shoulder discomfort and weakness probably on the basis of a rotator cuff tendinopathy. He has increasing signal at infraspinatus insertion, which may or may not have increased pre-existed the MVA, but with the significant trauma to his left shoulder in the motor vehicle accident or caused his symptoms. He has had ongoing arthralgic discomfort in his left shoulder. The MRI scan has failed to show a surgically amenable lesion.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VIII </w:t>
      </w:r>
      <w:r>
        <w:rPr>
          <w:rFonts w:ascii="arial" w:eastAsia="arial" w:hAnsi="arial" w:cs="arial"/>
          <w:b/>
          <w:color w:val="000000"/>
          <w:sz w:val="20"/>
          <w:u w:val="single"/>
          <w:lang w:val="en-US" w:eastAsia="en-US" w:bidi="ar-SA"/>
        </w:rPr>
        <w:t>The Plaintiff's Injuries and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On the whole of the evidence, and with particular reference to the medical evidence which I have reviewed, I reach the following conclusions concerning Roger Adamson:</w:t>
      </w:r>
      <w:r>
        <w:rPr>
          <w:rFonts w:ascii="arial" w:eastAsia="arial" w:hAnsi="arial" w:cs="arial"/>
          <w:sz w:val="20"/>
          <w:lang w:val="en-US" w:eastAsia="en-US" w:bidi="ar-SA"/>
        </w:rPr>
        <w:cr/>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has suffered a mild traumatic brain injury as described in the evidence of Dr. Freeman;</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suffers from chronic pain syndrome as a result of the injuries to his upper neck and left shoulder, more particularly described in the medical evidence reviewed;</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suffers from severe headaches;</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suffers from a Major Depressive Disorder of Moderate Severity;</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the evidence of Dr. Neil Longridge, the accident has exacerbated Mr. Adamson's pre-existing hearing loss; and</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is and will remain competitively unemployable for the remainder of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As to a prognosis in my view, it is not encouraging and I repeat Dr. O'Breasail's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this man is totally disabled at the present time secondary to his Chronic Pain Disorder and Major Depression. With appropriate treatment, I believe it is likely that his depression will improve and he will be better able to cope with his current life situation. It is also likely when his depression improves that there will be a slight reduction in his pain perception. He will be better able to deal with the chronic pain. I do not believe, however, this will have a significant effect on his physical state or his long-term employability.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 cannot leave my description of the injuries suffered by the plaintiff without describing in more detail the headaches which he still regularly experiences.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These headaches are very debilitating and they apparently emanate from his daily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The plaintiff described these headaches as varying in intensity. Sometimes a slight movement of his neck will cause "electric jolts" to "fire off" in split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When these headaches "break through" Mr. Adamson reports that he becomes very hot; that he has tears in his eyes and that his lips turn blue. He has to lie down and search for a comfortable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At trial, Mr. Adamson began weeping when he described the worst of these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 turn to deal with certain video surveillance evidence tendered by the defendant and admitted in evidence at trial over the objections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The surveillance videos show the plaintiff doing various tasks in 2001 and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xml:space="preserve">  Counsel for Mr. Adamson advanced essentially three arguments against admission of the tapes on the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inadmissibility on the substantive ground - a failure to meet the three part test;</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inadmissibility by reason of the defendant's failure to comply with Rule 26 disclosure requirements until the existence of the tapes was noted in the defendant's supplemental lists of documents in October and November 2006; and</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inadmissibility by reason of the defendant's failure to comply with Rule 40(13) because the video tape evidence is not complete without the investigators' surveillance logs and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I will deal with each objection in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 v. Creemer and Cormier</w:t>
      </w:r>
      <w:r>
        <w:rPr>
          <w:rFonts w:ascii="arial" w:eastAsia="arial" w:hAnsi="arial" w:cs="arial"/>
          <w:color w:val="000000"/>
          <w:sz w:val="20"/>
          <w:lang w:val="en-US" w:eastAsia="en-US" w:bidi="ar-SA"/>
        </w:rPr>
        <w:t xml:space="preserve">, </w:t>
      </w:r>
      <w:hyperlink r:id="rId318" w:history="1">
        <w:r>
          <w:rPr>
            <w:rFonts w:ascii="arial" w:eastAsia="arial" w:hAnsi="arial" w:cs="arial"/>
            <w:i/>
            <w:color w:val="0077CC"/>
            <w:sz w:val="20"/>
            <w:u w:val="single"/>
            <w:shd w:val="clear" w:color="auto" w:fill="FFFFFF"/>
            <w:lang w:val="en-US" w:eastAsia="en-US" w:bidi="ar-SA"/>
          </w:rPr>
          <w:t>[1968] 1 C.C.C. 14</w:t>
        </w:r>
      </w:hyperlink>
      <w:r>
        <w:rPr>
          <w:rFonts w:ascii="arial" w:eastAsia="arial" w:hAnsi="arial" w:cs="arial"/>
          <w:color w:val="000000"/>
          <w:sz w:val="20"/>
          <w:lang w:val="en-US" w:eastAsia="en-US" w:bidi="ar-SA"/>
        </w:rPr>
        <w:t xml:space="preserve"> (N.S.C.A.), the court dealt with the admissibility of photographic evidence and it summarized the law so: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admissibility depends on (1) their accuracy in truly representing the facts; (2) their fairness and absence of any intention to mislead; (3) their verification on oath by a person capable to do so.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In submissions, no issue ultimately arose with requirement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As to requirements (1) and (2), the plaintiff essentially argues that by their nature, short video clips of the plaintiff undertaking various tasks are inaccurate and unfair to the extent that they are out of context and fail to record the aftermath of the filmed activity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possibly the plaintiff resting and recuperating).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As to their accuracy, the video tapes do accurately depict the activity filmed. There has been no editing designed to distort the recorded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xml:space="preserve">  The plaintiff relies on </w:t>
      </w:r>
      <w:r>
        <w:rPr>
          <w:rFonts w:ascii="arial" w:eastAsia="arial" w:hAnsi="arial" w:cs="arial"/>
          <w:b/>
          <w:i/>
          <w:color w:val="000000"/>
          <w:sz w:val="20"/>
          <w:lang w:val="en-US" w:eastAsia="en-US" w:bidi="ar-SA"/>
        </w:rPr>
        <w:t>R. v. Penney</w:t>
      </w:r>
      <w:r>
        <w:rPr>
          <w:rFonts w:ascii="arial" w:eastAsia="arial" w:hAnsi="arial" w:cs="arial"/>
          <w:color w:val="000000"/>
          <w:sz w:val="20"/>
          <w:lang w:val="en-US" w:eastAsia="en-US" w:bidi="ar-SA"/>
        </w:rPr>
        <w:t xml:space="preserve"> </w:t>
      </w:r>
      <w:hyperlink r:id="rId319" w:history="1">
        <w:r>
          <w:rPr>
            <w:rFonts w:ascii="arial" w:eastAsia="arial" w:hAnsi="arial" w:cs="arial"/>
            <w:i/>
            <w:color w:val="0077CC"/>
            <w:sz w:val="20"/>
            <w:u w:val="single"/>
            <w:shd w:val="clear" w:color="auto" w:fill="FFFFFF"/>
            <w:lang w:val="en-US" w:eastAsia="en-US" w:bidi="ar-SA"/>
          </w:rPr>
          <w:t>(2002), 163 C.C.C. (3d) 329</w:t>
        </w:r>
      </w:hyperlink>
      <w:r>
        <w:rPr>
          <w:rFonts w:ascii="arial" w:eastAsia="arial" w:hAnsi="arial" w:cs="arial"/>
          <w:color w:val="000000"/>
          <w:sz w:val="20"/>
          <w:lang w:val="en-US" w:eastAsia="en-US" w:bidi="ar-SA"/>
        </w:rPr>
        <w:t xml:space="preserve"> (Nfld.C.A.).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That was a particularly egregious case of selective filming in a criminal law context. The case at bar bears no resemblance.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The plaintiff's basic objection, here, really goes to the weight which I should give the tendered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As to the Rule 26 objection, subrule (14) is engaged. It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Party may not use document</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the court otherwise orders, where a party fails to make discovery of or produce for inspection or copying a document as required by this rule, the party may not put the document in evidence in the proceeding or use it for the purpose of examination or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The 2004 video surveillance was disclosed by the defendant in lists produced in October and November 2006. (This included 2006 surveillance evidence which the defendant chose in the final result not to tender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It bears observation that Mr. McDaniel, counsel for the defendant, came to the file not long before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He produced his supplemental lists as the pressure of reviewing the large amount of material permitted him. The 2004 tapes were produced before trial, unlike in the many cases cited by the plaintiff where the undisclosed document surfaced normally in the middle of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The video surveillance evidence is relevant to the issues before the court. In the circumstances of this case, the ends of justice require its admission.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As to the 2001 video evidence, its existence was disclosed as privileged material, albeit the description in the list was inadequate, and ICBC's claim to privilege was definitely assailable.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Still, the plaintiff took no steps to challenge the adequacy of the description or the claim to privilege. Again, in the circumstances, the ends of justice require admission of this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As to the argument under Rule 40, in my opinion that rule simply does not require the provision, in circumstances like that at bar, of the logs and surveillance notes of the investigators as a condition of admissibility under the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In the final analysis, however, a consideration of the video surveillance evidence does not cause me to alter my conclusions on the plaintiff's injuries and his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Nor did the video surveillance evidence affect the opinions of many of the plaintiff's medical experts who reviewed the videos. In this context the evidence of Min Trevor Kyi best summarizes my assessment of 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Unless the video discloses a major discrepancy between the capacity demonstrated by the plaintiff otherwise it is not particularly helpful because it does not show what the individual was doing before and 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We know that the plaintiff is not totally incapacitated. We know that he undertook work before 2003. We also know that with the plaintiff the issue is one of sustainability, given his constellation of physical and cognitive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IX </w:t>
      </w:r>
      <w:r>
        <w:rPr>
          <w:rFonts w:ascii="arial" w:eastAsia="arial" w:hAnsi="arial" w:cs="arial"/>
          <w:b/>
          <w:color w:val="000000"/>
          <w:sz w:val="20"/>
          <w:u w:val="single"/>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I have described, above, the dynamics of the collision from the perspective of the plaintiff. It remains to contrast that evidence with the version offered by Mr. Charity, who testified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Mr. Charity was driving his 1997 Infiniti sports utility vehicle which he purchased as a new vehicle. It had 80,000 to 90,000 kilometres on the odometer with no history of mechanical or brake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Mr. Charity testified that the roads at the accident scene were wet or damp. He said that he approached the stop sign at the intersection travelling about 20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At trial he maintained that he applied his brakes in a timely fashion, about 20 to 40 feet from the stop sign, but that he heard "a loud thumping noise" and his vehicle did not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Mr. Charity testified that his vehicle came to a stop 15 feet into the intersection, whereupon Mr. Adamson's vehicle, travelling in the middle of Market Street at 40 to 50 kilometres per hour clipped the Charity vehicle. Mr. Adamson's vehicle veered to the right and hit the curb, landing on its side. Mr. Charity said that the impact occurred in the centre of the intersection and that he left his vehicle where it had come to a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I do not accept Mr. Charity's evidence on any level. He was not a credible witness. His version of the accident is completely at odds with the damage found on the plaintiff's truck. That truck was clearly damaged in a "T-bone" type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This is confirmed by the news video evidence which shows the defendant's vehicle resting in the plaintiff's lane on Market Street. The defendant travelled through the intersection and struck the plaintiff. The defendant did not come to a stop in the middle of Market Street to be swiped by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The brakes on the defendant's vehicle were tested at the direction of police after the accident and no malfunction was detected. Mr. Charity was issued a violation ticket for failing to stop at the stop sign. He did not dispute this 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I conclude on the evidence that Mr. Charity was driving his vehicle too quickly for the road conditions at the time. This fact and inattention to the stop sign, caused his vehicle's failure to stop at the stop sign. Mr. Charity struck Mr. Adamson's vehicle with considerable force. Mr. Adamson had no warning and it was impossible for him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Mr. Adamson was not in any way negligent in the operation of his vehicle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xml:space="preserve">  Mr. Charity's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X </w:t>
      </w:r>
      <w:r>
        <w:rPr>
          <w:rFonts w:ascii="arial" w:eastAsia="arial" w:hAnsi="arial" w:cs="arial"/>
          <w:b/>
          <w:color w:val="000000"/>
          <w:sz w:val="20"/>
          <w:u w:val="single"/>
          <w:lang w:val="en-US" w:eastAsia="en-US" w:bidi="ar-SA"/>
        </w:rPr>
        <w:t>Damages</w:t>
      </w:r>
      <w:r>
        <w:rPr>
          <w:rFonts w:ascii="arial" w:eastAsia="arial" w:hAnsi="arial" w:cs="arial"/>
          <w:sz w:val="20"/>
          <w:lang w:val="en-US" w:eastAsia="en-US" w:bidi="ar-SA"/>
        </w:rPr>
        <w:cr/>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I have described the injuries to the plaintiff, the course of his treatment, his physical and mental status today, and his prognosis, already at length.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Against that backdrop, the plaintiff seeks non-pecuniary damages in the amount of $250,000.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The defendant counters and suggests that an award of $100,000 is appropriate under this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The defence authorities reflect its view of the plaintiff's injuries and his prognosis. It is a view which I have largely rejected. I will accordingly concentrate on the cases cited by the plaintiff. These include: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Fournier v. Stevenson Bros. Warehousing Inc.</w:t>
      </w:r>
      <w:r>
        <w:rPr>
          <w:rFonts w:ascii="arial" w:eastAsia="arial" w:hAnsi="arial" w:cs="arial"/>
          <w:color w:val="000000"/>
          <w:sz w:val="20"/>
          <w:lang w:val="en-US" w:eastAsia="en-US" w:bidi="ar-SA"/>
        </w:rPr>
        <w:t xml:space="preserve">, </w:t>
      </w:r>
      <w:hyperlink r:id="rId320" w:history="1">
        <w:r>
          <w:rPr>
            <w:rFonts w:ascii="arial" w:eastAsia="arial" w:hAnsi="arial" w:cs="arial"/>
            <w:i/>
            <w:color w:val="0077CC"/>
            <w:sz w:val="20"/>
            <w:u w:val="single"/>
            <w:shd w:val="clear" w:color="auto" w:fill="FFFFFF"/>
            <w:lang w:val="en-US" w:eastAsia="en-US" w:bidi="ar-SA"/>
          </w:rPr>
          <w:t>[2003] B.C.J. No. 679</w:t>
        </w:r>
      </w:hyperlink>
      <w:r>
        <w:rPr>
          <w:rFonts w:ascii="arial" w:eastAsia="arial" w:hAnsi="arial" w:cs="arial"/>
          <w:color w:val="000000"/>
          <w:sz w:val="20"/>
          <w:lang w:val="en-US" w:eastAsia="en-US" w:bidi="ar-SA"/>
        </w:rPr>
        <w:t xml:space="preserve">, </w:t>
      </w:r>
      <w:hyperlink r:id="rId320" w:history="1">
        <w:r>
          <w:rPr>
            <w:rFonts w:ascii="arial" w:eastAsia="arial" w:hAnsi="arial" w:cs="arial"/>
            <w:i/>
            <w:color w:val="0077CC"/>
            <w:sz w:val="20"/>
            <w:u w:val="single"/>
            <w:shd w:val="clear" w:color="auto" w:fill="FFFFFF"/>
            <w:lang w:val="en-US" w:eastAsia="en-US" w:bidi="ar-SA"/>
          </w:rPr>
          <w:t>2003 BCSC 448</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Alden v. Spooner</w:t>
      </w:r>
      <w:r>
        <w:rPr>
          <w:rFonts w:ascii="arial" w:eastAsia="arial" w:hAnsi="arial" w:cs="arial"/>
          <w:color w:val="000000"/>
          <w:sz w:val="20"/>
          <w:lang w:val="en-US" w:eastAsia="en-US" w:bidi="ar-SA"/>
        </w:rPr>
        <w:t xml:space="preserve">, </w:t>
      </w:r>
      <w:hyperlink r:id="rId321" w:history="1">
        <w:r>
          <w:rPr>
            <w:rFonts w:ascii="arial" w:eastAsia="arial" w:hAnsi="arial" w:cs="arial"/>
            <w:i/>
            <w:color w:val="0077CC"/>
            <w:sz w:val="20"/>
            <w:u w:val="single"/>
            <w:shd w:val="clear" w:color="auto" w:fill="FFFFFF"/>
            <w:lang w:val="en-US" w:eastAsia="en-US" w:bidi="ar-SA"/>
          </w:rPr>
          <w:t>[2002] B.C.J. No. 2468</w:t>
        </w:r>
      </w:hyperlink>
      <w:r>
        <w:rPr>
          <w:rFonts w:ascii="arial" w:eastAsia="arial" w:hAnsi="arial" w:cs="arial"/>
          <w:color w:val="000000"/>
          <w:sz w:val="20"/>
          <w:lang w:val="en-US" w:eastAsia="en-US" w:bidi="ar-SA"/>
        </w:rPr>
        <w:t xml:space="preserve">, </w:t>
      </w:r>
      <w:hyperlink r:id="rId321" w:history="1">
        <w:r>
          <w:rPr>
            <w:rFonts w:ascii="arial" w:eastAsia="arial" w:hAnsi="arial" w:cs="arial"/>
            <w:i/>
            <w:color w:val="0077CC"/>
            <w:sz w:val="20"/>
            <w:u w:val="single"/>
            <w:shd w:val="clear" w:color="auto" w:fill="FFFFFF"/>
            <w:lang w:val="en-US" w:eastAsia="en-US" w:bidi="ar-SA"/>
          </w:rPr>
          <w:t>2002 BCCA 592</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Courdin v. Meyers</w:t>
      </w:r>
      <w:r>
        <w:rPr>
          <w:rFonts w:ascii="arial" w:eastAsia="arial" w:hAnsi="arial" w:cs="arial"/>
          <w:color w:val="000000"/>
          <w:sz w:val="20"/>
          <w:lang w:val="en-US" w:eastAsia="en-US" w:bidi="ar-SA"/>
        </w:rPr>
        <w:t xml:space="preserve">, </w:t>
      </w:r>
      <w:hyperlink r:id="rId322" w:history="1">
        <w:r>
          <w:rPr>
            <w:rFonts w:ascii="arial" w:eastAsia="arial" w:hAnsi="arial" w:cs="arial"/>
            <w:i/>
            <w:color w:val="0077CC"/>
            <w:sz w:val="20"/>
            <w:u w:val="single"/>
            <w:shd w:val="clear" w:color="auto" w:fill="FFFFFF"/>
            <w:lang w:val="en-US" w:eastAsia="en-US" w:bidi="ar-SA"/>
          </w:rPr>
          <w:t>[2005] B.C.J. No. 266</w:t>
        </w:r>
      </w:hyperlink>
      <w:r>
        <w:rPr>
          <w:rFonts w:ascii="arial" w:eastAsia="arial" w:hAnsi="arial" w:cs="arial"/>
          <w:color w:val="000000"/>
          <w:sz w:val="20"/>
          <w:lang w:val="en-US" w:eastAsia="en-US" w:bidi="ar-SA"/>
        </w:rPr>
        <w:t xml:space="preserve">, </w:t>
      </w:r>
      <w:hyperlink r:id="rId322" w:history="1">
        <w:r>
          <w:rPr>
            <w:rFonts w:ascii="arial" w:eastAsia="arial" w:hAnsi="arial" w:cs="arial"/>
            <w:i/>
            <w:color w:val="0077CC"/>
            <w:sz w:val="20"/>
            <w:u w:val="single"/>
            <w:shd w:val="clear" w:color="auto" w:fill="FFFFFF"/>
            <w:lang w:val="en-US" w:eastAsia="en-US" w:bidi="ar-SA"/>
          </w:rPr>
          <w:t>2005 BCCA 91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Santi v. Pacific National Exhibition</w:t>
      </w:r>
      <w:r>
        <w:rPr>
          <w:rFonts w:ascii="arial" w:eastAsia="arial" w:hAnsi="arial" w:cs="arial"/>
          <w:color w:val="000000"/>
          <w:sz w:val="20"/>
          <w:lang w:val="en-US" w:eastAsia="en-US" w:bidi="ar-SA"/>
        </w:rPr>
        <w:t xml:space="preserve">, </w:t>
      </w:r>
      <w:hyperlink r:id="rId323" w:history="1">
        <w:r>
          <w:rPr>
            <w:rFonts w:ascii="arial" w:eastAsia="arial" w:hAnsi="arial" w:cs="arial"/>
            <w:i/>
            <w:color w:val="0077CC"/>
            <w:sz w:val="20"/>
            <w:u w:val="single"/>
            <w:shd w:val="clear" w:color="auto" w:fill="FFFFFF"/>
            <w:lang w:val="en-US" w:eastAsia="en-US" w:bidi="ar-SA"/>
          </w:rPr>
          <w:t>[2000] B.C.J. No. 901</w:t>
        </w:r>
      </w:hyperlink>
      <w:r>
        <w:rPr>
          <w:rFonts w:ascii="arial" w:eastAsia="arial" w:hAnsi="arial" w:cs="arial"/>
          <w:color w:val="000000"/>
          <w:sz w:val="20"/>
          <w:lang w:val="en-US" w:eastAsia="en-US" w:bidi="ar-SA"/>
        </w:rPr>
        <w:t xml:space="preserve">, </w:t>
      </w:r>
      <w:hyperlink r:id="rId323" w:history="1">
        <w:r>
          <w:rPr>
            <w:rFonts w:ascii="arial" w:eastAsia="arial" w:hAnsi="arial" w:cs="arial"/>
            <w:i/>
            <w:color w:val="0077CC"/>
            <w:sz w:val="20"/>
            <w:u w:val="single"/>
            <w:shd w:val="clear" w:color="auto" w:fill="FFFFFF"/>
            <w:lang w:val="en-US" w:eastAsia="en-US" w:bidi="ar-SA"/>
          </w:rPr>
          <w:t>2000 BCSC 716</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Lines v. Gordon and ICBC</w:t>
      </w:r>
      <w:r>
        <w:rPr>
          <w:rFonts w:ascii="arial" w:eastAsia="arial" w:hAnsi="arial" w:cs="arial"/>
          <w:color w:val="000000"/>
          <w:sz w:val="20"/>
          <w:lang w:val="en-US" w:eastAsia="en-US" w:bidi="ar-SA"/>
        </w:rPr>
        <w:t xml:space="preserve">, </w:t>
      </w:r>
      <w:hyperlink r:id="rId324" w:history="1">
        <w:r>
          <w:rPr>
            <w:rFonts w:ascii="arial" w:eastAsia="arial" w:hAnsi="arial" w:cs="arial"/>
            <w:i/>
            <w:color w:val="0077CC"/>
            <w:sz w:val="20"/>
            <w:u w:val="single"/>
            <w:shd w:val="clear" w:color="auto" w:fill="FFFFFF"/>
            <w:lang w:val="en-US" w:eastAsia="en-US" w:bidi="ar-SA"/>
          </w:rPr>
          <w:t>[2006] B.C.J. No. 3318</w:t>
        </w:r>
      </w:hyperlink>
      <w:r>
        <w:rPr>
          <w:rFonts w:ascii="arial" w:eastAsia="arial" w:hAnsi="arial" w:cs="arial"/>
          <w:color w:val="000000"/>
          <w:sz w:val="20"/>
          <w:lang w:val="en-US" w:eastAsia="en-US" w:bidi="ar-SA"/>
        </w:rPr>
        <w:t xml:space="preserve">, </w:t>
      </w:r>
      <w:hyperlink r:id="rId324" w:history="1">
        <w:r>
          <w:rPr>
            <w:rFonts w:ascii="arial" w:eastAsia="arial" w:hAnsi="arial" w:cs="arial"/>
            <w:i/>
            <w:color w:val="0077CC"/>
            <w:sz w:val="20"/>
            <w:u w:val="single"/>
            <w:shd w:val="clear" w:color="auto" w:fill="FFFFFF"/>
            <w:lang w:val="en-US" w:eastAsia="en-US" w:bidi="ar-SA"/>
          </w:rPr>
          <w:t>2006 BCSC 1929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Fournier</w:t>
      </w:r>
      <w:r>
        <w:rPr>
          <w:rFonts w:ascii="arial" w:eastAsia="arial" w:hAnsi="arial" w:cs="arial"/>
          <w:color w:val="000000"/>
          <w:sz w:val="20"/>
          <w:lang w:val="en-US" w:eastAsia="en-US" w:bidi="ar-SA"/>
        </w:rPr>
        <w:t>, we find a plaintiff whose position in many ways mirrors the state to which Mr. Adamson has been reduced. In 2003, I awarded Ms. Fournier $185,000 by way of non-pecuniary damages. I also distinguished cases where the award significantly exceeded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Courdin v. Meyers</w:t>
      </w:r>
      <w:r>
        <w:rPr>
          <w:rFonts w:ascii="arial" w:eastAsia="arial" w:hAnsi="arial" w:cs="arial"/>
          <w:color w:val="000000"/>
          <w:sz w:val="20"/>
          <w:lang w:val="en-US" w:eastAsia="en-US" w:bidi="ar-SA"/>
        </w:rPr>
        <w:t>, the Court of Appeal reduced a jury's upper limit award for non-pecuniary damages to $200,000. Again, there are many similarities there to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Lines v. Gordon</w:t>
      </w:r>
      <w:r>
        <w:rPr>
          <w:rFonts w:ascii="arial" w:eastAsia="arial" w:hAnsi="arial" w:cs="arial"/>
          <w:color w:val="000000"/>
          <w:sz w:val="20"/>
          <w:lang w:val="en-US" w:eastAsia="en-US" w:bidi="ar-SA"/>
        </w:rPr>
        <w:t>, involves a plaintiff with a mild traumatic brain injury, severe and constant headaches, and depression. Justice Lander awarded him non-pecuniary damages of $225,000 and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Lines has also lost the future standing in the community as a skilled journeyman mechanic or marine engineer and furthermore, more importantly, has lost a great degree of control of his life now and in the future.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 evidence reveals that he is able to carry out certain activities that he did prior to his injury such as riding all terrain vehicles and camping, however, the evidence reveals that these are no longer enjoyable to him. His relationships have changed. He appears to be lonely, his days are filled with going to Canadian Tire, working on cars and visiting his children. The evidence reveals that these endeavours are tiring to him. Mr. Lines enjoyment of life has been virtually destroyed by this accident. When considering the non-pecuniary loss to the plaintiff one must consider the pain, suffering, the possible shortened expectation of life and loss of amenities.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In all the circumstances, I fix an appropriate award under this head of loss at $200,000.</w:t>
      </w:r>
      <w:r>
        <w:rPr>
          <w:rFonts w:ascii="arial" w:eastAsia="arial" w:hAnsi="arial" w:cs="arial"/>
          <w:sz w:val="20"/>
          <w:lang w:val="en-US" w:eastAsia="en-US" w:bidi="ar-SA"/>
        </w:rPr>
        <w:cr/>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Loss of Working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Here I am concerned with both past and future loss of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This case presents some difficulty in the assessment under this head, because Mr. Adamson, apart from his Home Depot work, was essentially self-employed and he did not receive a stream of income which reflected the value of his work as his income tax returns well attest.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Still, it is undisputed that Mr. Adamson has suffered a loss of working capacity. As I have detailed, he is unable to do most of the things which he previously did and this is as a result of the motor vehicle accident and the physical injuries he suffered therein and the psychological impact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xml:space="preserve">  As suggested by Mr. Sweeney, co-counsel for Mr. Adamson, it is instructive to begin this assessment by recalling the legal principles at play. Justice Smith revisited these in </w:t>
      </w:r>
      <w:r>
        <w:rPr>
          <w:rFonts w:ascii="arial" w:eastAsia="arial" w:hAnsi="arial" w:cs="arial"/>
          <w:b/>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325" w:history="1">
        <w:r>
          <w:rPr>
            <w:rFonts w:ascii="arial" w:eastAsia="arial" w:hAnsi="arial" w:cs="arial"/>
            <w:i/>
            <w:color w:val="0077CC"/>
            <w:sz w:val="20"/>
            <w:u w:val="single"/>
            <w:shd w:val="clear" w:color="auto" w:fill="FFFFFF"/>
            <w:lang w:val="en-US" w:eastAsia="en-US" w:bidi="ar-SA"/>
          </w:rPr>
          <w:t>[2005] B.C.J. No. 523</w:t>
        </w:r>
      </w:hyperlink>
      <w:r>
        <w:rPr>
          <w:rFonts w:ascii="arial" w:eastAsia="arial" w:hAnsi="arial" w:cs="arial"/>
          <w:color w:val="000000"/>
          <w:sz w:val="20"/>
          <w:lang w:val="en-US" w:eastAsia="en-US" w:bidi="ar-SA"/>
        </w:rPr>
        <w:t xml:space="preserve">, </w:t>
      </w:r>
      <w:hyperlink r:id="rId325"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xml:space="preserve">  Justice Smith begins his analysis in </w:t>
      </w:r>
      <w:r>
        <w:rPr>
          <w:rFonts w:ascii="arial" w:eastAsia="arial" w:hAnsi="arial" w:cs="arial"/>
          <w:b/>
          <w:i/>
          <w:color w:val="000000"/>
          <w:sz w:val="20"/>
          <w:lang w:val="en-US" w:eastAsia="en-US" w:bidi="ar-SA"/>
        </w:rPr>
        <w:t>Rowe</w:t>
      </w:r>
      <w:r>
        <w:rPr>
          <w:rFonts w:ascii="arial" w:eastAsia="arial" w:hAnsi="arial" w:cs="arial"/>
          <w:color w:val="000000"/>
          <w:sz w:val="20"/>
          <w:lang w:val="en-US" w:eastAsia="en-US" w:bidi="ar-SA"/>
        </w:rPr>
        <w:t xml:space="preserve"> so: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This appeal raises the question of the true nature of a claim for loss of earning capacity in an action for damages for negligently-inflicted personal injury. Is it a claim for loss of income the plaintiff would have earned but for the injury, or is it a claim for loss of the value of work that the plaintiff was disabled from doing? The trial judge held, in effect, that it is the latter. For the reasons that follow, I think the trial judge reached the correct conclusion and I would dismiss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Professor Cooper-Stephenson (</w:t>
      </w:r>
      <w:r>
        <w:rPr>
          <w:rFonts w:ascii="arial" w:eastAsia="arial" w:hAnsi="arial" w:cs="arial"/>
          <w:b/>
          <w:i/>
          <w:color w:val="000000"/>
          <w:sz w:val="20"/>
          <w:lang w:val="en-US" w:eastAsia="en-US" w:bidi="ar-SA"/>
        </w:rPr>
        <w:t>Personal Injury Damages in Canada</w:t>
      </w:r>
      <w:r>
        <w:rPr>
          <w:rFonts w:ascii="arial" w:eastAsia="arial" w:hAnsi="arial" w:cs="arial"/>
          <w:color w:val="000000"/>
          <w:sz w:val="20"/>
          <w:lang w:val="en-US" w:eastAsia="en-US" w:bidi="ar-SA"/>
        </w:rPr>
        <w:t>, 2d ed. (Toronto: Carswell, 1996)) would prefer to use the term "loss of working capacity" because (at 205):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now seems clear that neither the notion of "earnings" nor "earning capacity" underlies this head of damages, but rather "work value" or "working capacity" in a sense that evaluates all the pecuniary losses that flow from the plaintiff's inability to work. ... [Footnote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xml:space="preserve">  But terminology aside, Justice Smith clearly adopts Professor Cooper-Stephenson's approach (at paras. 30 and 31 of </w:t>
      </w:r>
      <w:r>
        <w:rPr>
          <w:rFonts w:ascii="arial" w:eastAsia="arial" w:hAnsi="arial" w:cs="arial"/>
          <w:b/>
          <w:i/>
          <w:color w:val="000000"/>
          <w:sz w:val="20"/>
          <w:lang w:val="en-US" w:eastAsia="en-US" w:bidi="ar-SA"/>
        </w:rPr>
        <w:t>Rowe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Thus, in my view, a claim for what is often described as "past loss of income" is actually a claim for loss of earning capacity; that is, a claim for the loss of the value of the work that the injured plaintiff would have performed but was unable to perform because of the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Evidence of this value may take many forms. As was said by Kenneth D. Cooper-Stephenson in </w:t>
      </w:r>
      <w:r>
        <w:rPr>
          <w:rFonts w:ascii="arial" w:eastAsia="arial" w:hAnsi="arial" w:cs="arial"/>
          <w:b/>
          <w:i/>
          <w:color w:val="000000"/>
          <w:sz w:val="20"/>
          <w:lang w:val="en-US" w:eastAsia="en-US" w:bidi="ar-SA"/>
        </w:rPr>
        <w:t>Personal Injury Damages in Canada</w:t>
      </w:r>
      <w:r>
        <w:rPr>
          <w:rFonts w:ascii="arial" w:eastAsia="arial" w:hAnsi="arial" w:cs="arial"/>
          <w:color w:val="000000"/>
          <w:sz w:val="20"/>
          <w:lang w:val="en-US" w:eastAsia="en-US" w:bidi="ar-SA"/>
        </w:rPr>
        <w:t>, 2nd ed. (Scarborough, Ont.: Carswell, 1996) at 205-06: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essence of the task under this head of damages is to award compensation for any pecuniary loss which will result from an inability to work. "Loss of the value of work" is the substance of the claim - loss of the value of any work the plaintiff would have done but for the accident but now will be unable to do. </w:t>
      </w:r>
      <w:r>
        <w:rPr>
          <w:rFonts w:ascii="arial" w:eastAsia="arial" w:hAnsi="arial" w:cs="arial"/>
          <w:color w:val="000000"/>
          <w:sz w:val="20"/>
          <w:u w:val="single"/>
          <w:lang w:val="en-US" w:eastAsia="en-US" w:bidi="ar-SA"/>
        </w:rPr>
        <w:t>The loss framed in this way may be measured in different ways</w:t>
      </w:r>
      <w:r>
        <w:rPr>
          <w:rFonts w:ascii="arial" w:eastAsia="arial" w:hAnsi="arial" w:cs="arial"/>
          <w:color w:val="000000"/>
          <w:sz w:val="20"/>
          <w:lang w:val="en-US" w:eastAsia="en-US" w:bidi="ar-SA"/>
        </w:rPr>
        <w:t xml:space="preserve">. Sometimes it will be measured by reference to the </w:t>
      </w:r>
      <w:r>
        <w:rPr>
          <w:rFonts w:ascii="arial" w:eastAsia="arial" w:hAnsi="arial" w:cs="arial"/>
          <w:i/>
          <w:color w:val="000000"/>
          <w:sz w:val="20"/>
          <w:lang w:val="en-US" w:eastAsia="en-US" w:bidi="ar-SA"/>
        </w:rPr>
        <w:t>actual earnings</w:t>
      </w:r>
      <w:r>
        <w:rPr>
          <w:rFonts w:ascii="arial" w:eastAsia="arial" w:hAnsi="arial" w:cs="arial"/>
          <w:color w:val="000000"/>
          <w:sz w:val="20"/>
          <w:lang w:val="en-US" w:eastAsia="en-US" w:bidi="ar-SA"/>
        </w:rPr>
        <w:t xml:space="preserve"> the plaintiff would have received; sometimes by a </w:t>
      </w:r>
      <w:r>
        <w:rPr>
          <w:rFonts w:ascii="arial" w:eastAsia="arial" w:hAnsi="arial" w:cs="arial"/>
          <w:i/>
          <w:color w:val="000000"/>
          <w:sz w:val="20"/>
          <w:lang w:val="en-US" w:eastAsia="en-US" w:bidi="ar-SA"/>
        </w:rPr>
        <w:t>replacement cost evaluation of tasks</w:t>
      </w:r>
      <w:r>
        <w:rPr>
          <w:rFonts w:ascii="arial" w:eastAsia="arial" w:hAnsi="arial" w:cs="arial"/>
          <w:color w:val="000000"/>
          <w:sz w:val="20"/>
          <w:lang w:val="en-US" w:eastAsia="en-US" w:bidi="ar-SA"/>
        </w:rPr>
        <w:t xml:space="preserve"> which the plaintiff will now be unable to perform; sometimes by an assessment of reduced </w:t>
      </w:r>
      <w:r>
        <w:rPr>
          <w:rFonts w:ascii="arial" w:eastAsia="arial" w:hAnsi="arial" w:cs="arial"/>
          <w:i/>
          <w:color w:val="000000"/>
          <w:sz w:val="20"/>
          <w:lang w:val="en-US" w:eastAsia="en-US" w:bidi="ar-SA"/>
        </w:rPr>
        <w:t>company profits</w:t>
      </w:r>
      <w:r>
        <w:rPr>
          <w:rFonts w:ascii="arial" w:eastAsia="arial" w:hAnsi="arial" w:cs="arial"/>
          <w:color w:val="000000"/>
          <w:sz w:val="20"/>
          <w:lang w:val="en-US" w:eastAsia="en-US" w:bidi="ar-SA"/>
        </w:rPr>
        <w:t xml:space="preserve">; and sometimes by the amount of secondary income lost, such as </w:t>
      </w:r>
      <w:r>
        <w:rPr>
          <w:rFonts w:ascii="arial" w:eastAsia="arial" w:hAnsi="arial" w:cs="arial"/>
          <w:i/>
          <w:color w:val="000000"/>
          <w:sz w:val="20"/>
          <w:lang w:val="en-US" w:eastAsia="en-US" w:bidi="ar-SA"/>
        </w:rPr>
        <w:t>shared family income</w:t>
      </w:r>
      <w:r>
        <w:rPr>
          <w:rFonts w:ascii="arial" w:eastAsia="arial" w:hAnsi="arial" w:cs="arial"/>
          <w:color w:val="000000"/>
          <w:sz w:val="20"/>
          <w:lang w:val="en-US" w:eastAsia="en-US" w:bidi="ar-SA"/>
        </w:rPr>
        <w:t>. [Underlining by Smith J.A.; other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Under this head, the plaintiff advances a claim for gross pre-tax, past loss of $598,787, and for a future loss of $1,298,300.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In support thereof, the plaintiff relies, in part, on the expert evidence of Dr. Geoffrey Young, an economist. The plaintiff bases his claim on a suggested pre and post trial annual income of $100,000 to which an actuarial multiplier is applied and the familiar calculation is undertaken. (Giving the exercise an aura of mathematical precision which is not terribly realistic).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The defendant counters with the expert evidence of Douglas Hildebrand and Jeffrey Salton, a chartered arbitrator carrying on a practice of litigation support accounting.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Mr. Hildebrand for "preliminary guidance only" looks at Mr. Adamson's historical earnings from his tax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To these, Mr. Hildebrand adds certain adjustments to reflect economic benefits that the Adamsons would have derived from their rental and self-employment activities. Mr. Hildebrand, in the result, calculates annual absent-accident earnings for Mr. Adamson in the range of $30,000 to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Adopting the high end of the range, Mr. Hildebrand applied an economic income multiplier which in addition to adjusting for survival and discounting, takes into account the added contingencies associated with labour force non-participation.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Mr. Hildebrand's calculation results in "past absent-accident" earnings of $252,500 and "future absent-accident" earnings of $429,850.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Mr. Salton, in turn, prepared an analysis of "a reasonable estimate of Mr. Adamson's actual economic earnings before and since the accident". Mr. Salton includes his estimate of "Mr. Adamson's apparent labour input to his rental properties, plus his outside contract net income and an allowance for the value of personal benefits included in Mr. Adamson's expenses in his contracting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Mr. Salton concludes: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level of Mr. Adamson's economic earnings that is reflected in the statistical and personal financial information relative to his circumstances, is $44,300 per year in 2006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Mr. Salton calculates Mr. Adamson's past loss of employment and self-employment income to the end of 2006 at $88,469 (net of his actual earnings in this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Mr. Salton (at p. 17 of his report (Exhibit 12, Tab 8)) reasons that Mr. Adamson has not suffered a loss in respect of his labour input into the family rental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Turning to potential future income loss, Mr. Salton repeats his estimate of $44,300 per year as the level of Mr. Adamson's economic earnings and supports it by reference to statistical average income of "persons similar to Mr. Adamson, in like occupational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Here, the witness looks at statistical annual earnings for janitors, contractors in the carpentry trade, carpenters, etc., for an average annual income in 2006 of $40,966.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Mr. Salton applies an allowance for negative employment contingencies and an actuarial multiplier to support a future loss to Mr. Adamson of $30,700 per year to age 65 with a lump sum present value (rounded) of $400,000.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Mr. Sweeney in argument criticized the use of statistical data based on the 2001 Census. He argues, correctly in my view, that the selection of careers is not sufficiently analogous to "the essence of what Mr. Adamson did". Mr. Sweeney maintained that the 2001 Census data is based on 2000 self-reported earnings only minimally converted to 2006 dollars, thereby overlooking significant rate increases for trades in British Columbia. He also noted that Mr. Adamson, pre-accident, typically worked at least 60 hours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The plaintiff approaches this head of law by suggesting a replacement cost model; that is, a calculation of "what Mr. Adamson will have to pay on a continuing basis to replace his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Mr. Sweeney then allocates Mr. Adamson's 60 hour week to work for "Home Depot," "property management," "finishing carpentry," "general construction and carpentry," and "gardening, maintenance and repairs," based on the evidence led at trial. To these discrete areas of work, he applies hourly rates calculated on the basis of evidence from the plaintiff, the general contractor, Darrell Orr, a property management agent called by the defendant and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Mr. Sweeney calculates a total weekly value to Mr. Adamson's work of $2,206.59 for an annual value (based on a 48 week working year) of $105,916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As to residual capacity to work, Mr. Sweeney of course stresses the evidence of Mr. Kyi and argues that, practically, Mr. Adamson has no residual capacity. However, Mr. Sweeney nevertheless assigns Mr. Adamson's property management hours to a residual capacity to come up with a figure of $100,000 per annum. Mr. Sweeney also argues that Mr. Adamson would in all likelihood have worked at least part time to age 70. In light of my assessment of the man I think this most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In my view, the plaintiff's approach to the calculation of this loss is much more reasonable than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The plaintiff's approach centres on the plaintiff as a unique individual working in a somewhat unique set of family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While the Adamsons reported very modest annual incomes before the accident (indeed Roger Adamson received employment insurance benefits in several years), their efforts and business model have produced impressive capital gains in addition to significant monthly rental income. According to 2006 appraisals of their various properties, the Adamsons enjoy net equity therein of about $2.4 million. Clearly, Mr. Adamson's capital asset - his working capacity - has a very significant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On all the evidence, I conclude that the value of the plaintiff's work past and future, but for the accident, is in the range of $80,000 to $100,000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Reilly v. Lynn</w:t>
      </w:r>
      <w:r>
        <w:rPr>
          <w:rFonts w:ascii="arial" w:eastAsia="arial" w:hAnsi="arial" w:cs="arial"/>
          <w:color w:val="000000"/>
          <w:sz w:val="20"/>
          <w:lang w:val="en-US" w:eastAsia="en-US" w:bidi="ar-SA"/>
        </w:rPr>
        <w:t xml:space="preserve">, </w:t>
      </w:r>
      <w:hyperlink r:id="rId326" w:history="1">
        <w:r>
          <w:rPr>
            <w:rFonts w:ascii="arial" w:eastAsia="arial" w:hAnsi="arial" w:cs="arial"/>
            <w:i/>
            <w:color w:val="0077CC"/>
            <w:sz w:val="20"/>
            <w:u w:val="single"/>
            <w:shd w:val="clear" w:color="auto" w:fill="FFFFFF"/>
            <w:lang w:val="en-US" w:eastAsia="en-US" w:bidi="ar-SA"/>
          </w:rPr>
          <w:t>[2003] B.C.J. No. 133</w:t>
        </w:r>
      </w:hyperlink>
      <w:r>
        <w:rPr>
          <w:rFonts w:ascii="arial" w:eastAsia="arial" w:hAnsi="arial" w:cs="arial"/>
          <w:color w:val="000000"/>
          <w:sz w:val="20"/>
          <w:lang w:val="en-US" w:eastAsia="en-US" w:bidi="ar-SA"/>
        </w:rPr>
        <w:t>, the Court of Appeal reminded trial judges that the calculation of loss under this head is not a precise mathematical exercise and, accordingly, I will not undertake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In my judgment, an appropriate award for Mr. Adamson's pre-trial, pre-tax loss, is $400,000 and I award $925,000 for loss of future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The plaintiff advances two further claims under this general head of damages: a claim for loss of rental revenues and one for the loss of opportunity to invest in subsequent real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The loss of rental revenues is based on the premise that but for the accident, the Adamsons would have aggressively embarked on their new rental scheme (furnished suites for short term visitors to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In this regard, it is suggested that they would have completed suites 3 and 4 at Dallas Road and then embarked on a renovation of the Howe Street property to accommodate this type of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Based on the evidence of Sharon Adamson and Exhibit 66, the plaintiff contrasts actual revenues from these properties against anticipated revenues if they had been totally converted to furnished rental suites, which on the evidence command much higher rent. The plaintiff calculates his past and future losses at $427,298.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There is evidence that the Adamsons were pursuing this new scheme before the accident. A number of suites at Dallas Road had been converted to this use and rentals were apparently being taken up by, in some cases, regular annual visitors to the city. But there are numerous contingencies which affect the probability of the Adamsons undertaking the suite renovations contemplated by Exhibit 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One of the most significant contingencies hinges on whether, indeed, Mr. Adamson would have actually undertaken the renovations to the suites at Dallas Road and the Howe Street property in a timely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While I have described Mr. Adamson as an extraordinarily talented carpenter/renovator, I have also noted that he took his time with such work. Nothing very significant had been done to Howe Street since its acquisition in the early 1990s and the renovations to Dallas Road were not, by any means, "fast tracked".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Mr. Adamson responds by saying that he was deflected from work on his own properties by the demands of Mahinder Dhillon, which coincidentally had ceased with his death in 1999. Mr. Adamson replies to the defendant's argument that he failed to mitigate his loss under this head by arguing, for example, that he had borrowed money to complete suite 3 at Dallas Road in 2003. Further, Mr. Adamson had arranged to have suite 4 completed by a contractor in 2005, but the contractor abandoned the Adamsons and because of scheduled rentals of the suites at Dallas Road, Mr. Adamson did not have a window of opportunity to have the work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xml:space="preserve">  The law on damages for loss of opportunity has been discussed in many cases going back to at least </w:t>
      </w:r>
      <w:r>
        <w:rPr>
          <w:rFonts w:ascii="arial" w:eastAsia="arial" w:hAnsi="arial" w:cs="arial"/>
          <w:b/>
          <w:i/>
          <w:color w:val="000000"/>
          <w:sz w:val="20"/>
          <w:lang w:val="en-US" w:eastAsia="en-US" w:bidi="ar-SA"/>
        </w:rPr>
        <w:t>Chaplin v. Hicks</w:t>
      </w:r>
      <w:r>
        <w:rPr>
          <w:rFonts w:ascii="arial" w:eastAsia="arial" w:hAnsi="arial" w:cs="arial"/>
          <w:color w:val="000000"/>
          <w:sz w:val="20"/>
          <w:lang w:val="en-US" w:eastAsia="en-US" w:bidi="ar-SA"/>
        </w:rPr>
        <w:t>, [1911] 2 K.B. 786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xml:space="preserve">  In the context of tort and in assessing damages for personal injuries, Lacourciere J.A. in </w:t>
      </w:r>
      <w:r>
        <w:rPr>
          <w:rFonts w:ascii="arial" w:eastAsia="arial" w:hAnsi="arial" w:cs="arial"/>
          <w:b/>
          <w:i/>
          <w:color w:val="000000"/>
          <w:sz w:val="20"/>
          <w:lang w:val="en-US" w:eastAsia="en-US" w:bidi="ar-SA"/>
        </w:rPr>
        <w:t>Schrump v. Koot</w:t>
      </w:r>
      <w:r>
        <w:rPr>
          <w:rFonts w:ascii="arial" w:eastAsia="arial" w:hAnsi="arial" w:cs="arial"/>
          <w:color w:val="000000"/>
          <w:sz w:val="20"/>
          <w:lang w:val="en-US" w:eastAsia="en-US" w:bidi="ar-SA"/>
        </w:rPr>
        <w:t xml:space="preserve"> </w:t>
      </w:r>
      <w:hyperlink r:id="rId327" w:history="1">
        <w:r>
          <w:rPr>
            <w:rFonts w:ascii="arial" w:eastAsia="arial" w:hAnsi="arial" w:cs="arial"/>
            <w:i/>
            <w:color w:val="0077CC"/>
            <w:sz w:val="20"/>
            <w:u w:val="single"/>
            <w:shd w:val="clear" w:color="auto" w:fill="FFFFFF"/>
            <w:lang w:val="en-US" w:eastAsia="en-US" w:bidi="ar-SA"/>
          </w:rPr>
          <w:t>(1977), 18 O.R. (2d) 337</w:t>
        </w:r>
      </w:hyperlink>
      <w:r>
        <w:rPr>
          <w:rFonts w:ascii="arial" w:eastAsia="arial" w:hAnsi="arial" w:cs="arial"/>
          <w:color w:val="000000"/>
          <w:sz w:val="20"/>
          <w:lang w:val="en-US" w:eastAsia="en-US" w:bidi="ar-SA"/>
        </w:rPr>
        <w:t xml:space="preserve"> (C.A.) stated (at 339-40):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this area of the law relating to the assessment of damages for physical injury, one must appreciate that though it may be necessary for a plaintiff to prove, on the balance of probabilities, that the tortious act or omission was the effective cause of the harm suffered, it is not necessary for him to prove, on the balance of probabilities, that future loss or damage </w:t>
      </w:r>
      <w:r>
        <w:rPr>
          <w:rFonts w:ascii="arial" w:eastAsia="arial" w:hAnsi="arial" w:cs="arial"/>
          <w:i/>
          <w:color w:val="000000"/>
          <w:sz w:val="20"/>
          <w:lang w:val="en-US" w:eastAsia="en-US" w:bidi="ar-SA"/>
        </w:rPr>
        <w:t>will</w:t>
      </w:r>
      <w:r>
        <w:rPr>
          <w:rFonts w:ascii="arial" w:eastAsia="arial" w:hAnsi="arial" w:cs="arial"/>
          <w:color w:val="000000"/>
          <w:sz w:val="20"/>
          <w:lang w:val="en-US" w:eastAsia="en-US" w:bidi="ar-SA"/>
        </w:rPr>
        <w:t xml:space="preserve"> occur, but only that there is a reasonable chance of such loss or damage occurring. The distinction is made clear in the following passages in 12 Hals., 4th ed., pp. 437, 483-4: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principle concisely stated in the passage quoted is directly applicable in this case. Speculative and fanciful possibilities unsupported by expert or other cogent evidence can be removed from the consideration of the trier of fact and should be ignored, whereas substantial possibilities based on such expert or cogent evidence must be considered in the assessment of damages for personal injuries in civil litigation. This principle applies regardless of the percentage of possibility, as long as it is a substantial one, and regardless of whether the possibility is favourable or unfavourable. Thus, future contingencies which are less than probable are regarded as factors to be considered, provided they are shown to be substantial and not speculative: they may tend to increase or reduce the award in a proper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This exercise was undertaken in cases like: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Hearndon v. Rondeau</w:t>
      </w:r>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(1984), 54 B.C.L.R. 145</w:t>
        </w:r>
      </w:hyperlink>
      <w:r>
        <w:rPr>
          <w:rFonts w:ascii="arial" w:eastAsia="arial" w:hAnsi="arial" w:cs="arial"/>
          <w:color w:val="000000"/>
          <w:sz w:val="20"/>
          <w:lang w:val="en-US" w:eastAsia="en-US" w:bidi="ar-SA"/>
        </w:rPr>
        <w:t xml:space="preserve"> (C.A.) (chance of the plaintiff becoming a helicopter pilot);</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Clark v. Kereiff</w:t>
      </w:r>
      <w:r>
        <w:rPr>
          <w:rFonts w:ascii="arial" w:eastAsia="arial" w:hAnsi="arial" w:cs="arial"/>
          <w:color w:val="000000"/>
          <w:sz w:val="20"/>
          <w:lang w:val="en-US" w:eastAsia="en-US" w:bidi="ar-SA"/>
        </w:rPr>
        <w:t xml:space="preserve"> </w:t>
      </w:r>
      <w:hyperlink r:id="rId329" w:history="1">
        <w:r>
          <w:rPr>
            <w:rFonts w:ascii="arial" w:eastAsia="arial" w:hAnsi="arial" w:cs="arial"/>
            <w:i/>
            <w:color w:val="0077CC"/>
            <w:sz w:val="20"/>
            <w:u w:val="single"/>
            <w:shd w:val="clear" w:color="auto" w:fill="FFFFFF"/>
            <w:lang w:val="en-US" w:eastAsia="en-US" w:bidi="ar-SA"/>
          </w:rPr>
          <w:t>(1983), 43 B.C.L.R. 157</w:t>
        </w:r>
      </w:hyperlink>
      <w:r>
        <w:rPr>
          <w:rFonts w:ascii="arial" w:eastAsia="arial" w:hAnsi="arial" w:cs="arial"/>
          <w:color w:val="000000"/>
          <w:sz w:val="20"/>
          <w:lang w:val="en-US" w:eastAsia="en-US" w:bidi="ar-SA"/>
        </w:rPr>
        <w:t xml:space="preserve"> (C.A.) (chance of the plaintiff becoming a professional hockey player);</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Moyer v. Bosshart</w:t>
      </w:r>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[1994] B.C.J. No. 793</w:t>
        </w:r>
      </w:hyperlink>
      <w:r>
        <w:rPr>
          <w:rFonts w:ascii="arial" w:eastAsia="arial" w:hAnsi="arial" w:cs="arial"/>
          <w:color w:val="000000"/>
          <w:sz w:val="20"/>
          <w:lang w:val="en-US" w:eastAsia="en-US" w:bidi="ar-SA"/>
        </w:rPr>
        <w:t xml:space="preserve"> (C.A.) (plaintiff's lost opportunity to market his computer programs).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xml:space="preserve">  Finally, in </w:t>
      </w:r>
      <w:r>
        <w:rPr>
          <w:rFonts w:ascii="arial" w:eastAsia="arial" w:hAnsi="arial" w:cs="arial"/>
          <w:b/>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the court made it clear that a loss of opportunity claim to the extent that it is hypothetical, need not be proven on a balance of probabilities even if it is a claim which predates trial (at paras. 28 and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There are a number of decisions of this Court which accord with what was said by the Supreme Court of Canada concerning proof of future and hypothetical events. One of those cases is </w:t>
      </w:r>
      <w:r>
        <w:rPr>
          <w:rFonts w:ascii="arial" w:eastAsia="arial" w:hAnsi="arial" w:cs="arial"/>
          <w:b/>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[1990] 5 W.W.R. 365</w:t>
        </w:r>
      </w:hyperlink>
      <w:r>
        <w:rPr>
          <w:rFonts w:ascii="arial" w:eastAsia="arial" w:hAnsi="arial" w:cs="arial"/>
          <w:color w:val="000000"/>
          <w:sz w:val="20"/>
          <w:lang w:val="en-US" w:eastAsia="en-US" w:bidi="ar-SA"/>
        </w:rPr>
        <w:t xml:space="preserve">. In that case, Hutcheon J.A., for the majority, after making reference to a number of authorities including </w:t>
      </w:r>
      <w:r>
        <w:rPr>
          <w:rFonts w:ascii="arial" w:eastAsia="arial" w:hAnsi="arial" w:cs="arial"/>
          <w:b/>
          <w:i/>
          <w:color w:val="000000"/>
          <w:sz w:val="20"/>
          <w:lang w:val="en-US" w:eastAsia="en-US" w:bidi="ar-SA"/>
        </w:rPr>
        <w:t>Mallett v. McMonagle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333"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Schrump v. Koot</w:t>
      </w:r>
      <w:r>
        <w:rPr>
          <w:rFonts w:ascii="arial" w:eastAsia="arial" w:hAnsi="arial" w:cs="arial"/>
          <w:color w:val="000000"/>
          <w:sz w:val="20"/>
          <w:lang w:val="en-US" w:eastAsia="en-US" w:bidi="ar-SA"/>
        </w:rPr>
        <w:t xml:space="preserve"> </w:t>
      </w:r>
      <w:hyperlink r:id="rId327" w:history="1">
        <w:r>
          <w:rPr>
            <w:rFonts w:ascii="arial" w:eastAsia="arial" w:hAnsi="arial" w:cs="arial"/>
            <w:i/>
            <w:color w:val="0077CC"/>
            <w:sz w:val="20"/>
            <w:u w:val="single"/>
            <w:shd w:val="clear" w:color="auto" w:fill="FFFFFF"/>
            <w:lang w:val="en-US" w:eastAsia="en-US" w:bidi="ar-SA"/>
          </w:rPr>
          <w:t>(1977), 18 O.R. (2d) 337</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Kovats v. Ogilvie</w:t>
      </w:r>
      <w:r>
        <w:rPr>
          <w:rFonts w:ascii="arial" w:eastAsia="arial" w:hAnsi="arial" w:cs="arial"/>
          <w:color w:val="000000"/>
          <w:sz w:val="20"/>
          <w:lang w:val="en-US" w:eastAsia="en-US" w:bidi="ar-SA"/>
        </w:rPr>
        <w:t xml:space="preserve">, </w:t>
      </w:r>
      <w:hyperlink r:id="rId334" w:history="1">
        <w:r>
          <w:rPr>
            <w:rFonts w:ascii="arial" w:eastAsia="arial" w:hAnsi="arial" w:cs="arial"/>
            <w:i/>
            <w:color w:val="0077CC"/>
            <w:sz w:val="20"/>
            <w:u w:val="single"/>
            <w:shd w:val="clear" w:color="auto" w:fill="FFFFFF"/>
            <w:lang w:val="en-US" w:eastAsia="en-US" w:bidi="ar-SA"/>
          </w:rPr>
          <w:t>[1971] 1 W.W.R. 561</w:t>
        </w:r>
      </w:hyperlink>
      <w:r>
        <w:rPr>
          <w:rFonts w:ascii="arial" w:eastAsia="arial" w:hAnsi="arial" w:cs="arial"/>
          <w:color w:val="000000"/>
          <w:sz w:val="20"/>
          <w:lang w:val="en-US" w:eastAsia="en-US" w:bidi="ar-SA"/>
        </w:rPr>
        <w:t xml:space="preserve">, referred with approval to Smith and Bouck, </w:t>
      </w:r>
      <w:r>
        <w:rPr>
          <w:rFonts w:ascii="arial" w:eastAsia="arial" w:hAnsi="arial" w:cs="arial"/>
          <w:i/>
          <w:color w:val="000000"/>
          <w:sz w:val="20"/>
          <w:lang w:val="en-US" w:eastAsia="en-US" w:bidi="ar-SA"/>
        </w:rPr>
        <w:t>Civil Jury Instructions</w:t>
      </w:r>
      <w:r>
        <w:rPr>
          <w:rFonts w:ascii="arial" w:eastAsia="arial" w:hAnsi="arial" w:cs="arial"/>
          <w:color w:val="000000"/>
          <w:sz w:val="20"/>
          <w:lang w:val="en-US" w:eastAsia="en-US" w:bidi="ar-SA"/>
        </w:rPr>
        <w:t xml:space="preserve"> (1989) on the instructions to be given to a jury about the different standards of proof. The instruction, which is set out below, was said to be modelled on what was said by Lord Diplock in </w:t>
      </w:r>
      <w:r>
        <w:rPr>
          <w:rFonts w:ascii="arial" w:eastAsia="arial" w:hAnsi="arial" w:cs="arial"/>
          <w:b/>
          <w:i/>
          <w:color w:val="000000"/>
          <w:sz w:val="20"/>
          <w:lang w:val="en-US" w:eastAsia="en-US" w:bidi="ar-SA"/>
        </w:rPr>
        <w:t>Mallett v. McMonagle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COMPARISON WITH STANDARD OF PROOF FOR ACTUAL EVENTS</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deciding what actually happened in the past, you must weigh the evidence and reach conclusions on a balance of probabilities. Anything more probable than not you should treat as certain. When you are asked to determine (what might happen in the future/what would have happened in the past but for the (injury/loss), you must use a different method of proof. First you must decide if the event (is/was) a real possibility, you must then determine the actual likelihood of its occurring (at 138).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That instruction accurately reflects the distinction made in the case authorities between proof of actual events and proof of future or hypothetical events. What would have happened in the past but for the injury is no more "knowable" than what will happen in the future and therefore it is appropriate to assess the likelihood of hypothetical and future events rather than applying the balance of probabilities test that is applied with respect to past actual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I am satisfied that the Adamsons did suffer a loss under this head which has not already been compensated for in the award for loss of past and future working capacity. Notwithstanding that it represents a substantial possibility, it is a loss which is subject to many contingencies and it should be reduced as well by the plaintiff's failure to mitigate. In this regard, I am not convinced that the plaintiff has completely rebutted the mitigation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I award the plaintiff the sum of $75,000 under this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The claim for loss of opportunity to invest in subsequent real estate is even more speculative.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Mr. and Mrs. Adamson both testified that but for the accident, they definitely would have purchased another real estate rental investment property after the completion of the Dallas Road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I observe again that the Adamsons had not purchased any real properties since the early 1990s. They did sell their interest in the Goldstream recreational property (which they shared with the extended Dhillon family), but they quickly reinvested that profit in another personal recreational property on Lake Cowichan.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On the whole, I do not believe that it is appropriate to make an award on this aspect of the plaintiff's claim.</w:t>
      </w:r>
      <w:r>
        <w:rPr>
          <w:rFonts w:ascii="arial" w:eastAsia="arial" w:hAnsi="arial" w:cs="arial"/>
          <w:sz w:val="20"/>
          <w:lang w:val="en-US" w:eastAsia="en-US" w:bidi="ar-SA"/>
        </w:rPr>
        <w:cr/>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The plaintiff tenders and relies upon the Cost of Future Care Report prepared by Mair Edwards.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Based upon her assessments of Mr. Adamson, Ms. Edwards recommends the purchase of various assistive devices, ergonomic aids, rehabilitation support services (e.g. physio, psychological counselling etc.) and household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Many of these represent annual, biannual and periodic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Using the multipliers supplied by Mr. Hildebrand, I calculate that the present value of Ms. Edwards recommendations is approximately $220,000 (using the monthly medication charges, net of Pharmacare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Ms. Edwards, under the heading "Other Considerations," also contemplates the possibility of very substantial home and child care support services which would be required by Mr. Adamson, in the event of a marital breakdown, as "Mr. Adamson's relationship with his wife has suffered significantly since his accident, due to the ongoing pain and emotional issues arising from his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In my view, this is a wholly speculative consideration and even if its advent has a measurable probability, tracing its cause to the motor vehicle accident is a difficult exercise. I do not consider these considerations in my award which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The defendant submits that future care costs should not exceed $25,000 to $30,000 made up primarily of the cost of a pain clinic stay which the bulk of the experts in the plaintiff's case recommend against.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The defendant baldly, and unhelpfully, asserts in argument: "Mair Edwards' report is so biased and unrealistic that no weight whatsoever should be given to it and it should be rejected out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The law on awards for cost of future care is discussed in these cases: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335"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Brennan v. Singh</w:t>
      </w:r>
      <w:r>
        <w:rPr>
          <w:rFonts w:ascii="arial" w:eastAsia="arial" w:hAnsi="arial" w:cs="arial"/>
          <w:color w:val="000000"/>
          <w:sz w:val="20"/>
          <w:lang w:val="en-US" w:eastAsia="en-US" w:bidi="ar-SA"/>
        </w:rPr>
        <w:t xml:space="preserve"> </w:t>
      </w:r>
      <w:hyperlink r:id="rId336" w:history="1">
        <w:r>
          <w:rPr>
            <w:rFonts w:ascii="arial" w:eastAsia="arial" w:hAnsi="arial" w:cs="arial"/>
            <w:i/>
            <w:color w:val="0077CC"/>
            <w:sz w:val="20"/>
            <w:u w:val="single"/>
            <w:shd w:val="clear" w:color="auto" w:fill="FFFFFF"/>
            <w:lang w:val="en-US" w:eastAsia="en-US" w:bidi="ar-SA"/>
          </w:rPr>
          <w:t>(2000), 75 B.C.L.R. (3d) 93</w:t>
        </w:r>
      </w:hyperlink>
      <w:r>
        <w:rPr>
          <w:rFonts w:ascii="arial" w:eastAsia="arial" w:hAnsi="arial" w:cs="arial"/>
          <w:color w:val="000000"/>
          <w:sz w:val="20"/>
          <w:lang w:val="en-US" w:eastAsia="en-US" w:bidi="ar-SA"/>
        </w:rPr>
        <w:t xml:space="preserve"> (C.A.), </w:t>
      </w:r>
      <w:hyperlink r:id="rId336" w:history="1">
        <w:r>
          <w:rPr>
            <w:rFonts w:ascii="arial" w:eastAsia="arial" w:hAnsi="arial" w:cs="arial"/>
            <w:i/>
            <w:color w:val="0077CC"/>
            <w:sz w:val="20"/>
            <w:u w:val="single"/>
            <w:shd w:val="clear" w:color="auto" w:fill="FFFFFF"/>
            <w:lang w:val="en-US" w:eastAsia="en-US" w:bidi="ar-SA"/>
          </w:rPr>
          <w:t>2000 BCCA 294</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337" w:history="1">
        <w:r>
          <w:rPr>
            <w:rFonts w:ascii="arial" w:eastAsia="arial" w:hAnsi="arial" w:cs="arial"/>
            <w:i/>
            <w:color w:val="0077CC"/>
            <w:sz w:val="20"/>
            <w:u w:val="single"/>
            <w:shd w:val="clear" w:color="auto" w:fill="FFFFFF"/>
            <w:lang w:val="en-US" w:eastAsia="en-US" w:bidi="ar-SA"/>
          </w:rPr>
          <w:t>(2002), 208 D.L.R. (4th) 193</w:t>
        </w:r>
      </w:hyperlink>
      <w:r>
        <w:rPr>
          <w:rFonts w:ascii="arial" w:eastAsia="arial" w:hAnsi="arial" w:cs="arial"/>
          <w:color w:val="000000"/>
          <w:sz w:val="20"/>
          <w:lang w:val="en-US" w:eastAsia="en-US" w:bidi="ar-SA"/>
        </w:rPr>
        <w:t xml:space="preserve"> (S.C.C.), </w:t>
      </w:r>
      <w:hyperlink r:id="rId337"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338"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xml:space="preserve">  Briefly, as set out in </w:t>
      </w:r>
      <w:r>
        <w:rPr>
          <w:rFonts w:ascii="arial" w:eastAsia="arial" w:hAnsi="arial" w:cs="arial"/>
          <w:b/>
          <w:i/>
          <w:color w:val="000000"/>
          <w:sz w:val="20"/>
          <w:lang w:val="en-US" w:eastAsia="en-US" w:bidi="ar-SA"/>
        </w:rPr>
        <w:t>Milina v. Bartsch</w:t>
      </w:r>
      <w:r>
        <w:rPr>
          <w:rFonts w:ascii="arial" w:eastAsia="arial" w:hAnsi="arial" w:cs="arial"/>
          <w:color w:val="000000"/>
          <w:sz w:val="20"/>
          <w:lang w:val="en-US" w:eastAsia="en-US" w:bidi="ar-SA"/>
        </w:rPr>
        <w:t>: (i) there must be a medical justification for claims for cost of future care; and (2) the claim must be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In addition to the evidence of Ms. Edwards, we also have that of Mr. Kyi, Dr. Smardon and Dr. Grimwood.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In testing the reasonableness of Ms. Edwards recommendations, the residual capacity conclusions of Mr. Kyi (and others) are relevant. While I have concluded that Mr. Adamson's residual capacity does not appreciably reduce his award for loss of future working capacity because of the lack of sustainability and predictability, that capacity can be utilized by Mr. Adamson in the areas of household and maintenance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Weighing the evidence and the many contingencies affecting the items covered by this head of loss, I award the sum of $125,000.</w:t>
      </w:r>
      <w:r>
        <w:rPr>
          <w:rFonts w:ascii="arial" w:eastAsia="arial" w:hAnsi="arial" w:cs="arial"/>
          <w:sz w:val="20"/>
          <w:lang w:val="en-US" w:eastAsia="en-US" w:bidi="ar-SA"/>
        </w:rPr>
        <w:cr/>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I conclude that the special damages alleged by the plaintiff in Exhibit 11, as supplemented in evidence at trial, represent necessary and proper expenditures. In particular, I accept the appropriateness of Mair Edwards'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xml:space="preserve">  plaintiff's claim in the total sum of $26,875.44 is allowed, but I understand that the defendant may wish to argue some items of deduction under s. 25 of the </w:t>
      </w:r>
      <w:r>
        <w:rPr>
          <w:rFonts w:ascii="arial" w:eastAsia="arial" w:hAnsi="arial" w:cs="arial"/>
          <w:b/>
          <w:i/>
          <w:color w:val="000000"/>
          <w:sz w:val="20"/>
          <w:lang w:val="en-US" w:eastAsia="en-US" w:bidi="ar-SA"/>
        </w:rPr>
        <w:t>Insurance (Motor Vehicle) Act</w:t>
      </w:r>
      <w:r>
        <w:rPr>
          <w:rFonts w:ascii="arial" w:eastAsia="arial" w:hAnsi="arial" w:cs="arial"/>
          <w:color w:val="000000"/>
          <w:sz w:val="20"/>
          <w:lang w:val="en-US" w:eastAsia="en-US" w:bidi="ar-SA"/>
        </w:rPr>
        <w:t xml:space="preserve"> and I grant leave to apply in that regard.</w:t>
      </w:r>
      <w:r>
        <w:rPr>
          <w:rFonts w:ascii="arial" w:eastAsia="arial" w:hAnsi="arial" w:cs="arial"/>
          <w:sz w:val="20"/>
          <w:lang w:val="en-US" w:eastAsia="en-US" w:bidi="ar-SA"/>
        </w:rPr>
        <w:cr/>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I have already discussed the issue of mitigation in respect of the loss of rentals claim. The defendant submits that there should be a 10% reduction generally on the award for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The alleged failure includes: bald assertions of the plaintiff not following medical advice of certain doctors to exercise his shoulder; failing to implement Ms. Edwards' recommendations; not following up with counselling with Dr. Ehrenberg; and the plaintiff's alleged resistance to undertaking a pain management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As to the last item, the medical evidence in the plaintiff's case is to the effect that the plaintiff, through his attendances on his various medical advisors, has already, effectively, had the benefit of a management program and an additional formal such program is not warranted.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As to the remainder of the defendant's submissions in this regard, I respectfully say that this argument simply does not accord with the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This plaintiff has been highly motivated to rehabilitate himself. He has attended for extensive psychological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The mitigation argument is, frankly, based on the defendant's unreal assessment of the plaintiff's condition and prognosis for his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I decline to make any deduction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XI </w:t>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In summary, my award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732"/>
        <w:gridCol w:w="4392"/>
        <w:gridCol w:w="2405"/>
        <w:gridCol w:w="23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w:t>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 to non-pecuniary damages:</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$ 200,000.00</w:t>
            </w:r>
          </w:p>
        </w:tc>
        <w:tc>
          <w:tcPr>
            <w:tcW w:w="225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
        <w:gridCol w:w="836"/>
        <w:gridCol w:w="4496"/>
        <w:gridCol w:w="2301"/>
        <w:gridCol w:w="23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(ii)</w:t>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As to past loss of capacity:</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400,000.00</w:t>
            </w:r>
          </w:p>
        </w:tc>
        <w:tc>
          <w:tcPr>
            <w:tcW w:w="225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(gross pre-tax)</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9"/>
        <w:gridCol w:w="941"/>
        <w:gridCol w:w="4705"/>
        <w:gridCol w:w="2091"/>
        <w:gridCol w:w="230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(iii)</w:t>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 to future loss of capacity:</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925,000.00</w:t>
            </w:r>
          </w:p>
        </w:tc>
        <w:tc>
          <w:tcPr>
            <w:tcW w:w="225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3"/>
        <w:gridCol w:w="836"/>
        <w:gridCol w:w="4705"/>
        <w:gridCol w:w="2091"/>
        <w:gridCol w:w="23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(iv)</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As to loss of opportunity for</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75,000.00</w:t>
            </w:r>
          </w:p>
        </w:tc>
        <w:tc>
          <w:tcPr>
            <w:tcW w:w="225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increased suite rentals:</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4705"/>
        <w:gridCol w:w="2091"/>
        <w:gridCol w:w="23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w:t>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 to the cost of future care:</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125,000.00</w:t>
            </w:r>
          </w:p>
        </w:tc>
        <w:tc>
          <w:tcPr>
            <w:tcW w:w="225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3"/>
        <w:gridCol w:w="836"/>
        <w:gridCol w:w="4182"/>
        <w:gridCol w:w="2614"/>
        <w:gridCol w:w="23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(vi)</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 to special damages:</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26,875.44</w:t>
            </w:r>
          </w:p>
        </w:tc>
        <w:tc>
          <w:tcPr>
            <w:tcW w:w="225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Counsel asked that issues of tax impact, court order interest, s. 25 deductions and costs of the proceedings be the subject of further submissions. I grant leave in this regard and I leave outstanding, as well, the issue of crediting the defendant for an advance payment made at an earlier date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BAUMAN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7" style="position:absolute;z-index:2518773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39"/>
          <w:headerReference w:type="default" r:id="rId340"/>
          <w:footerReference w:type="even" r:id="rId341"/>
          <w:footerReference w:type="default" r:id="rId342"/>
          <w:headerReference w:type="first" r:id="rId343"/>
          <w:footerReference w:type="first" r:id="rId34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45" w:history="1">
        <w:r>
          <w:rPr>
            <w:rFonts w:ascii="arial" w:eastAsia="arial" w:hAnsi="arial" w:cs="arial"/>
            <w:b/>
            <w:bCs/>
            <w:i/>
            <w:color w:val="0077CC"/>
            <w:kern w:val="32"/>
            <w:sz w:val="28"/>
            <w:szCs w:val="32"/>
            <w:u w:val="single"/>
            <w:shd w:val="clear" w:color="auto" w:fill="FFFFFF"/>
            <w:lang w:val="en-US" w:eastAsia="en-US" w:bidi="ar-SA"/>
          </w:rPr>
          <w:t>Bank of Montreal v. Fraser, [2013] B.C.J. No. 2817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S.K. Ballance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20,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September 30,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S115634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2817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2328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Bank of Montreal, Plaintiff, and Justin Fraser and Ronald Ernest Masson,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8"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2" w:name="Keywords_18"/>
      <w:bookmarkEnd w:id="122"/>
      <w:r>
        <w:rPr>
          <w:rFonts w:ascii="arial" w:eastAsia="arial" w:hAnsi="arial" w:cs="arial"/>
          <w:b/>
          <w:color w:val="000000"/>
          <w:sz w:val="20"/>
          <w:lang w:val="en-US" w:eastAsia="en-US" w:bidi="ar-SA"/>
        </w:rPr>
        <w:t>Banking and finance law — Banking — Loan commitments — Lines of credit — Application by Bank for summary judgment against Masson for $44,813 dismissed — Bank advanced funds to Fraser pursuant to student line of credit agreement signed by Masson and Fraser — Masson deposed he understood he was co-signing loan for maximum of $15,000 and did not understand he was signing as borrower with joint and several liability for line of credit — Evidence as presented was insufficient to find facts essential to determination of Masson's plea of non est factum — It could not be said his plea was doomed to fail or was unworthy of consideration.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litigation — Civil procedure — Judgments and orders — Summary judgments — Availability — Debt or liquidated demand — No triable issue — Application by Bank for summary judgment against Masson for $44,813 dismissed — Bank advanced funds to Fraser pursuant to student line of credit agreement signed by Masson and Fraser — Masson deposed he understood he was co-signing loan for maximum of $15,000 and did not understand he was signing as borrower with joint and several liability for line of credit — Evidence as presented was insufficient to find facts essential to determination of Masson's plea of non est factum — It could not be said his plea was doomed to fail or was unworthy of consideration.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Commercial law — Consumer agreements — Credit agreements — Application by Bank for summary judgment against Masson for $44,813 dismissed — Bank advanced funds to Fraser pursuant to student line of credit agreement signed by Masson and Fraser — Masson deposed he understood he was co-signing loan for maximum of $15,000 and did not understand he was signing as borrower with joint and several liability for line of credit — Evidence as presented was insufficient to find facts essential to determination of Masson's plea of non est factum — It could not be said his plea was doomed to fail or was unworthy of consideration.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Mistake — Non est factum — Application by Bank for summary judgment against Masson for $44,813 dismissed — Bank advanced funds to Fraser pursuant to student line of credit agreement signed by Masson and Fraser — Masson deposed he understood he was co-signing loan for maximum of $15,000 and did not understand he was signing as borrower with joint and several liability for line of credit — Evidence as presented was insufficient to find facts essential to determination of Masson's plea of non est factum — It could not be said his plea was doomed to fail or was unworthy of consideration.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3" w:name="Case Summary_15"/>
            <w:bookmarkEnd w:id="12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Bank for summary judgment against the defendant Masson for $44,813. The debt arose in respect of funds advanced by the Bank to the defendant Fraser pursuant to a student line of credit agreement signed by Masson and Fraser. The loan was for a maximum of $34,215. At the time the agreement was entered, Fraser was the boyfriend of Masson's daughter and had not yet attained the age of majority. The purpose of the loan was to assist Fraser in attending a one-year course. Payments under the loan were in default. Masson deposed he understood he was co-signing the loan for a maximum of $15,000 and did not understand he was signing as a borrower with joint and several liability for a line of credit. The Bank's representative denied representing to Masson that he was not responsible for the debt.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24" w:name="Holdings of Court_14"/>
            <w:bookmarkEnd w:id="124"/>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evidence as presented was insufficient to find the facts essential to a determination of Masson's plea of non est factum. It could not be said his plea was doomed to fail or was unworthy of consideration. It would be unjust to decide the relevant issues in dispute on a summary basis.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5" w:name="Legislation Cited_14"/>
      <w:bookmarkEnd w:id="12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9" style="position:absolute;z-index:2517288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 Rule 9-7, Rule 9-7(15)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26" w:name="Counsel_18"/>
      <w:bookmarkEnd w:id="12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0" style="position:absolute;z-index:2517800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R.J. Ellis.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Ronald E. Masson: J.M. Hogg, Q.C., K. Dodds.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For the Defendant Justin Fraser: No appearance.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7" w:name="Judgment_18"/>
      <w:bookmarkEnd w:id="127"/>
      <w:r>
        <w:pict>
          <v:line id="_x0000_s1121" style="position:absolute;z-index:2518312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0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8" w:name="S.K. BALLANCE J. (orally)"/>
            <w:bookmarkEnd w:id="128"/>
            <w:r>
              <w:rPr>
                <w:rFonts w:ascii="arial" w:eastAsia="arial" w:hAnsi="arial" w:cs="arial"/>
                <w:b/>
                <w:color w:val="000000"/>
                <w:sz w:val="30"/>
                <w:lang w:val="en-US" w:eastAsia="en-US" w:bidi="ar-SA"/>
              </w:rPr>
              <w:t>S.K. BALLANCE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brought by the plaintiff, the Bank of Montreal (the "Bank"), under Rule 9-7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for judgment against the defendant, Ronald Masson, in the amount of $44,813.03 as at March 20, 2013, plus a per diem interest thereafter. The indebtedness is said to arise in respect of funds advanced by the Bank to the other defendant, Justin Fraser, pursuant to the terms of a student line of credit agreement signed by each of Mr. Masson and Mr. Fraser on May 22, 2008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the time the Agreement was executed, Mr. Fraser was the boyfriend of Mr. Masson's daughter and had not yet attained the age of majority. The purpose of the loan was to assist Mr. Fraser in attending a one-year course in culinary arts. Payments under the loan are in default, hence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Bank commenced this action on August 23, 2011. Mr. Masson filed his Response to Civil Claim on October 17, 2011. He pleads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and alleges that on account of the inequality of the bargaining power between himself and the Bank, the Bank's failure to ensure that he understood the Agreement and its failure to permit him the opportunity to obtain independent legal advice, the Agreement should be declared unenforceable as an unconscionable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the version of facts contained in Mr. Masson's Response he states, in relevant part:</w:t>
      </w:r>
      <w:r>
        <w:rPr>
          <w:rFonts w:ascii="arial" w:eastAsia="arial" w:hAnsi="arial" w:cs="arial"/>
          <w:sz w:val="20"/>
          <w:lang w:val="en-US" w:eastAsia="en-US" w:bidi="ar-SA"/>
        </w:rPr>
        <w:cr/>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times material Masson was of the view that he was "co-signing" for a student loan for a course one year in length worth up to a maximum of $15,000.00 being the cost of the course. It was represented to Masson by the Plaintiff that the Defendant, Fraser, needed a "co-signer" and that he, Masson, would fulfill that role.</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times material Masson was not aware he was signing up for or guaranteeing a line of credit but was committing the sum certain for a one year educational course where the Defendant, Fraser, needed a co-signer as he was under 19 years of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Throughout his pleading, Mr. Masson endeavours to draw a distinction between signing the Agreement as a borrower versus executing it as a co-signer. He alleges that the Bank told him he was signing in the capacity of the latter, namely as a "co- signer", and that he did not understand that he was signing as a borrower.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This summary trial application was filed by the Bank on January 7,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Affidavit of Erin Murphy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support of its application, the Bank relies upon the affidavit of Erin Murphy. At the material time, Ms. Murphy, who is now the assistant branch manager, was the financial services manager and responsible for personal loans at the Bank's branch in Kamloops. When Ms. Murphy swore her affidavit, Mr. Masson had filed his Response to Civil Claim but had not filed an affidavit of any sort.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Murphy deposes that in May 2008 she met with both defendants who "applied at that time for a line of credit of $34,215". She witnessed them sign the Agreement and then executed it on behalf of the Bank. Ms. Murphy swears that, despite the Bank's demand for payment, the defendants are in default of their payment obligations under the Agreement. Her tally of the balance owing as at March 13, 2012 is $43,356.43, with a per diem rate of interest thereafter of $4.64.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her affidavit, Ms. Murphy addresses Mr. Masson's Response in a general way by deposing "that in further answer to [Mr. Masson's Response], I state that at no time did I represent to [Mr. Masson] that [he] was not responsible for the debt and that his presence was only required to fulfil his role as a co-signer for the defendant Justin Fraser". Her affidavit is silent about the discussions that may have taken place between herself and Mr. Masson during their meeting, and specifically what if anything she said about the nature of the contract he was signing and/or his exposure to liability in consequence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Exhibited to Ms. Murphy's affidavit is an executed copy of the Agreement. It is titled "Personal Line of Credit Agreement for Students". The top of the first page shows that Mr. Masson's name had initially been typed into the box marked "Student Borrower's name" and then crossed out, and Mr. Fraser's name handwritten in its place. Mr. Masson deposes that the crossing out of his name and insertion of Mr. Fraser's reinforced his belief that it was Mr. Fraser who was the borrower. However, on the right-hand side of the same page Mr. Masson is explicitly described as the "borrower". The Agreement refers to the student's area of study as a one-year program in culinary arts and restaurant ownership at the Art Institute of Vancouver. It also stipulates that the words "I", "me" and "my" "mean the borrower or, if more than one, each borrower who signs this Agreement, unless otherwise indicated".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Paragraph 1 of the Agreement states: "The maximum amount available under my Personal Line of Credit for the initial year of my program of study is $34,215. Other provisions deal with the rate and calculation of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Also noteworthy is para. 19 that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more than one borrower signed this Agreement, the obligations of those borrowers are joint and several and, under Quebec law, solidary. Each borrower who has signed this Agreement is responsible both individually and together with each other such borrower for all these obligations. The bank is authorized to pay any amount borrowed under this Agreement by any borrower who has signed this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Affidavit of Mr. Masson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Masson deposes that he understood that because Mr. Fraser was under the age of majority, the Bank would not grant him a loan to attend the chef's program unless he had someone sign the documents with him as a "co-signer". According to Mr. Masson, the cost of the culinary program in which Mr. Fraser wished to enrol was $17,000. He says it was to that end that he accompanied Mr. Fraser to the Bank on May 22, 2008, where they met with Ms. Murphy. He believes that Mr. Fraser had previously attended the Bank to discuss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Masson swears that the Bank represented to him that Mr. Fraser needed a "co-signer" and that was the role he would be fulfilling. He continues that he understood he was merely providing support for Mr. Fraser to receive a student loan in the fixed amount of $17,000, being the cost of his course, and was not made aware that he was "signing up for or guaranteeing a line of credit".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June or October 2010, the Bank wrote to Mr. Masson seeking payment of the arrears owed on the balance of the loan which then stood at $40,975.16. The letter explicitly refers to Mr. Masson as the "co-signer" of the loan for Mr. Fraser. Mr. Masson says that being described by the Bank in that fashion supports his understanding of his role in the transaction. On its face, that letter appears to contradict Ms. Murphy's evidence to the effect that she did not represent to Mr. Masson that he was only being asked to fulfill the role of a co-signer for the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his affidavit, Mr. Masson complains about several additional alleged failings on the part of the Bank, including that it failed to explain the total amount of the indebtedness he could potentially be liable for in consequence of signing the Agreement and, specifically, that it could exceed $17,000.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addition to executing the Agreement during the meeting, Mr. Masson and Mr. Fraser signed a loan service authorization document ("LSA Document") and an application for optional creditor insurance ("AOCI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LSA Document describes Mr. Masson as the "applicant" and Mr. Fraser as the "co-applicant" and indicates that the proceeds of the loan are to be deposited into what Mr. Masson believes is Mr. Fraser's bank account. There is no evidence that the funds were ever deposited into Mr. Masson's account or that he had access to them. The line immediately above the defendants' respective signatures states "you confirm having read the terms and conditions above and agree to be bound by them" and shows Mr. Masson signing as the "Applicant" and Mr. Fraser as the "co-Applicant".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AOCI Document refers to the Agreement as a revolving line of credit with a credit limit of $34,215 and shows Mr. Masson as "Applicant 1" and Mr. Fraser as "Applicant 2". Both defendants initialed the AOCI Document to confirm their decision to decline life and disability insurance; Mr. Masson signed as "Applicant 1" and Mr. Fraser as "Applicant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Masson swears that the text of the these collateral documents is inconsistent and confusing. In this context he reiterates his complaint that the Bank failed to clarify the extent of his liability or that the loan was a line of credit as opposed to a fixed sum student loan or in what capacity he was signing any of the documents presented to him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Masson's evidence is that the meeting with Ms. Murphy lasted approximately 25 minutes and consisted of Ms. Murphy "basically turning papers around" indicating where he should sign. He complains that he did not have sufficient time to read the entire Agreement before signing it. According to Mr. Masson, his knowledge of financial transactions is limited to his own ordinary bank accounts and a residential mortgage that he obtained more than 20 years ago. He says that he has never had a personal line of credit or student loan. There is no evidence to suggest that Mr. Masson is illiterate, has limited comprehension of the English language or possesses compromised cognitive 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Bank filed no evidence in reply, and there was no other affidavit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note that in the version of facts contained in his Response to Civil Claim, Mr. Masson alleges that the Bank took no steps to provide him with independent legal advice or suggest that he should obtain such advice. However, he does not give that evidence in his affidavit. It is silent on the issue of whether the Bank suggested he obtain independent legal advice or whether he obtained it. The only evidence Mr. Masson gives in relation to advice (and he does not describe it as legal advice) is to the effect that if he had received advice that his potential indebtedness could exceed $17,000 under the Agreement, he would not have signed any of the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Is this Matter Amenable to Summary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Masson's counsel has raised the threshold issue of the suitability of this summary trial process to decide the question of Mr. Masson's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Rule 9-7(15) provides that on a summary trial application the court may grant judgment on an issue or generally unless: (1) the court is unable, on the whole of the evidence on the application, to find the facts necessary to decide the issues of fact or law, or (2) the court is of the opinion that it would be unjust to decide the issues on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Whether to proceed summarily is a matter for the discretion of the judge hearing the application. It has been observed that determining on which side of the line a particular case falls can be a matter of some delicacy: </w:t>
      </w:r>
      <w:r>
        <w:rPr>
          <w:rFonts w:ascii="arial" w:eastAsia="arial" w:hAnsi="arial" w:cs="arial"/>
          <w:i/>
          <w:color w:val="000000"/>
          <w:sz w:val="20"/>
          <w:lang w:val="en-US" w:eastAsia="en-US" w:bidi="ar-SA"/>
        </w:rPr>
        <w:t>North Fraser Harbour Commission v. Hardy BBT Ltd.</w:t>
      </w:r>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[1994] B.C.J. No. 1672</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test for the suitability of summary disposition is not assessed by asking whether a full trial could conceivably turn something up or produce a different outcome. When an application for summary trial is made, the parties are expected to take every reasonable step to put themselves in the best possible position and adduce all evidence they believe is necessary for judgment: </w:t>
      </w:r>
      <w:r>
        <w:rPr>
          <w:rFonts w:ascii="arial" w:eastAsia="arial" w:hAnsi="arial" w:cs="arial"/>
          <w:i/>
          <w:color w:val="000000"/>
          <w:sz w:val="20"/>
          <w:lang w:val="en-US" w:eastAsia="en-US" w:bidi="ar-SA"/>
        </w:rPr>
        <w:t>R.G.H. v. British Columbia</w:t>
      </w:r>
      <w:r>
        <w:rPr>
          <w:rFonts w:ascii="arial" w:eastAsia="arial" w:hAnsi="arial" w:cs="arial"/>
          <w:color w:val="000000"/>
          <w:sz w:val="20"/>
          <w:lang w:val="en-US" w:eastAsia="en-US" w:bidi="ar-SA"/>
        </w:rPr>
        <w:t xml:space="preserve">, </w:t>
      </w:r>
      <w:hyperlink r:id="rId347" w:history="1">
        <w:r>
          <w:rPr>
            <w:rFonts w:ascii="arial" w:eastAsia="arial" w:hAnsi="arial" w:cs="arial"/>
            <w:i/>
            <w:color w:val="0077CC"/>
            <w:sz w:val="20"/>
            <w:u w:val="single"/>
            <w:shd w:val="clear" w:color="auto" w:fill="FFFFFF"/>
            <w:lang w:val="en-US" w:eastAsia="en-US" w:bidi="ar-SA"/>
          </w:rPr>
          <w:t>[2010] B.C.J. No. 806</w:t>
        </w:r>
      </w:hyperlink>
      <w:r>
        <w:rPr>
          <w:rFonts w:ascii="arial" w:eastAsia="arial" w:hAnsi="arial" w:cs="arial"/>
          <w:color w:val="000000"/>
          <w:sz w:val="20"/>
          <w:lang w:val="en-US" w:eastAsia="en-US" w:bidi="ar-SA"/>
        </w:rPr>
        <w:t xml:space="preserve">, </w:t>
      </w:r>
      <w:hyperlink r:id="rId347" w:history="1">
        <w:r>
          <w:rPr>
            <w:rFonts w:ascii="arial" w:eastAsia="arial" w:hAnsi="arial" w:cs="arial"/>
            <w:i/>
            <w:color w:val="0077CC"/>
            <w:sz w:val="20"/>
            <w:u w:val="single"/>
            <w:shd w:val="clear" w:color="auto" w:fill="FFFFFF"/>
            <w:lang w:val="en-US" w:eastAsia="en-US" w:bidi="ar-SA"/>
          </w:rPr>
          <w:t>2010 BCCA 220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Being what it is, litigation almost invariably involves disputed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Cotton v. Wellsby</w:t>
      </w:r>
      <w:r>
        <w:rPr>
          <w:rFonts w:ascii="arial" w:eastAsia="arial" w:hAnsi="arial" w:cs="arial"/>
          <w:color w:val="000000"/>
          <w:sz w:val="20"/>
          <w:lang w:val="en-US" w:eastAsia="en-US" w:bidi="ar-SA"/>
        </w:rPr>
        <w:t xml:space="preserve"> </w:t>
      </w:r>
      <w:hyperlink r:id="rId348" w:history="1">
        <w:r>
          <w:rPr>
            <w:rFonts w:ascii="arial" w:eastAsia="arial" w:hAnsi="arial" w:cs="arial"/>
            <w:i/>
            <w:color w:val="0077CC"/>
            <w:sz w:val="20"/>
            <w:u w:val="single"/>
            <w:shd w:val="clear" w:color="auto" w:fill="FFFFFF"/>
            <w:lang w:val="en-US" w:eastAsia="en-US" w:bidi="ar-SA"/>
          </w:rPr>
          <w:t>(1991), 59 B.C.L.R. (2d) 366</w:t>
        </w:r>
      </w:hyperlink>
      <w:r>
        <w:rPr>
          <w:rFonts w:ascii="arial" w:eastAsia="arial" w:hAnsi="arial" w:cs="arial"/>
          <w:color w:val="000000"/>
          <w:sz w:val="20"/>
          <w:lang w:val="en-US" w:eastAsia="en-US" w:bidi="ar-SA"/>
        </w:rPr>
        <w:t xml:space="preserve"> (C.A.), Madam Justice Southin cautioned against the use of the summary trial procedure when there are conflicting affidavits and the issues of who said what to whom and when are of significance. At p. 378, her Ladyship reminded: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such issues are crucial, the trial judge must be alive to the possibility that the case is simply not suitable for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It is settled principle that the existence of conflicting evidence, of itself, is not conclusive that a summary trial is unsuitable. The court is not precluded from finding the facts essential to decide the issues simply because material evidence is in conflict. So long as the judge is able to find the facts required to render judgment by reference to other evidence, the matter may well be amenable to summary determination even where there are conflicting affidavits on central issues: </w:t>
      </w:r>
      <w:r>
        <w:rPr>
          <w:rFonts w:ascii="arial" w:eastAsia="arial" w:hAnsi="arial" w:cs="arial"/>
          <w:i/>
          <w:color w:val="000000"/>
          <w:sz w:val="20"/>
          <w:lang w:val="en-US" w:eastAsia="en-US" w:bidi="ar-SA"/>
        </w:rPr>
        <w:t>Placer Development Ltd. v. Skyline Explorations Ltd.</w:t>
      </w:r>
      <w:r>
        <w:rPr>
          <w:rFonts w:ascii="arial" w:eastAsia="arial" w:hAnsi="arial" w:cs="arial"/>
          <w:color w:val="000000"/>
          <w:sz w:val="20"/>
          <w:lang w:val="en-US" w:eastAsia="en-US" w:bidi="ar-SA"/>
        </w:rPr>
        <w:t xml:space="preserve"> </w:t>
      </w:r>
      <w:hyperlink r:id="rId349" w:history="1">
        <w:r>
          <w:rPr>
            <w:rFonts w:ascii="arial" w:eastAsia="arial" w:hAnsi="arial" w:cs="arial"/>
            <w:i/>
            <w:color w:val="0077CC"/>
            <w:sz w:val="20"/>
            <w:u w:val="single"/>
            <w:shd w:val="clear" w:color="auto" w:fill="FFFFFF"/>
            <w:lang w:val="en-US" w:eastAsia="en-US" w:bidi="ar-SA"/>
          </w:rPr>
          <w:t>(1985), 67 B.C.L.R.366</w:t>
        </w:r>
      </w:hyperlink>
      <w:r>
        <w:rPr>
          <w:rFonts w:ascii="arial" w:eastAsia="arial" w:hAnsi="arial" w:cs="arial"/>
          <w:color w:val="000000"/>
          <w:sz w:val="20"/>
          <w:lang w:val="en-US" w:eastAsia="en-US" w:bidi="ar-SA"/>
        </w:rPr>
        <w:t xml:space="preserve">, 1985 CarswellBC 336 (C.A.); </w:t>
      </w:r>
      <w:r>
        <w:rPr>
          <w:rFonts w:ascii="arial" w:eastAsia="arial" w:hAnsi="arial" w:cs="arial"/>
          <w:i/>
          <w:color w:val="000000"/>
          <w:sz w:val="20"/>
          <w:lang w:val="en-US" w:eastAsia="en-US" w:bidi="ar-SA"/>
        </w:rPr>
        <w:t>Steen McVeigh v. Boeriu</w:t>
      </w:r>
      <w:r>
        <w:rPr>
          <w:rFonts w:ascii="arial" w:eastAsia="arial" w:hAnsi="arial" w:cs="arial"/>
          <w:color w:val="000000"/>
          <w:sz w:val="20"/>
          <w:lang w:val="en-US" w:eastAsia="en-US" w:bidi="ar-SA"/>
        </w:rPr>
        <w:t xml:space="preserve">, </w:t>
      </w:r>
      <w:hyperlink r:id="rId350" w:history="1">
        <w:r>
          <w:rPr>
            <w:rFonts w:ascii="arial" w:eastAsia="arial" w:hAnsi="arial" w:cs="arial"/>
            <w:i/>
            <w:color w:val="0077CC"/>
            <w:sz w:val="20"/>
            <w:u w:val="single"/>
            <w:shd w:val="clear" w:color="auto" w:fill="FFFFFF"/>
            <w:lang w:val="en-US" w:eastAsia="en-US" w:bidi="ar-SA"/>
          </w:rPr>
          <w:t>2011 BCSC 400</w:t>
        </w:r>
      </w:hyperlink>
      <w:r>
        <w:rPr>
          <w:rFonts w:ascii="arial" w:eastAsia="arial" w:hAnsi="arial" w:cs="arial"/>
          <w:color w:val="000000"/>
          <w:sz w:val="20"/>
          <w:lang w:val="en-US" w:eastAsia="en-US" w:bidi="ar-SA"/>
        </w:rPr>
        <w:t xml:space="preserve"> at para.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That state of affairs is to be distinguished from the case where the only relevant evidence before the court on a material point is comprised of the conflicting testimony in the affidavits, and it is not possible for the court to decide the case summarily without making findings of credibility and ultimately preferring one affidavit over the other. In that situation, the general rule is that it is not appropriate to proceed summarily: </w:t>
      </w:r>
      <w:r>
        <w:rPr>
          <w:rFonts w:ascii="arial" w:eastAsia="arial" w:hAnsi="arial" w:cs="arial"/>
          <w:i/>
          <w:color w:val="000000"/>
          <w:sz w:val="20"/>
          <w:lang w:val="en-US" w:eastAsia="en-US" w:bidi="ar-SA"/>
        </w:rPr>
        <w:t>Jutt v. Doehring</w:t>
      </w:r>
      <w:r>
        <w:rPr>
          <w:rFonts w:ascii="arial" w:eastAsia="arial" w:hAnsi="arial" w:cs="arial"/>
          <w:color w:val="000000"/>
          <w:sz w:val="20"/>
          <w:lang w:val="en-US" w:eastAsia="en-US" w:bidi="ar-SA"/>
        </w:rPr>
        <w:t xml:space="preserve"> </w:t>
      </w:r>
      <w:hyperlink r:id="rId351" w:history="1">
        <w:r>
          <w:rPr>
            <w:rFonts w:ascii="arial" w:eastAsia="arial" w:hAnsi="arial" w:cs="arial"/>
            <w:i/>
            <w:color w:val="0077CC"/>
            <w:sz w:val="20"/>
            <w:u w:val="single"/>
            <w:shd w:val="clear" w:color="auto" w:fill="FFFFFF"/>
            <w:lang w:val="en-US" w:eastAsia="en-US" w:bidi="ar-SA"/>
          </w:rPr>
          <w:t>(1993), 82 B.C.L.R. (2d) 223</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Cotton v. Wellsby, 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Bouchal v. Slovakotour Inc.</w:t>
      </w:r>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(1993), 83 B.C.L.R. (2d) 103</w:t>
        </w:r>
      </w:hyperlink>
      <w:r>
        <w:rPr>
          <w:rFonts w:ascii="arial" w:eastAsia="arial" w:hAnsi="arial" w:cs="arial"/>
          <w:color w:val="000000"/>
          <w:sz w:val="20"/>
          <w:lang w:val="en-US" w:eastAsia="en-US" w:bidi="ar-SA"/>
        </w:rPr>
        <w:t xml:space="preserve">, 1993 CarswellBC 235 (C.A.); </w:t>
      </w:r>
      <w:r>
        <w:rPr>
          <w:rFonts w:ascii="arial" w:eastAsia="arial" w:hAnsi="arial" w:cs="arial"/>
          <w:i/>
          <w:color w:val="000000"/>
          <w:sz w:val="20"/>
          <w:lang w:val="en-US" w:eastAsia="en-US" w:bidi="ar-SA"/>
        </w:rPr>
        <w:t>Parker v. Campbell</w:t>
      </w:r>
      <w:r>
        <w:rPr>
          <w:rFonts w:ascii="arial" w:eastAsia="arial" w:hAnsi="arial" w:cs="arial"/>
          <w:color w:val="000000"/>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[2002] B.C.J. No. 1697</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Where the Court concludes there is insufficient evidence before it to decide the issues, it may adjourn the application and order that one or more deponents attend for cross-examination or that further affidavit material be filed. Another option is to simply decline to try the issues summarily and order a conventional trial: </w:t>
      </w:r>
      <w:r>
        <w:rPr>
          <w:rFonts w:ascii="arial" w:eastAsia="arial" w:hAnsi="arial" w:cs="arial"/>
          <w:i/>
          <w:color w:val="000000"/>
          <w:sz w:val="20"/>
          <w:lang w:val="en-US" w:eastAsia="en-US" w:bidi="ar-SA"/>
        </w:rPr>
        <w:t>Placer Development v. Skyline Explorations</w:t>
      </w:r>
      <w:r>
        <w:rPr>
          <w:rFonts w:ascii="arial" w:eastAsia="arial" w:hAnsi="arial" w:cs="arial"/>
          <w:color w:val="000000"/>
          <w:sz w:val="20"/>
          <w:lang w:val="en-US" w:eastAsia="en-US" w:bidi="ar-SA"/>
        </w:rPr>
        <w:t xml:space="preserve"> </w:t>
      </w:r>
      <w:hyperlink r:id="rId349" w:history="1">
        <w:r>
          <w:rPr>
            <w:rFonts w:ascii="arial" w:eastAsia="arial" w:hAnsi="arial" w:cs="arial"/>
            <w:i/>
            <w:color w:val="0077CC"/>
            <w:sz w:val="20"/>
            <w:u w:val="single"/>
            <w:shd w:val="clear" w:color="auto" w:fill="FFFFFF"/>
            <w:lang w:val="en-US" w:eastAsia="en-US" w:bidi="ar-SA"/>
          </w:rPr>
          <w:t>(1985), 67 B.C.L.R. 366</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Where there is sufficient material before the court to enable it to decide the issue summarily, it does not follow that the trial will proceed that way. It remains open to the court to decline to proceed if, in all the circumstances, the court considers it would be unjust to do so. The concept of whether it would be unjust to proceed summarily is to be given a broad meaning, taking into account the interests not only of the litigants at hand, but the interests of other persons as well: </w:t>
      </w:r>
      <w:r>
        <w:rPr>
          <w:rFonts w:ascii="arial" w:eastAsia="arial" w:hAnsi="arial" w:cs="arial"/>
          <w:i/>
          <w:color w:val="000000"/>
          <w:sz w:val="20"/>
          <w:lang w:val="en-US" w:eastAsia="en-US" w:bidi="ar-SA"/>
        </w:rPr>
        <w:t>Stoney Creek Indian Bank v. British Columbia</w:t>
      </w:r>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(1999), 69 B.C.L.R. (3d) 1</w:t>
        </w:r>
      </w:hyperlink>
      <w:r>
        <w:rPr>
          <w:rFonts w:ascii="arial" w:eastAsia="arial" w:hAnsi="arial" w:cs="arial"/>
          <w:color w:val="000000"/>
          <w:sz w:val="20"/>
          <w:lang w:val="en-US" w:eastAsia="en-US" w:bidi="ar-SA"/>
        </w:rPr>
        <w:t xml:space="preserve"> (C.A.), </w:t>
      </w:r>
      <w:hyperlink r:id="rId354" w:history="1">
        <w:r>
          <w:rPr>
            <w:rFonts w:ascii="arial" w:eastAsia="arial" w:hAnsi="arial" w:cs="arial"/>
            <w:i/>
            <w:color w:val="0077CC"/>
            <w:sz w:val="20"/>
            <w:u w:val="single"/>
            <w:shd w:val="clear" w:color="auto" w:fill="FFFFFF"/>
            <w:lang w:val="en-US" w:eastAsia="en-US" w:bidi="ar-SA"/>
          </w:rPr>
          <w:t>1999 BCCA 527</w:t>
        </w:r>
      </w:hyperlink>
      <w:r>
        <w:rPr>
          <w:rFonts w:ascii="arial" w:eastAsia="arial" w:hAnsi="arial" w:cs="arial"/>
          <w:color w:val="000000"/>
          <w:sz w:val="20"/>
          <w:lang w:val="en-US" w:eastAsia="en-US" w:bidi="ar-SA"/>
        </w:rPr>
        <w:t xml:space="preserve">, 1999 CarswellBC 2166 (C.A.); leave to appeal refused (2000), </w:t>
      </w:r>
      <w:hyperlink r:id="rId355" w:history="1">
        <w:r>
          <w:rPr>
            <w:rFonts w:ascii="arial" w:eastAsia="arial" w:hAnsi="arial" w:cs="arial"/>
            <w:i/>
            <w:color w:val="0077CC"/>
            <w:sz w:val="20"/>
            <w:u w:val="single"/>
            <w:shd w:val="clear" w:color="auto" w:fill="FFFFFF"/>
            <w:lang w:val="en-US" w:eastAsia="en-US" w:bidi="ar-SA"/>
          </w:rPr>
          <w:t>[1999] S.C.C.A. No. 539</w:t>
        </w:r>
      </w:hyperlink>
      <w:r>
        <w:rPr>
          <w:rFonts w:ascii="arial" w:eastAsia="arial" w:hAnsi="arial" w:cs="arial"/>
          <w:color w:val="000000"/>
          <w:sz w:val="20"/>
          <w:lang w:val="en-US" w:eastAsia="en-US" w:bidi="ar-SA"/>
        </w:rPr>
        <w:t xml:space="preserve">, </w:t>
      </w:r>
      <w:hyperlink r:id="rId355" w:history="1">
        <w:r>
          <w:rPr>
            <w:rFonts w:ascii="arial" w:eastAsia="arial" w:hAnsi="arial" w:cs="arial"/>
            <w:i/>
            <w:color w:val="0077CC"/>
            <w:sz w:val="20"/>
            <w:u w:val="single"/>
            <w:shd w:val="clear" w:color="auto" w:fill="FFFFFF"/>
            <w:lang w:val="en-US" w:eastAsia="en-US" w:bidi="ar-SA"/>
          </w:rPr>
          <w:t>2000 CarswellBC 1752</w:t>
        </w:r>
      </w:hyperlink>
      <w:r>
        <w:rPr>
          <w:rFonts w:ascii="arial" w:eastAsia="arial" w:hAnsi="arial" w:cs="arial"/>
          <w:color w:val="000000"/>
          <w:sz w:val="20"/>
          <w:lang w:val="en-US" w:eastAsia="en-US" w:bidi="ar-SA"/>
        </w:rPr>
        <w:t xml:space="preserve">, </w:t>
      </w:r>
      <w:hyperlink r:id="rId355" w:history="1">
        <w:r>
          <w:rPr>
            <w:rFonts w:ascii="arial" w:eastAsia="arial" w:hAnsi="arial" w:cs="arial"/>
            <w:i/>
            <w:color w:val="0077CC"/>
            <w:sz w:val="20"/>
            <w:u w:val="single"/>
            <w:shd w:val="clear" w:color="auto" w:fill="FFFFFF"/>
            <w:lang w:val="en-US" w:eastAsia="en-US" w:bidi="ar-SA"/>
          </w:rPr>
          <w:t>2000 CarswellBC 1753</w:t>
        </w:r>
      </w:hyperlink>
      <w:r>
        <w:rPr>
          <w:rFonts w:ascii="arial" w:eastAsia="arial" w:hAnsi="arial" w:cs="arial"/>
          <w:color w:val="000000"/>
          <w:sz w:val="20"/>
          <w:lang w:val="en-US" w:eastAsia="en-US" w:bidi="ar-SA"/>
        </w:rPr>
        <w:t xml:space="preserve"> (S.C.C.); </w:t>
      </w:r>
      <w:r>
        <w:rPr>
          <w:rFonts w:ascii="arial" w:eastAsia="arial" w:hAnsi="arial" w:cs="arial"/>
          <w:i/>
          <w:color w:val="000000"/>
          <w:sz w:val="20"/>
          <w:lang w:val="en-US" w:eastAsia="en-US" w:bidi="ar-SA"/>
        </w:rPr>
        <w:t>Topgro Greenhouses Ltd. v. DeVries</w:t>
      </w:r>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[2007] B.C.J. No. 883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the seminal decision of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a five-member panel of the Court of Appeal identified the factors that inform the analysis of whether it would be unjust to give judgment on a summary application in a particular case. The enumerated considerations are: the amount involved; the complexity of the matter, its urgency, any prejudice likely to arise by reason of delay, the cost of taking the case forward to a convention trial in relation to the amount involved; the course of the proceedings, and any other matters which arise. It is noteworthy that </w:t>
      </w:r>
      <w:r>
        <w:rPr>
          <w:rFonts w:ascii="arial" w:eastAsia="arial" w:hAnsi="arial" w:cs="arial"/>
          <w:i/>
          <w:color w:val="000000"/>
          <w:sz w:val="20"/>
          <w:lang w:val="en-US" w:eastAsia="en-US" w:bidi="ar-SA"/>
        </w:rPr>
        <w:t>Inspiration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Management</w:t>
      </w:r>
      <w:r>
        <w:rPr>
          <w:rFonts w:ascii="arial" w:eastAsia="arial" w:hAnsi="arial" w:cs="arial"/>
          <w:color w:val="000000"/>
          <w:sz w:val="20"/>
          <w:lang w:val="en-US" w:eastAsia="en-US" w:bidi="ar-SA"/>
        </w:rPr>
        <w:t xml:space="preserve"> contemplated the making of findings in the face of conflicting evidence but only in the limited circumstances I have described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Burg Properties Ltd. v. Economical Mutual Insurance Co.</w:t>
      </w:r>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2013 BCSC 209</w:t>
        </w:r>
      </w:hyperlink>
      <w:r>
        <w:rPr>
          <w:rFonts w:ascii="arial" w:eastAsia="arial" w:hAnsi="arial" w:cs="arial"/>
          <w:color w:val="000000"/>
          <w:sz w:val="20"/>
          <w:lang w:val="en-US" w:eastAsia="en-US" w:bidi="ar-SA"/>
        </w:rPr>
        <w:t xml:space="preserve">, Gerow J. helpfully summarized additional factors that have been articulated in the authorities decided after </w:t>
      </w:r>
      <w:r>
        <w:rPr>
          <w:rFonts w:ascii="arial" w:eastAsia="arial" w:hAnsi="arial" w:cs="arial"/>
          <w:i/>
          <w:color w:val="000000"/>
          <w:sz w:val="20"/>
          <w:lang w:val="en-US" w:eastAsia="en-US" w:bidi="ar-SA"/>
        </w:rPr>
        <w:t>Inspiration Management</w:t>
      </w:r>
      <w:r>
        <w:rPr>
          <w:rFonts w:ascii="arial" w:eastAsia="arial" w:hAnsi="arial" w:cs="arial"/>
          <w:color w:val="000000"/>
          <w:sz w:val="20"/>
          <w:lang w:val="en-US" w:eastAsia="en-US" w:bidi="ar-SA"/>
        </w:rPr>
        <w:t xml:space="preserve"> at 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Cases since </w:t>
      </w:r>
      <w:r>
        <w:rPr>
          <w:rFonts w:ascii="arial" w:eastAsia="arial" w:hAnsi="arial" w:cs="arial"/>
          <w:i/>
          <w:color w:val="000000"/>
          <w:sz w:val="20"/>
          <w:lang w:val="en-US" w:eastAsia="en-US" w:bidi="ar-SA"/>
        </w:rPr>
        <w:t>Inspiration Management</w:t>
      </w:r>
      <w:r>
        <w:rPr>
          <w:rFonts w:ascii="arial" w:eastAsia="arial" w:hAnsi="arial" w:cs="arial"/>
          <w:color w:val="000000"/>
          <w:sz w:val="20"/>
          <w:lang w:val="en-US" w:eastAsia="en-US" w:bidi="ar-SA"/>
        </w:rPr>
        <w:t xml:space="preserve"> have enunciated additional factors to be considered in deciding whether a matter is suitable for determination by summary trial. The factors to be taken into account in determining whether a case is suitable include:</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is litigation extensive and will the summary trial take considerable time;</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is credibility a crucial factor and have the deponents of the conflicting affidavits been cross-examined;</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will a summary trial involve a substantial risk of wasting time and effort and producing unnecessary complexity;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application result in litigating in slices.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Novin v. Novin</w:t>
      </w:r>
      <w:r>
        <w:rPr>
          <w:rFonts w:ascii="arial" w:eastAsia="arial" w:hAnsi="arial" w:cs="arial"/>
          <w:color w:val="000000"/>
          <w:sz w:val="20"/>
          <w:lang w:val="en-US" w:eastAsia="en-US" w:bidi="ar-SA"/>
        </w:rPr>
        <w:t xml:space="preserve">, </w:t>
      </w:r>
      <w:hyperlink r:id="rId359" w:history="1">
        <w:r>
          <w:rPr>
            <w:rFonts w:ascii="arial" w:eastAsia="arial" w:hAnsi="arial" w:cs="arial"/>
            <w:i/>
            <w:color w:val="0077CC"/>
            <w:sz w:val="20"/>
            <w:u w:val="single"/>
            <w:shd w:val="clear" w:color="auto" w:fill="FFFFFF"/>
            <w:lang w:val="en-US" w:eastAsia="en-US" w:bidi="ar-SA"/>
          </w:rPr>
          <w:t>2004 BCCA 527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Bacchus Agents (1981) Ltd. v. Philippe Dandurand Wines Limited</w:t>
      </w:r>
      <w:r>
        <w:rPr>
          <w:rFonts w:ascii="arial" w:eastAsia="arial" w:hAnsi="arial" w:cs="arial"/>
          <w:color w:val="000000"/>
          <w:sz w:val="20"/>
          <w:lang w:val="en-US" w:eastAsia="en-US" w:bidi="ar-SA"/>
        </w:rPr>
        <w:t xml:space="preserve">, </w:t>
      </w:r>
      <w:hyperlink r:id="rId360" w:history="1">
        <w:r>
          <w:rPr>
            <w:rFonts w:ascii="arial" w:eastAsia="arial" w:hAnsi="arial" w:cs="arial"/>
            <w:i/>
            <w:color w:val="0077CC"/>
            <w:sz w:val="20"/>
            <w:u w:val="single"/>
            <w:shd w:val="clear" w:color="auto" w:fill="FFFFFF"/>
            <w:lang w:val="en-US" w:eastAsia="en-US" w:bidi="ar-SA"/>
          </w:rPr>
          <w:t>2002 BCCA 138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As well, the court might view an unexplained absence of an affidavit from a principal player in the piece or key participant in a crucial meeting as giving rise to such an injustice: </w:t>
      </w:r>
      <w:r>
        <w:rPr>
          <w:rFonts w:ascii="arial" w:eastAsia="arial" w:hAnsi="arial" w:cs="arial"/>
          <w:i/>
          <w:color w:val="000000"/>
          <w:sz w:val="20"/>
          <w:lang w:val="en-US" w:eastAsia="en-US" w:bidi="ar-SA"/>
        </w:rPr>
        <w:t>Inspiration Management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Universal Supply Co. v. Matteo Enterprises Ltd.</w:t>
      </w:r>
      <w:r>
        <w:rPr>
          <w:rFonts w:ascii="arial" w:eastAsia="arial" w:hAnsi="arial" w:cs="arial"/>
          <w:color w:val="000000"/>
          <w:sz w:val="20"/>
          <w:lang w:val="en-US" w:eastAsia="en-US" w:bidi="ar-SA"/>
        </w:rPr>
        <w:t xml:space="preserve">, </w:t>
      </w:r>
      <w:hyperlink r:id="rId361" w:history="1">
        <w:r>
          <w:rPr>
            <w:rFonts w:ascii="arial" w:eastAsia="arial" w:hAnsi="arial" w:cs="arial"/>
            <w:i/>
            <w:color w:val="0077CC"/>
            <w:sz w:val="20"/>
            <w:u w:val="single"/>
            <w:shd w:val="clear" w:color="auto" w:fill="FFFFFF"/>
            <w:lang w:val="en-US" w:eastAsia="en-US" w:bidi="ar-SA"/>
          </w:rPr>
          <w:t>[1991] B.C.J. No. 2235</w:t>
        </w:r>
      </w:hyperlink>
      <w:r>
        <w:rPr>
          <w:rFonts w:ascii="arial" w:eastAsia="arial" w:hAnsi="arial" w:cs="arial"/>
          <w:color w:val="000000"/>
          <w:sz w:val="20"/>
          <w:lang w:val="en-US" w:eastAsia="en-US" w:bidi="ar-SA"/>
        </w:rPr>
        <w:t xml:space="preserve">. By way of further example along similar lines, in </w:t>
      </w:r>
      <w:r>
        <w:rPr>
          <w:rFonts w:ascii="arial" w:eastAsia="arial" w:hAnsi="arial" w:cs="arial"/>
          <w:i/>
          <w:color w:val="000000"/>
          <w:sz w:val="20"/>
          <w:lang w:val="en-US" w:eastAsia="en-US" w:bidi="ar-SA"/>
        </w:rPr>
        <w:t>Heddon, Chong, Smith &amp; Co. v. Intercan Acceptance Corp.</w:t>
      </w:r>
      <w:r>
        <w:rPr>
          <w:rFonts w:ascii="arial" w:eastAsia="arial" w:hAnsi="arial" w:cs="arial"/>
          <w:color w:val="000000"/>
          <w:sz w:val="20"/>
          <w:lang w:val="en-US" w:eastAsia="en-US" w:bidi="ar-SA"/>
        </w:rPr>
        <w:t xml:space="preserve">, </w:t>
      </w:r>
      <w:hyperlink r:id="rId362" w:history="1">
        <w:r>
          <w:rPr>
            <w:rFonts w:ascii="arial" w:eastAsia="arial" w:hAnsi="arial" w:cs="arial"/>
            <w:i/>
            <w:color w:val="0077CC"/>
            <w:sz w:val="20"/>
            <w:u w:val="single"/>
            <w:shd w:val="clear" w:color="auto" w:fill="FFFFFF"/>
            <w:lang w:val="en-US" w:eastAsia="en-US" w:bidi="ar-SA"/>
          </w:rPr>
          <w:t>[1987] B.C.J. No. 908</w:t>
        </w:r>
      </w:hyperlink>
      <w:r>
        <w:rPr>
          <w:rFonts w:ascii="arial" w:eastAsia="arial" w:hAnsi="arial" w:cs="arial"/>
          <w:color w:val="000000"/>
          <w:sz w:val="20"/>
          <w:lang w:val="en-US" w:eastAsia="en-US" w:bidi="ar-SA"/>
        </w:rPr>
        <w:t xml:space="preserve"> (C.A.), the Court of Appeal overturned the summary judgment granted in favour of the plaintiff, where there were conflicting affidavits and what appeared to be material gaps in the evidence such that "the nature and quality of the material before the chambers judge was not such that he could, in justice to the parties, resolve the issues of fact which had been raised" (page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Non est factum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order to determine the appropriateness of the summary process in this case, it is instructive to take a closer look at the constituent elements of Mr. Masson's plea of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is a special doctrine of mistake in contract law with a lengthy legal history. In simple terms, a party to a contract may be permitted to escape performance of their contractual obligations where the party proves that he or she mistakenly signed it in the sense that the contract was fundamentally or radically different from what he or she believed it to be. A successful plea of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renders the agreement void at common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Dorsch v. Freeholders Oil Co. Ltd.</w:t>
      </w:r>
      <w:r>
        <w:rPr>
          <w:rFonts w:ascii="arial" w:eastAsia="arial" w:hAnsi="arial" w:cs="arial"/>
          <w:color w:val="000000"/>
          <w:sz w:val="20"/>
          <w:lang w:val="en-US" w:eastAsia="en-US" w:bidi="ar-SA"/>
        </w:rPr>
        <w:t xml:space="preserve"> </w:t>
      </w:r>
      <w:hyperlink r:id="rId363" w:history="1">
        <w:r>
          <w:rPr>
            <w:rFonts w:ascii="arial" w:eastAsia="arial" w:hAnsi="arial" w:cs="arial"/>
            <w:i/>
            <w:color w:val="0077CC"/>
            <w:sz w:val="20"/>
            <w:u w:val="single"/>
            <w:shd w:val="clear" w:color="auto" w:fill="FFFFFF"/>
            <w:lang w:val="en-US" w:eastAsia="en-US" w:bidi="ar-SA"/>
          </w:rPr>
          <w:t>(1965), 52 D.L.R. (2d) 658</w:t>
        </w:r>
      </w:hyperlink>
      <w:r>
        <w:rPr>
          <w:rFonts w:ascii="arial" w:eastAsia="arial" w:hAnsi="arial" w:cs="arial"/>
          <w:color w:val="000000"/>
          <w:sz w:val="20"/>
          <w:lang w:val="en-US" w:eastAsia="en-US" w:bidi="ar-SA"/>
        </w:rPr>
        <w:t xml:space="preserve">, </w:t>
      </w:r>
      <w:hyperlink r:id="rId363" w:history="1">
        <w:r>
          <w:rPr>
            <w:rFonts w:ascii="arial" w:eastAsia="arial" w:hAnsi="arial" w:cs="arial"/>
            <w:i/>
            <w:color w:val="0077CC"/>
            <w:sz w:val="20"/>
            <w:u w:val="single"/>
            <w:shd w:val="clear" w:color="auto" w:fill="FFFFFF"/>
            <w:lang w:val="en-US" w:eastAsia="en-US" w:bidi="ar-SA"/>
          </w:rPr>
          <w:t>[1965] S.C.R. 670</w:t>
        </w:r>
      </w:hyperlink>
      <w:r>
        <w:rPr>
          <w:rFonts w:ascii="arial" w:eastAsia="arial" w:hAnsi="arial" w:cs="arial"/>
          <w:color w:val="000000"/>
          <w:sz w:val="20"/>
          <w:lang w:val="en-US" w:eastAsia="en-US" w:bidi="ar-SA"/>
        </w:rPr>
        <w:t xml:space="preserve">, the Supreme Court of Canada held that the existence of a misrepresentation by the other contracting party or a third party not privy to the contract is an essential ingredient to the plea of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It would therefore appear to be available only when the party wishing to disavow his or her signature proves that because of a misrepresentation the document signed is fundamentally different from what it was thought to be. The signer's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in this context is akin to carelessness, in failing to take reasonable precautions when executing the contract is also highly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Whether a party's carelessness will serve to bar the plea will depend on the individual circumstances of the case and calls for a highly fact-specific and contextual analysis. It is invariably a question of degree: </w:t>
      </w:r>
      <w:r>
        <w:rPr>
          <w:rFonts w:ascii="arial" w:eastAsia="arial" w:hAnsi="arial" w:cs="arial"/>
          <w:i/>
          <w:color w:val="000000"/>
          <w:sz w:val="20"/>
          <w:lang w:val="en-US" w:eastAsia="en-US" w:bidi="ar-SA"/>
        </w:rPr>
        <w:t>Farrell Estates Ltd. v. Win-Up Restaurant Ltd.,</w:t>
      </w:r>
      <w:r>
        <w:rPr>
          <w:rFonts w:ascii="arial" w:eastAsia="arial" w:hAnsi="arial" w:cs="arial"/>
          <w:color w:val="000000"/>
          <w:sz w:val="20"/>
          <w:lang w:val="en-US" w:eastAsia="en-US" w:bidi="ar-SA"/>
        </w:rPr>
        <w:t xml:space="preserve"> </w:t>
      </w:r>
      <w:hyperlink r:id="rId364" w:history="1">
        <w:r>
          <w:rPr>
            <w:rFonts w:ascii="arial" w:eastAsia="arial" w:hAnsi="arial" w:cs="arial"/>
            <w:i/>
            <w:color w:val="0077CC"/>
            <w:sz w:val="20"/>
            <w:u w:val="single"/>
            <w:shd w:val="clear" w:color="auto" w:fill="FFFFFF"/>
            <w:lang w:val="en-US" w:eastAsia="en-US" w:bidi="ar-SA"/>
          </w:rPr>
          <w:t>2010 BCSC 1752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Zhang</w:t>
      </w:r>
      <w:r>
        <w:rPr>
          <w:rFonts w:ascii="arial" w:eastAsia="arial" w:hAnsi="arial" w:cs="arial"/>
          <w:color w:val="000000"/>
          <w:sz w:val="20"/>
          <w:lang w:val="en-US" w:eastAsia="en-US" w:bidi="ar-SA"/>
        </w:rPr>
        <w:t xml:space="preserve"> v. Soong, </w:t>
      </w:r>
      <w:hyperlink r:id="rId365" w:history="1">
        <w:r>
          <w:rPr>
            <w:rFonts w:ascii="arial" w:eastAsia="arial" w:hAnsi="arial" w:cs="arial"/>
            <w:i/>
            <w:color w:val="0077CC"/>
            <w:sz w:val="20"/>
            <w:u w:val="single"/>
            <w:shd w:val="clear" w:color="auto" w:fill="FFFFFF"/>
            <w:lang w:val="en-US" w:eastAsia="en-US" w:bidi="ar-SA"/>
          </w:rPr>
          <w:t>2012 BCSC 758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This crucial point and others were addressed by the Supreme Court of Canada in </w:t>
      </w:r>
      <w:r>
        <w:rPr>
          <w:rFonts w:ascii="arial" w:eastAsia="arial" w:hAnsi="arial" w:cs="arial"/>
          <w:i/>
          <w:color w:val="000000"/>
          <w:sz w:val="20"/>
          <w:lang w:val="en-US" w:eastAsia="en-US" w:bidi="ar-SA"/>
        </w:rPr>
        <w:t>Marvco Color Research Ltd. v. Harris</w:t>
      </w:r>
      <w:r>
        <w:rPr>
          <w:rFonts w:ascii="arial" w:eastAsia="arial" w:hAnsi="arial" w:cs="arial"/>
          <w:color w:val="000000"/>
          <w:sz w:val="20"/>
          <w:lang w:val="en-US" w:eastAsia="en-US" w:bidi="ar-SA"/>
        </w:rPr>
        <w:t xml:space="preserve">, </w:t>
      </w:r>
      <w:hyperlink r:id="rId366" w:history="1">
        <w:r>
          <w:rPr>
            <w:rFonts w:ascii="arial" w:eastAsia="arial" w:hAnsi="arial" w:cs="arial"/>
            <w:i/>
            <w:color w:val="0077CC"/>
            <w:sz w:val="20"/>
            <w:u w:val="single"/>
            <w:shd w:val="clear" w:color="auto" w:fill="FFFFFF"/>
            <w:lang w:val="en-US" w:eastAsia="en-US" w:bidi="ar-SA"/>
          </w:rPr>
          <w:t>[1982] 2 S.C.R. 774</w:t>
        </w:r>
      </w:hyperlink>
      <w:r>
        <w:rPr>
          <w:rFonts w:ascii="arial" w:eastAsia="arial" w:hAnsi="arial" w:cs="arial"/>
          <w:color w:val="000000"/>
          <w:sz w:val="20"/>
          <w:lang w:val="en-US" w:eastAsia="en-US" w:bidi="ar-SA"/>
        </w:rPr>
        <w:t>, which remains the leading modern authority on the doctrine. Mr. Justice Estey, writing for the Court, articulated the relevant rationale and principles of the doctrine at 785: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rationale of the rule is simple and clear. As between an innocent party (the appellant) and the respondents, the law must take into account the fact that the appellant was completely innocent of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carelessness or wrongdoing, whereas the respondents by their careless conduct have made it possible for the wrongdoers to inflict a loss. As between the appellant and the respondents, simple justice requires that the party, who by the application of reasonable care was in a position to avoid a loss to any of the parties, should bear any loss that results when the only alternative available to the courts would be to place the loss upon the innocent appellant. In the final analysis, therefore, the question raised cannot be put more aptly than in the words of Cartwright J. in </w:t>
      </w:r>
      <w:r>
        <w:rPr>
          <w:rFonts w:ascii="arial" w:eastAsia="arial" w:hAnsi="arial" w:cs="arial"/>
          <w:i/>
          <w:color w:val="000000"/>
          <w:sz w:val="20"/>
          <w:lang w:val="en-US" w:eastAsia="en-US" w:bidi="ar-SA"/>
        </w:rPr>
        <w:t xml:space="preserve">Prudential, </w:t>
      </w:r>
      <w:hyperlink r:id="rId367" w:history="1">
        <w:r>
          <w:rPr>
            <w:rFonts w:ascii="arial" w:eastAsia="arial" w:hAnsi="arial" w:cs="arial"/>
            <w:i/>
            <w:color w:val="0077CC"/>
            <w:sz w:val="20"/>
            <w:u w:val="single"/>
            <w:shd w:val="clear" w:color="auto" w:fill="FFFFFF"/>
            <w:lang w:val="en-US" w:eastAsia="en-US" w:bidi="ar-SA"/>
          </w:rPr>
          <w:t>[1956] S.C.R. 914</w:t>
        </w:r>
      </w:hyperlink>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at p. 929: "... which of two innocent parties is to suffer for the fraud of a third". The two parties are innocent in the sense that they were not guilty of wrongdoing as against any other person, but as between the two innocent parties there remains a distinction significant in the law, namely that the respondents, by their carelessness, have exposed the innocent appellant to risk of loss, and even though no duty in law was owed by the respondents to the appellant to safeguard the appellant from such loss, nonetheless the law must take this discarded opportunity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Continuing at 787, his Lordship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wish only to add that the application of the principle that carelessness will disentitle a party to the document of the right to disown the document in law must depend upon the circumstances of each case. This has been said throughout the judgments written on the principle of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from the earliest times. The magnitude and extent of the carelessness, the circumstances which may have contributed to such carelessness, and all other circumstances must be taken into account in each case before a court may determine whether estoppel shall arise in the defendant so as to prevent the raising of this defence. The policy considerations inherent in the plea of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were well stated by Lord Wilberforce in his judgment in </w:t>
      </w:r>
      <w:r>
        <w:rPr>
          <w:rFonts w:ascii="arial" w:eastAsia="arial" w:hAnsi="arial" w:cs="arial"/>
          <w:i/>
          <w:color w:val="000000"/>
          <w:sz w:val="20"/>
          <w:lang w:val="en-US" w:eastAsia="en-US" w:bidi="ar-SA"/>
        </w:rPr>
        <w:t>Saunders, supra,</w:t>
      </w:r>
      <w:r>
        <w:rPr>
          <w:rFonts w:ascii="arial" w:eastAsia="arial" w:hAnsi="arial" w:cs="arial"/>
          <w:color w:val="000000"/>
          <w:sz w:val="20"/>
          <w:lang w:val="en-US" w:eastAsia="en-US" w:bidi="ar-SA"/>
        </w:rPr>
        <w:t xml:space="preserve"> at pp. 1023-24: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law ... has two conflicting objectives: relief to a signer whose consent is genuinely lacking ...; protection to innocent third parties who have acted upon an apparently regular and properly executed document. Because each of these factors may involve questions of degree or shading any rule of law must represent a compromise and must allow to the court some flexibility in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Thus, the question is whether, in all the circumstances, the conduct of the signer amounted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carelessness such that a plea of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As might be expected, a finding of carelessness on the part of one party such that it disentitles that party to a successful plea of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often arises in situations where that party is literate and capacitated and has simply elected not to read the contract fully or carefully; indeed, that was the very circumstance in the </w:t>
      </w:r>
      <w:r>
        <w:rPr>
          <w:rFonts w:ascii="arial" w:eastAsia="arial" w:hAnsi="arial" w:cs="arial"/>
          <w:i/>
          <w:color w:val="000000"/>
          <w:sz w:val="20"/>
          <w:lang w:val="en-US" w:eastAsia="en-US" w:bidi="ar-SA"/>
        </w:rPr>
        <w:t>Marvco</w:t>
      </w:r>
      <w:r>
        <w:rPr>
          <w:rFonts w:ascii="arial" w:eastAsia="arial" w:hAnsi="arial" w:cs="arial"/>
          <w:color w:val="000000"/>
          <w:sz w:val="20"/>
          <w:lang w:val="en-US" w:eastAsia="en-US" w:bidi="ar-SA"/>
        </w:rPr>
        <w:t xml:space="preserve"> case. That said, however, the authorities do not go so far as to hold that the plea cannot be sustained where the signer was reasonably sophisticated and literate; the plea may still have vigour and effect in that situation within narrow limits. It will turn on the assessment of the conduct of the signer, the conduct of the other contracting party (or parties), and other relevant surrounding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National Bank of Canada v. Digest Reporting Service Ltd.</w:t>
      </w:r>
      <w:r>
        <w:rPr>
          <w:rFonts w:ascii="arial" w:eastAsia="arial" w:hAnsi="arial" w:cs="arial"/>
          <w:color w:val="000000"/>
          <w:sz w:val="20"/>
          <w:lang w:val="en-US" w:eastAsia="en-US" w:bidi="ar-SA"/>
        </w:rPr>
        <w:t xml:space="preserve"> </w:t>
      </w:r>
      <w:hyperlink r:id="rId368" w:history="1">
        <w:r>
          <w:rPr>
            <w:rFonts w:ascii="arial" w:eastAsia="arial" w:hAnsi="arial" w:cs="arial"/>
            <w:i/>
            <w:color w:val="0077CC"/>
            <w:sz w:val="20"/>
            <w:u w:val="single"/>
            <w:shd w:val="clear" w:color="auto" w:fill="FFFFFF"/>
            <w:lang w:val="en-US" w:eastAsia="en-US" w:bidi="ar-SA"/>
          </w:rPr>
          <w:t>(1985), 35 Man. R. (2d) 284</w:t>
        </w:r>
      </w:hyperlink>
      <w:r>
        <w:rPr>
          <w:rFonts w:ascii="arial" w:eastAsia="arial" w:hAnsi="arial" w:cs="arial"/>
          <w:color w:val="000000"/>
          <w:sz w:val="20"/>
          <w:lang w:val="en-US" w:eastAsia="en-US" w:bidi="ar-SA"/>
        </w:rPr>
        <w:t xml:space="preserve">, </w:t>
      </w:r>
      <w:hyperlink r:id="rId368" w:history="1">
        <w:r>
          <w:rPr>
            <w:rFonts w:ascii="arial" w:eastAsia="arial" w:hAnsi="arial" w:cs="arial"/>
            <w:i/>
            <w:color w:val="0077CC"/>
            <w:sz w:val="20"/>
            <w:u w:val="single"/>
            <w:shd w:val="clear" w:color="auto" w:fill="FFFFFF"/>
            <w:lang w:val="en-US" w:eastAsia="en-US" w:bidi="ar-SA"/>
          </w:rPr>
          <w:t>[1985] 6 W.W.R. 481</w:t>
        </w:r>
      </w:hyperlink>
      <w:r>
        <w:rPr>
          <w:rFonts w:ascii="arial" w:eastAsia="arial" w:hAnsi="arial" w:cs="arial"/>
          <w:color w:val="000000"/>
          <w:sz w:val="20"/>
          <w:lang w:val="en-US" w:eastAsia="en-US" w:bidi="ar-SA"/>
        </w:rPr>
        <w:t xml:space="preserve"> (C.A.), a 67 year old, uneducated, hard of hearing woman was released from a guarantee. She had been given the document with no explanation as to its meaning, and had signed simply because her daughter had asked her to do so. The appellate Court accepted the trial judge's findings that the defendant had not known what she had signed and had been "minimally careless and signed the guarantee believing it to be a document fundamentally different from the one she actually signed" (para. 18). As to the plaintiff's conduct, the Court observed at paras. 19-21: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On the other side of the coin the learned trial judge found that National ought to have taken more care in seeing to the proper execution of the document and held that National, by leaving it to Mrs. Bowden to have the letter of guarantee completed by her mother, must bear the risk that it might not be adequately explained or that it might even be misrepresented.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It is my opinion that National does not qualify as an innocent third party. The Bank wanted additional personal guarantees. It was in its interest to get them. But it did not take even minimal steps to ensure that Mrs. Berard would know what she was signing. Its carelessness in handling the transaction is indicated by the fact that it did not supply Mrs. Berard a copy of the guarantee after it had received the executed document. In my view, National was too casual in its handling of the transaction to be heard to complain.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I respectfully agree with the comment of the learned trial judge that Mrs. Berard's conduct in signing the guarantee did not amount to "carelessness on her part to such a degree that she is disentitled to rely on the defence of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Farrell Estates, supra,</w:t>
      </w:r>
      <w:r>
        <w:rPr>
          <w:rFonts w:ascii="arial" w:eastAsia="arial" w:hAnsi="arial" w:cs="arial"/>
          <w:color w:val="000000"/>
          <w:sz w:val="20"/>
          <w:lang w:val="en-US" w:eastAsia="en-US" w:bidi="ar-SA"/>
        </w:rPr>
        <w:t xml:space="preserve"> Dardi J. summarized the relevant principles of the doctrine at para. 100:</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burden of proving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rests with the party seeking to disown their signature. For a person of full capacity the application of the doctrine must be kept within narrowly prescribed limits.</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 seeks to invoke the remedy must show that the document signed is fundamentally different from what the person believed he or she was signing.</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Even if the person shows such a fundamental difference, the court must examine whether the signer was careless in failing to take reasonable precautions in the execution of the document. The court must also consider the conduct of the party relying on the document and whether they qualify as an innocent party, in order to determine which party, by application of reasonable care, was in the better position to avoid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An issue that sometimes arises is what kind of mistake is required for the plea to be available. That is to say, must the mistake go to the very nature of the document or to its contents or legal consequences. That vital question was recently explored in </w:t>
      </w:r>
      <w:r>
        <w:rPr>
          <w:rFonts w:ascii="arial" w:eastAsia="arial" w:hAnsi="arial" w:cs="arial"/>
          <w:i/>
          <w:color w:val="000000"/>
          <w:sz w:val="20"/>
          <w:lang w:val="en-US" w:eastAsia="en-US" w:bidi="ar-SA"/>
        </w:rPr>
        <w:t>Zhang, supra.</w:t>
      </w:r>
      <w:r>
        <w:rPr>
          <w:rFonts w:ascii="arial" w:eastAsia="arial" w:hAnsi="arial" w:cs="arial"/>
          <w:color w:val="000000"/>
          <w:sz w:val="20"/>
          <w:lang w:val="en-US" w:eastAsia="en-US" w:bidi="ar-SA"/>
        </w:rPr>
        <w:t xml:space="preserve"> There, Gray J. reasoned that modern jurisprudence, including the important decision of the House of Lords in </w:t>
      </w:r>
      <w:r>
        <w:rPr>
          <w:rFonts w:ascii="arial" w:eastAsia="arial" w:hAnsi="arial" w:cs="arial"/>
          <w:i/>
          <w:color w:val="000000"/>
          <w:sz w:val="20"/>
          <w:lang w:val="en-US" w:eastAsia="en-US" w:bidi="ar-SA"/>
        </w:rPr>
        <w:t>Saunders v. Anglia Building Society</w:t>
      </w:r>
      <w:r>
        <w:rPr>
          <w:rFonts w:ascii="arial" w:eastAsia="arial" w:hAnsi="arial" w:cs="arial"/>
          <w:color w:val="000000"/>
          <w:sz w:val="20"/>
          <w:lang w:val="en-US" w:eastAsia="en-US" w:bidi="ar-SA"/>
        </w:rPr>
        <w:t>, [1970] UKHL 5, [1971] A.C. 1004, no longer supported such a distinction, and held that the material question is whether the signer believed that the contract was fundamentally different from what it provides.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the case at hand, Mr. Masson asserts that the Bank represented his role in relation to execution of the Agreement as that of "co-signer" which he says caused him to fundamentally misapprehend the Agreement. The conduct both of the Bank and Mr. Masson is germane.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difference between this situation and that in </w:t>
      </w:r>
      <w:r>
        <w:rPr>
          <w:rFonts w:ascii="arial" w:eastAsia="arial" w:hAnsi="arial" w:cs="arial"/>
          <w:i/>
          <w:color w:val="000000"/>
          <w:sz w:val="20"/>
          <w:lang w:val="en-US" w:eastAsia="en-US" w:bidi="ar-SA"/>
        </w:rPr>
        <w:t>Marvco</w:t>
      </w:r>
      <w:r>
        <w:rPr>
          <w:rFonts w:ascii="arial" w:eastAsia="arial" w:hAnsi="arial" w:cs="arial"/>
          <w:color w:val="000000"/>
          <w:sz w:val="20"/>
          <w:lang w:val="en-US" w:eastAsia="en-US" w:bidi="ar-SA"/>
        </w:rPr>
        <w:t xml:space="preserve"> was that in the latter the misrepresentation had been made by a third party who was not privy to the contract. Accordingly, the analysis concentrated on whether the plea could be invoked against an innocent contracting party who had relied on the commercial certainty of the signed document, requiring the Court to confront the difficult question of which of the two parties was to bear the burden of another's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Masson insists that the conflicts in the affidavit evidence cannot be resolved by resorting to any other evidence, and that it is neither fair nor just to determine the case summarily. The Bank counters that there is no conflict in the evidence on any central matter and that the case is readily amenable to be justly decided by way of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evidence on both sides was poorly developed. There can be no doubt, however, that it put squarely into dispute the issue of whether the Bank represented to Mr. Masson that he was acting as a "co-signer" of the loan. The question to next ask is, what turns on that? In other words, does that factual conflict pertain to a relevant issue or otherwise preclude me from finding the facts necessary to decide the application? On the one hand, it may be said that nothing of importance can be made of the conflict in the evidence as to whether the Bank did or did not represent to Mr. Masson that he was executing the Agreement in the capacity of a "co-signer". This is because the word "co-signer" is not a legal term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and, on an ordinary interpretation, may encompass acting as a guarantor or otherwise assuming joint and several responsibility with another for repayment of a loan. It seems to me, however, that in this particular case a more fulsome appreciation of the conflicting evidence is required. Here, the thrust of Mr. Masson's Response, to which Ms. Murphy addressed relevant portions of her evidence, is that he was told by the Bank that he was acting as a co-signer with an understanding that in that role he was not assuming joint and several liability for a line of credit, and was not being exposed to liability beyond the maximum fixed sum of $17,000. I appreciate that Mr. Masson's Response does not constitute evidence; however, because Ms. Murphy's affidavit evidence is in answer to the whole of his Response, her evidence can only be meaningfully evaluated by being read in that context. In that regard, Ms. Murphy denies representing to Mr. Masson that he was not responsible for the debt and that his presence was only required to fulfill his role as a co-signer. Mr. Masson's evidence in response to Ms. Murphy on those matters is substantially the same as the averments of fact contained in his pleading. The Bank's own letter contradicts Ms. Murphy's denial.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my view, a careful reading of the affidavit evidence makes it clear that it engages a conflict beyond the mere question of whether or not Ms. Murphy told Mr. Masson he was signing the Agreement as a co-signer. It goes further and puts into issue whether the Bank told him that he was assuming the role of a co-signer of Mr. Fraser's student loan, leaving him to understand or confirming his already existing understanding that signing in that capacity was different than acting as borrower of the loan, and did not expose him to the legal responsibility for anything more than $17,000 at most. That issue goes to the heart of assessing the conduct of both parties and determining whether, in all of the circumstances, Mr. Masson acted carelessly by executing the Agreement without reading it in its entirety. It is also germane to the question of whether what Mr. Masson did sign was fundamentally different from what he believed the Agreement to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 related evidentiary problem is the virtual absence of evidence from the Bank as to any discussions that took place between it and Mr. Masson concerning his potential liability under the Agreement, or the circumstances in which it would be triggered or the minimal steps it took to explain to Mr. Masson what he was signing.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conflict and deficiencies in the evidence shackle my ability to properly and justly decide the issues. In the end, I am unable, on the whole of the evidence as it stands, to find the facts essential to a determination of Mr. Masson's plea of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While I recognize the plea advanced by a literate, capacitated person must be kept within narrowly prescribed limits, in light of the conflicting evidence and the absence of more fulsome material evidence, it cannot fairly be said that his plea is doomed to fail or is unworthy of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Moreover and in any event, it is my opinion that it would be unjust to decide the relevant issues in dispute on this summary application. The sum of money at issue, although not conclusive, is entitled to considerable weight. Although the amount might be considered as relatively modest in the world of commerce, it is not an insignificant sum to an average person like Mr. Masson.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 conventional trial of the matters raised here would take only one day and it is appropriate that the trial be expedited. Accordingly, declining to decide it on a summary basis will not result in the parties incurring substantial costs or expense, nor result in an unreasonable delay. In my opinion, cross-examination of the affidavits is less preferable in this case and, at the end of the day, will not be more cost effective, or at least not appreciably so, than a one day trial. There is a substantial risk of greater prejudice being visited upon Mr. Masson were the summary application to proceed than any prejudice that might flow to the Bank by taking the case forward to a conventional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Bank's application for summary judgment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order that this matter proceed by mode of a conventional trial on an expedited basis. I direct that the parties are relieved from all case management requirements and that their respective examinations for discovery not exceed two hours, without further court order or by consent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closing, I would observe that in light of the foregoing analysis, it is unnecessary for me to consider whether there are factors that would make the Bank's application unsuitable as it concerns Mr. Masson's defence grounded on the doctrine of unconscionable transactions. Even if it were suitable to decide the issue of unconscionability by way of summary trial , it would be inappropriate and not achieve any judicial economy for the Court to sever the issues and decide one summarily and the other by the conventional mode.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Costs to Mr. Masson will be in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S.K. BALLANCE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2" style="position:absolute;z-index:2518784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69"/>
          <w:headerReference w:type="default" r:id="rId370"/>
          <w:footerReference w:type="even" r:id="rId371"/>
          <w:footerReference w:type="default" r:id="rId372"/>
          <w:headerReference w:type="first" r:id="rId373"/>
          <w:footerReference w:type="first" r:id="rId37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75" w:history="1">
        <w:r>
          <w:rPr>
            <w:rFonts w:ascii="arial" w:eastAsia="arial" w:hAnsi="arial" w:cs="arial"/>
            <w:b/>
            <w:bCs/>
            <w:i/>
            <w:color w:val="0077CC"/>
            <w:kern w:val="32"/>
            <w:sz w:val="28"/>
            <w:szCs w:val="32"/>
            <w:u w:val="single"/>
            <w:shd w:val="clear" w:color="auto" w:fill="FFFFFF"/>
            <w:lang w:val="en-US" w:eastAsia="en-US" w:bidi="ar-SA"/>
          </w:rPr>
          <w:t>Bronson v. Hewitt, [2010] B.C.J. No. 211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R.B.T. Goepel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3-7, 17-21, 24-28, December 1-5, 8-12,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15-19, 2008; April 20-24, 27-30, May 1, 4-8, 11-15, 25-28,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June 1-5, August 31, September 1-4 and 8-11,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8,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L052583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211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169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58 E.T.R. (3d) 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285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186 A.C.W.S. (3d) 573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Thomas E. Bronson, J. Tom Bronson, Lee B. Lewis, Virginia L. Shaffer, H. Davis Lewis, Jr. and Harold D. Lewis, Sr., Plaintiffs, and Howard H. Hewitt, A. Eugene Lewis, Jennifer Lewis Browning, Julie Anne Lewis, William David Tompkins, Trustee of the Graham River Trust, Graham River Outfitters Ltd., Margaret H. Mason, Bull, Housser &amp; Tupper and Bull, Housser &amp; Tupper LLP, Defendants, and Thomas E. Bronson,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(712 paras.)</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[Editor's note: Supplementary reasons for judgment were released January 28, 2011. See </w:t>
      </w:r>
      <w:hyperlink r:id="rId376" w:history="1">
        <w:r>
          <w:rPr>
            <w:rFonts w:ascii="arial" w:eastAsia="arial" w:hAnsi="arial" w:cs="arial"/>
            <w:i/>
            <w:color w:val="0077CC"/>
            <w:sz w:val="18"/>
            <w:u w:val="single"/>
            <w:shd w:val="clear" w:color="auto" w:fill="FFFFFF"/>
            <w:lang w:val="en-US" w:eastAsia="en-US" w:bidi="ar-SA"/>
          </w:rPr>
          <w:t>[2011] B.C.J. No. 121</w:t>
        </w:r>
      </w:hyperlink>
      <w:r>
        <w:rPr>
          <w:rFonts w:ascii="arial" w:eastAsia="arial" w:hAnsi="arial" w:cs="arial"/>
          <w:color w:val="000000"/>
          <w:sz w:val="18"/>
          <w:lang w:val="en-US" w:eastAsia="en-US" w:bidi="ar-SA"/>
        </w:rPr>
        <w:t xml:space="preserve">. Further supplementary reasons for judgment were released April 15, 2011. See </w:t>
      </w:r>
      <w:hyperlink r:id="rId377" w:history="1">
        <w:r>
          <w:rPr>
            <w:rFonts w:ascii="arial" w:eastAsia="arial" w:hAnsi="arial" w:cs="arial"/>
            <w:i/>
            <w:color w:val="0077CC"/>
            <w:sz w:val="18"/>
            <w:u w:val="single"/>
            <w:shd w:val="clear" w:color="auto" w:fill="FFFFFF"/>
            <w:lang w:val="en-US" w:eastAsia="en-US" w:bidi="ar-SA"/>
          </w:rPr>
          <w:t>[2011] B.C.J. No. 696</w:t>
        </w:r>
      </w:hyperlink>
      <w:r>
        <w:rPr>
          <w:rFonts w:ascii="arial" w:eastAsia="arial" w:hAnsi="arial" w:cs="arial"/>
          <w:color w:val="000000"/>
          <w:sz w:val="18"/>
          <w:lang w:val="en-US" w:eastAsia="en-US" w:bidi="ar-SA"/>
        </w:rPr>
        <w:t>. Further supplementary reasons for judgment were released August 17, 2011. See [2011] B.C.J. No. 1571.]</w:t>
      </w:r>
      <w:r>
        <w:rPr>
          <w:rFonts w:ascii="arial" w:eastAsia="arial" w:hAnsi="arial" w:cs="arial"/>
          <w:sz w:val="20"/>
          <w:lang w:val="en-US" w:eastAsia="en-US" w:bidi="ar-SA"/>
        </w:rPr>
        <w:cr/>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3"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9" w:name="Keywords_19"/>
      <w:bookmarkEnd w:id="129"/>
      <w:r>
        <w:rPr>
          <w:rFonts w:ascii="arial" w:eastAsia="arial" w:hAnsi="arial" w:cs="arial"/>
          <w:b/>
          <w:color w:val="000000"/>
          <w:sz w:val="20"/>
          <w:lang w:val="en-US" w:eastAsia="en-US" w:bidi="ar-SA"/>
        </w:rPr>
        <w:t>Wills, estates and trusts law — Trusts — Administration — Sale of trust property — The trustee — Breach of trust — Duties of — Absolute or general fiduciary duties — Duty to carry out obligations to beneficiaries — Duties to take reasonable care — Standard of care — Reasonable care and diligence — Indemnity — Actions against — Multi-faceted claim by plaintiffs seeking damages for breach of trust, assisting breach of trust and various other relief allowed in part — The defendant Howard had committed breach of trust — Damages arising from the sale of Big Nine shares were assessed at $350,000 plus pre-judgment interest, and were payable to the plaintiffs Tommy, Lee, Virginia and Davis in proportion to their respective interests in the BNT Trust — Howard had failed to advise Harold that he was entitled to be a co-trustee, he had sold the shares without proper authorization and without assessing their value.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0" w:name="Case Summary_16"/>
            <w:bookmarkEnd w:id="13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Claim by plaintiffs for damages for breach of trust and assisting breach of trust, etc. The claims concerned two trusts, the Big Nine Trust and the Graham River Trust. A major focus of the litigation was the so-called BNO Share Transaction, where in 2004 the Trusts' remaining shares in Big Nine Outfitters were sold to Tomkins Ranching Ltd. The plaintiffs alleged that the defendant Howard was not authorized to sell the shares in the BNO Share Transaction, either because he was not the sole trustee or because the BNT Trust Agreement did not authorize such a sale. They argued Howard failed to properly market the shares and the sale was not at a fair market value. They alleged he was in a conflict of interest as he was a creditor of the defendant Eugene and that he sold the BNT shares only to assist Eugene who was in serious financial trouble. The plaintiffs sought to remove Howard as trustee. Howard denied any wrongdoing, and alternatively argued that if he was in breach of trust his conduct should be excused pursuant to provisions of the BNT Trust Agreement or s. 96 of the Trustee Act. The claims against the defendants Mason and Eugene of assisting in a breach of trust arose out of actions taken to facilitate the BNO Share Transaction. The plaintiffs alleged they assisted in the sale knowing Howard did not have the power to sell the shares. With respect to the Graham River Trust, the plaintiffs alleged that the trust was a bare trust and that the plaintiffs Harold and Tommy were entitled to have their shares of Graham River Outfitters Ltd. transferred to them. An issue was whether Harold and the defendant Eugene's interest in GRO was in fact beneficially owned by the Big Nine Trust. Harold and Eugene used funds coming from the BNT to purchase their interest in GRO. The plaintiffs also alleged that the defendant Margaret Mason had assisted in a breach of trust.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1" w:name="Holdings of Court_15"/>
            <w:bookmarkEnd w:id="131"/>
            <w:r>
              <w:rPr>
                <w:rFonts w:ascii="arial" w:eastAsia="arial" w:hAnsi="arial" w:cs="arial"/>
                <w:color w:val="000000"/>
                <w:sz w:val="20"/>
                <w:lang w:val="en-US" w:eastAsia="en-US" w:bidi="ar-SA"/>
              </w:rPr>
              <w:t>HELD: Claim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sale of the Big Nine shares by Howard was a breach of trust. Damages arising from that sale were assessed at $350,000 plus pre-judgment interest from Jan. 1, 2006, and these were payable to Tommy, Lee, Virginia and Davis in proportion to their respective interests in the BNT. Howard and Eugene were jointly and severally liable for the damages. With regard to the BNO Share Transaction proceeds, Howard would pay to each of Lee, Virginia and Davis US $66,000 and to Tommy US $198,000, all of which would bear pre-judgment interest from March 3, 2004. Within 60 days, William was to prepare his accounts with regard to the operation of the Trapline and acting as trustee of the GRO shares. Upon the beneficiaries paying their respective share of William's costs and expenses, William was to transfer them their respective interest in the GRO shares as described in the reasons. If he did not prepare his accounts within 60 days, the parties were at liberty to make further submissions concerning the mechanics of transferring the GRO shares and regularizing the affairs of GRO. The claims against Mason and BHT were dismissed. The third party claim against Tommy was dismissed. The parties were to make arrangements to speak to the question of costs, the removal of Howard as trustee, whether a new trustee was required, etc. Among the many findings were findings that Eugene and Howard deliberately set out to mislead the plaintiffs as to Harold's right to be co-trustee, in the hope that he would not become aware of his rights and accept the appointment. This deception continued through the closing of the BNO Share Transaction. Harold was entitled in 2002 to become a trustee. The BNT Trust Agreement contained by implication a power of sale. After Eugene resigned as trustee, Howard was obligated to involve Harold in the management of the trust until he determined whether or not Harold intended to accept his appointment, as the agreement called for two trustees. He did not have the right to act as sole trustee, or to enter into the BNO Share Transaction. In doing so he committed a breach of trust. While the decision to sell the shares was reasonable, the manner of sale was not. Howard failed to determine the value of an asset before selling it. Eugene had actual knowledge Howard was acting in breach of trust, and he knowingly assisted the breach. The claims against Mason and BHT were dismissed. Although the facts known to Mason called out for inquiry, her failure to meet the standard of care did not make her liable for knowingly assisting in a breach of trust. She had not acted with a want of probity that would make her personally liable. As for damages, the trust was to be placed in the position it would have been in had the breach not occurred. The appropriate valuation was based on an adjusted net asset approach. The shares of Big Nine were worth considerably more than the price paid and the sale was improvident. The Big Nine shares had a value of up to $1,375,665. They were sold for $888,889, leaving a shortfall of up to $653,456. The plaintiffs held 60 per cent of the beneficial interest. The plaintiffs' damages for breach of trust arising from the Big Nine transaction were assessed at $350,000. With respect to the GRO/GRT, Tommy owned the beneficial interest of one-third of the GRO shares, and the remainder were owned beneficially by the BNT until at least Feb. 25, 2004. In this case, the trustee was not exercising good faith discretion in accumulating for some beneficiaries and paying others. The only reason the plaintiff beneficiaries were not paid was because they were not prepared to sign the release, a document the trustee was not entitled to demand. By doing so, Howard breached the terms of the BNT. He was to pay those beneficiaries their respective shares of the BNO Share Transaction, namely US $66,000 to Lee, Virginia and Davis, and US $198,000 to Tommy. William had no power to sell the Trapline, and he acted in breach of trust when he did so. He was to account for the purchase proceeds. The Trapline was held in trust for the successors to the purchasers under the Beattie Purchase Agreement.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2" w:name="Legislation Cited_15"/>
      <w:bookmarkEnd w:id="13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4" style="position:absolute;z-index:2517299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Trustee Act, </w:t>
      </w:r>
      <w:hyperlink r:id="rId378" w:history="1">
        <w:r>
          <w:rPr>
            <w:rFonts w:ascii="arial" w:eastAsia="arial" w:hAnsi="arial" w:cs="arial"/>
            <w:i/>
            <w:color w:val="0077CC"/>
            <w:sz w:val="20"/>
            <w:u w:val="single"/>
            <w:shd w:val="clear" w:color="auto" w:fill="FFFFFF"/>
            <w:lang w:val="en-US" w:eastAsia="en-US" w:bidi="ar-SA"/>
          </w:rPr>
          <w:t>RSBC 1996, CHAPTER 464, s. 96</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33" w:name="Counsel_19"/>
      <w:bookmarkEnd w:id="13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5" style="position:absolute;z-index:2517811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&amp; Third Party: R.R.E. DeFilippi, L. Bussoli, N.M. Sarna.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Howard H. Hewitt: D.C. Harris, Q.C, B.R.H. Johnston.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 Eugene Lewis, Jennifer Lewis Browning and Julie Anne Lewis: J.G. Dives.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Margaret H. Mason, Bull, Housser &amp; Tupper and Bull Housser &amp; Tupper LLP: W.G. MacLeod, S. Field.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4" w:name="Judgment_19"/>
      <w:bookmarkEnd w:id="134"/>
      <w:r>
        <w:pict>
          <v:line id="_x0000_s1126" style="position:absolute;z-index:25183232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Corrections were released by the Court April 12, 2010; the changes have been made to the text and the corrections are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GLOSSARY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PLAYERS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Lewis Family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B. The Bronson Family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 Powell/Tompkins Families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COMPANIES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Big Nine Outfitters Ltd.</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B. Graham River Outfitters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TRUSTS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Big Nine Trust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B. Graham River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PROCEDURAL HISTORY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Big Nine/BNT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B. GRO/GRT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Protagonists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 Overview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ii. Harold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iii. Eugene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iv. Tommy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v. Howard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Properties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 Overview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ii. Big Nine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iii. GRO</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Chronology of Events: 1971-2002</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 Overview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ii. Purchase of Big Nine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iii. Creation of the BNT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iv. Purchase of GRO</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v. Death of Powell and Aftermath</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vi. Sale of GRO's Business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vii. The Hall Transaction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viii. Davis Assignment/Bronson Assignment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ix. Big Nine: 1986-2002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x. GRO: 1986-2002</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Chronology of Events: 2002-2004</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 Overview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ii. Howard's Appointment as BNT Trustee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iii. Disclosure of Howard's Appointment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iv. Howard's Preliminary Steps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v. BNO Share Transaction:</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a. Overview</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b. The Negotiations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 The Closing</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 The Aftermath</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vi. GRO Share Transaction</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vii. The Trapline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LEGAL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Overview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B. Plaintiffs'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STANDARD OF PROOF</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EVIDENCE OF EUGENE LEWIS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Overview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B. Use of Discovery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 Adverse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CONTESTED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Overview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B. Discussion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Howard's Appointment as Trustee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 Overview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ii. When First Approached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iii. Discussion with Mason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iv. Knowledge of Harold as Co-Trustee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v. Conflict of Interest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Harold's Right to be Co-trustee.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 Overview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ii. Knowledge of Lee, Virginia and Davis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iii. Knowledge of Harold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iv. Knowledge of Tommy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v. Howard and Eugene's Non-Disclosure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v. Harold's Ability to Act as Trustee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The Liquidation Plan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4. The BNO Share Transaction - Right to Sell</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 Overview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ii. Power of Sale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iii. Howard as Sole Trustee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iv. Reasonableness of the Sale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 Knowingly Assisting in Breach of Trust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 Overview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ii. Eugene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iii. Mason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6. Damages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 Measure of Damages</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ii. Evidence on Damages</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a. Overview</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b. Evidence of Mr. McCowan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 Evidence of Ms. Clayton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 Evidence of Mr. Crosson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iii. Discussion re Damages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7. GRO/GRT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 Overview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ii. Background to Creation of GRO/ GRT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iii. Initial Beneficial Ownership of GRO Shares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iv. Nature of the GRT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8. Distribution of the BNT and GRT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 Overview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ii. Distribution Provisions of the BNT Trust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Agreement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iii. The Distribution Letter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iv. Distribution of Proceeds of BNO Share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Transaction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v. Distribution of Beneficial Interest in GRO</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Shares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9. Claims Against William</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 Overview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ii. Sale of Trapline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iii. Transfer of GRO Shares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10. Validity of Davis and Bronson Assignment</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11. Exoneration of Trustee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 Overview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ii. Discussion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12. Enforceability of Davis Release</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13. The Third Party Action</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14. Removal of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5" w:name="R.B.T. GOEPEL J."/>
            <w:bookmarkEnd w:id="135"/>
            <w:r>
              <w:rPr>
                <w:rFonts w:ascii="arial" w:eastAsia="arial" w:hAnsi="arial" w:cs="arial"/>
                <w:b/>
                <w:color w:val="000000"/>
                <w:sz w:val="30"/>
                <w:lang w:val="en-US" w:eastAsia="en-US" w:bidi="ar-SA"/>
              </w:rPr>
              <w:t>R.B.T. GOEPEL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the fall of 1971, Mr. Harold D. Lewis Sr., a resident of Florida went hunting in northeast British Columbia, thus setting in motion the series of events which culminated more than 37 years later in a Vancouver courtroom. Including argument, the trial lasted some 68 days. Thirteen witnesses, including four experts testified. The parties filed 647 exhibits, consisting of several thousand pages.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case has the sweep of an historical novel. It involves two separate and distinct properties and raises several difficult issues of fact and law including allegations of breach of trust and assisting in a breach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Resolution of the issues raised at trial requires making findings of fact concerning events which took place over the course of 30 years. That task is made more challenging because of gaps in the evidence. Some witnesses are dead or otherwise unable to give evidence. Other possible witnesses were not called or chose not to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four main protagonists are two brothers, their lifelong friend, and their brother-in-law, all of whom are residents of the State of Florida. Several residents of northeast British Columbia had supporting roles.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order that the narrative can be more easily understood, I will at the outset briefly introduce the players, the subject properties, and some of the issues. All will be more fully described in the course of these reasons. I will next set out in greater detail the background of the main protagonists, describe the properties and their location and review in detail the chronology of events. I will then discuss the issues raised in the action, make the necessary findings of fact and resolve the outstanding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Throughout the trial most of the participants were referred to by their first name. I will also do so in these reasons. No disrespect is intended.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GLOSSARY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order to assist the reader I have prepared a glossary of certain defined terms. In these reasons the following terms have the following meanings, unless the context otherwise requires: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096"/>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r>
              <w:rPr>
                <w:rFonts w:ascii="arial" w:eastAsia="arial" w:hAnsi="arial" w:cs="arial"/>
                <w:i/>
                <w:color w:val="000000"/>
                <w:sz w:val="18"/>
                <w:lang w:val="en-US" w:eastAsia="en-US" w:bidi="ar-SA"/>
              </w:rPr>
              <w:t>Act</w:t>
            </w:r>
            <w:r>
              <w:rPr>
                <w:rFonts w:ascii="arial" w:eastAsia="arial" w:hAnsi="arial" w:cs="arial"/>
                <w:color w:val="000000"/>
                <w:sz w:val="18"/>
                <w:lang w:val="en-US" w:eastAsia="en-US" w:bidi="ar-SA"/>
              </w:rPr>
              <w:t>"</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Trustee Act,</w:t>
            </w:r>
            <w:r>
              <w:rPr>
                <w:rFonts w:ascii="arial" w:eastAsia="arial" w:hAnsi="arial" w:cs="arial"/>
                <w:color w:val="000000"/>
                <w:sz w:val="18"/>
                <w:lang w:val="en-US" w:eastAsia="en-US" w:bidi="ar-SA"/>
              </w:rPr>
              <w:t xml:space="preserve"> R.S.B.C. 1996, c. 464</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"Acceptance"</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Howard's acceptance of trusteeships, September 30, 2002</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"April Letter"</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Letter dated April 8, 2003 from Barry to Howard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241"/>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"Audrey"</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Audrey Tompkins (Gary's sister)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096"/>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"Audrey Indemnity"</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Release and Indemnity of Audrey prepared September 2002</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"Barry"</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Barry Tompkins (Audrey &amp; William's son)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241"/>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"Beattie Property"</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GRO property bought from the Beatties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096"/>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"Beattie Purchase"</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December 31, 1981 agreement to purchase assets of Beatties' outfitting business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241"/>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"BHT"</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Bull Housser &amp; Tupper and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Bull Housser &amp; Tupper LLP</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241"/>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"Big Nine"</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Big Nine Outfitters Ltd.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096"/>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"BNO Share Transaction"</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Sale of Big Nine shares to TRL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"BNT Trust Agreement"</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1978 written trust agreement re: Shares in Big Nine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241"/>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"BNT"</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Big Nine Trust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"Braden"</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Braden Powell (Gary &amp; Olive's son)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096"/>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"Bronson Assignment"</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Assignment of Lee, Virginia and Davis' 50% interest in the BNT to Tommy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"Callison"</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Garry Callison, a Fort St. John lawyer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241"/>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"Crying Girl"</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Crying Girl Prairie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096"/>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"Davis Assignment"</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1994 assignment of Lee &amp; Virginia's Interest in BNT to themselves and Davis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"Davis"</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Harold D. Lewis, Jr. (Harold &amp; Susan's son)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241"/>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"Davis Release"</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Davis' executed Release of March 2004</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096"/>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"Distribution Letter"</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February 25, 2004 letter from Howard to beneficiaries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241"/>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"Eugene"</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Eugene Lewis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096"/>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"Eugene Resignation Documents"</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Modifications to Mason Resignation Documents made by Eugene in September 2002</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"Florida Judgment"</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October 1, 1999 judgment in favour of Mr. Holt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"Florida Proceedings"</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Lewis &amp; White legal dispute with former client, Mr. Holt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241"/>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"Gary"</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Gary Powell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"GRO"</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Graham River Outfitters Ltd.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"GRT"</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Graham River Trust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"Hall"</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Ken Hall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"Harold"</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Harold D. Lewis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"Howard"</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Howard H. Hewitt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096"/>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"Howard Indemnity"</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Indemnity of Howard prepared in September 2002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241"/>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 Tom"</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 Tom Bronson (Tommy's son)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096"/>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"Jennifer"</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Jennifer Sue Lewis Browning (Eugene &amp; Mary Lou's daughter)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"Julie"</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Julie Anne Lewis (Eugene &amp; Mary Lou's daughter)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241"/>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"Lee"</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Lee B. Lewis (Harold &amp; Susan's son)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"Lewis Family Trust"</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A.E. Lewis Family Trust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"Lindley Property"</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GRO property bought from Herb Lindley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"Long"</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Doug Long, a Vancouver lawyer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"Mary Lou"</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Mary Lou Lewis (Eugene's wife)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"Mason"</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Margaret Mason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096"/>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"Mason Resignation Documents"</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Documents prepared by Mason in September 2002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241"/>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"Olive"</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Olive Powell (Gary's wife)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096"/>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"Release"</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Release attached to Distribution Letter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"Revocation Letters"</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July 10, 1979 letters signed by Harold and Eugene renouncing &amp; disclaiming their power to revoke or amend BNT Trust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241"/>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"Susan"</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Susan Lewis (Harold's wife)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"Tommy"</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Thomas E. Bronson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096"/>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"Trapline"</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Trapline purchased in December 1981 from Beatties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241"/>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"TRL"</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Tompkins Ranching Ltd.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096"/>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"Virginia"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Virginia L. Shaffer (Harold &amp; Susan's daughter)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241"/>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"William"</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William Tompkins (Audrey's husband)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THE PLAYERS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The Lewis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Harold D. Lewis, Sr. ("Harold"), and the defendant, A. Eugene Lewis ("Eugene"), are brothers. Both are lawyers and long time residents of Tallahassee, Florida. For many years they practised law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Until 2002, Harold was married to Susan. They had three children, being the plaintiffs Lee B. Lewis ("Lee"), Virginia L. Shaffer ("Virginia") and Harold D. Lewis, Jr. ("Davis"). Harold, Lee, Virginia and Davis all testified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Eugene was married to Mary Lou. They have two children, being the defendants Jennifer Sue Lewis Browning ("Jennifer") and Julie Anne Lewis ("Julie"). Eugene, Jennifer and Julie did not testify at trial. The plaintiff read in evidence from Eugene's examination for discovery and from Jennifer's and Julie's interrogatories. An issue for determination is the use that can be made of Eugene's discovery evidence and whether an adverse inference should be drawn arising from Eugene's failure to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Lewis brothers have two sisters, Isabelle and Sarah. Sarah is married to the defendant, Howard H. Hewitt ("Howard"), a successful businessman who resides in Leesburg, Florida. Howard gave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The Bronson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Thomas E. Bronson ("Tommy"), is also a successful businessman. He presently resides in Brooksville, Florida. He is a lifelong friend of Harold and Eugene and has known Howard for 50 years. Tommy testified at trial. The plaintiff, J. Tom Bronson ("J. Tom"), is his son. J. Tom did not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Powell/Tompkins Families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Powell and Tompkins families are all residents of northeast British Columbia. Mr. Gary Powell ("Gary") was a guide outfitter. He was married to Olive. They had a son, Braden. Gary was killed on October 5, 1983 when the plane he was piloting crashed in fog while attempting to land at the Dawson Creek airport.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Audrey Tompkins ("Audrey") is Gary's sister. Audrey was a bookkeeper and married to the defendant, William Tompkins ("William"). Barry Tompkins ("Barry") is their son. Barry owns the shares of Tompkins Ranching Ltd. ("TRL"). Barry and William both testified at the trial. Audrey has long suffered from Alzheimer's and was unable to give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William is a defendant in the action and specific claims are made against him. Although initially represented by counsel who filed a statement of defence on his behalf, he discharged his counsel long before trial. He was not represented at the trial and his only involvement in the trial was as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Big Nine Outfitters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April 1973, Big Nine Outfitters ("Big Nine") was incorporated to become the purchaser of Gary's guide/outfitting business. The original shareholders were Harold, Eugene, Gary and two other Florida businessmen. By February 1978, the other two investors had long departed and Harold, Eugene and Gary each owned one-third of Big Nine's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February 1978, Harold and Eugene transferred their shares in Big Nine to the Big Nine Trust (the "BNT"). Following Gary's death his shares were transferred to his wife, Olive. In 1986, Olive sold her shares to TRL.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1992, Mr. Ken Hall ("Hall"), a business man from Tennessee, purchased a 22.22% interest in Big Nine. As a result of that transaction, the BNT's interest in Big Nine was reduced to 55.56% while TRL's interest was reduced to 22.22%.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2004, the BNT's remaining shares in Big Nine were sold to TRL (the "BNO Share Transaction"). The BNO Share Transaction is a major focus of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Graham River Outfitters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December 1981, Harold, Eugene, and John Stocks ("Stocks"), a businessman and client of Eugene's, entered into an agreement to purchase a second guide/outfitting business. The vendors were Bill and Bernie Beattie ("Bill" and "Bernie"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May 13, 1982, Graham River Outfitters Ltd. ("GRO") was incorporated to complete the sale and acquire the assets of the Beatties' business. By that time, Tommy had also agreed to participate in the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May 13, 1983, GRO issued four common shares to Gary, who signed a declaration that he held the shares in trust for Harold, Eugene, Tommy and Stocks, or their nominees. When Stocks could not fund his share of the purchase, his interest was transferred to the other three.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Following Gary's death, the GRO shares were transferred to Audrey and subsequently to William. Both Audrey and William signed declarations that they held the shares in trust for Harold, Eugene, and Tommy or their nominees. William is GRO's sole director and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TRUSTS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Big Nine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BNT was established by Harold and Eugene in 1978 to hold their shares in Big Nine. The terms of the trust are set out in a written trust agreement (the "BNT Trust Agreement"). The beneficiaries of the trust were their respective children, Lee and Virginia and Jennifer and Julie. The BNT was established before Davis was born.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BNT Trust Agreement named Gary as trustee. If he was unable to serve, Olive and Audrey were to be the successor trustees. If they, in turn, were unable to serve, Harold and Eugene, or the survivor of them, became the successor trustee(s).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July 1979, Harold and Eugene each sent letters to Gary declaring that if they were unable to serve as trustee, they appointed Howard to act as trustee (the "Revocation Letters").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Gary served as trustee of the BNT until his untimely death. Following his death, Olive and Audrey, and then Audrey alone acted as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1994, Lee and Virginia assigned their interest in the BNT to themselves and Davis (the "Davis Assignment"). Lee, Virginia and Davis then in turn assigned 50% of their interest in the BNT to Tommy (the "Bronson Assignment").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September 2002, Audrey resigned as trustee of the BNT. Eugene renounced his right to act as trustee and Howard assumed the role of sole trustee. Whether he was entitled to act as sole trustee, to the exclusion of Harold, is an issue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February 2004, Howard completed the BNO Share Transaction. Whether Howard had the right to sell the shares and whether the sale was at a fair market value are major issues in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Graham River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Graham River Trust (the "GRT") was ostensibly established in May 1982. While a master trust agreement was prepared, it was not executed. There is no specific written trust agreement other than the declarations of trust that Gary, Audrey and William executed concerning the GRO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this action, the plaintiffs allege that the GRT is a bare trust and that Harold and Tommy are entitled to have their shares of GRO transferred to them. An issue to be decided is whether Harold's and Eugene's interest in GRO is in fact beneficially owned by the BNT. Harold and Eugene used funds that came from the BNT to purchase their interest in GRO.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PROCEDURAL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These proceedings arise from the consolidation of three separate proceedings pursuant to an order (the "Consolidation Order") pronounced April 7,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proceedings that were consolidated were:</w:t>
      </w:r>
      <w:r>
        <w:rPr>
          <w:rFonts w:ascii="arial" w:eastAsia="arial" w:hAnsi="arial" w:cs="arial"/>
          <w:sz w:val="20"/>
          <w:lang w:val="en-US" w:eastAsia="en-US" w:bidi="ar-SA"/>
        </w:rPr>
        <w:cr/>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proceedings commenced on July 15, 2004, in Vancouver Registry No. L041785 by Tommy and others, seeking, in part, an order directing William, as trustee of the GRT, to transfer some of the shares of GRO to Tommy and to Harold;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proceedings commenced on May 18, 2005, in Vancouver Registry No. L051227 by Tommy and others seeking, in part, an order removing Howard as the trustee of the BNT;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proceedings commenced on October 23, 2005, in Vancouver Registry No. L052583 by Howard, seeking, in part, an order declaring the identity of the beneficiaries of the BNT.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Pursuant to the Consolidation Order, each proceeding was treated as if it had been commenced by writ of summons.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plaintiffs filed their initial statement of claim in the consolidated action on June 26, 2006. Statements of defence were then filed by the defendants Howard, Eugene, Jennifer, Julie, William and GRO.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plaintiffs filed an amended statement of claim on March 30, 2007 adding the defendants Margaret Mason ("Mason"), Bull, Housser &amp; Tupper and Bull, Housser &amp; Tupper LLP (collectively "BHT"). The new pleading alleged that Mason had assisted in a breach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Big Nine/BNT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regard to Big Nine and the BNT, the main issue concerns the BNO Share Transaction. The plaintiffs allege that Howard was not authorized to sell the shares, either because he was not the sole trustee or because the BNT Trust Agreement did not authorize such a sale. They submit that Howard failed to properly market the shares and the sale was not at fair market value. In addition, the plaintiffs allege that Howard was in a conflict of interest because he was a creditor of Eugene and that he sold the BNT shares only to assist Eugene who was in serious financial trouble. The plaintiffs seek Howard's removal as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Howard denies any wrongdoing. He says he was authorized to sell the shares and did so in good faith. He submits that the sale was in the best interest of the beneficiaries. Howard submits that at all times while he acted as trustee of the BNT he discharged his duties honestly, in good faith and in the best interests of the beneficiaries. Alternatively, Howard submits that if he was in breach of trust his conduct should be excused pursuant to provisions of the BNT Trust Agreement or s. 96 of the </w:t>
      </w:r>
      <w:r>
        <w:rPr>
          <w:rFonts w:ascii="arial" w:eastAsia="arial" w:hAnsi="arial" w:cs="arial"/>
          <w:i/>
          <w:color w:val="000000"/>
          <w:sz w:val="20"/>
          <w:lang w:val="en-US" w:eastAsia="en-US" w:bidi="ar-SA"/>
        </w:rPr>
        <w:t>Trustee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464</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claims against Mason and Eugene of assisting in a breach of trust arise out of actions they took to facilitate the BNO Share Transaction. It is alleged that they assisted in the sale knowing that Howard did not have the power to sell the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GRO/GRT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regard to GRO and the GRT, the issues include the nature and extent of William's duties and obligations as trustee of the GRO shares and as GRO's sole director and officer. The plaintiffs submit that William is a bare trustee and his sole duty is to transfer legal title to the trust property on demand by and in accordance with the instructions of the beneficial owners. To resolve those issues it will be necessary to first determine the beneficial owners of the GRO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The Protagonists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So that the reader can more fully understand the context of events, it is necessary at the outset to briefly review the lives and careers of the main protagonists: Harold, Eugene, Tommy and Howard. They have all known each other for at least 50 years. All were born and raised and have spent almost their entire lives in Florida.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Harold and Eugene are brothers who practised law together for many years. In the 1970s their love of hunting brought them to northeast British Columbia, thousands of miles from their Florida home, where they invested in the guide outfitting business that became known as Big Nine. Over the years they have both suffered numerous financial reverses and have looked to Tommy and Howard to assist them in their times of trouble.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Tommy and Howard are very successful businessmen who have run and operated numerous companies. Howard is married to Harold and Eugene's sister. Over the years they have financially assisted Harold and Eugene. They have been individually closer to Harold and Eugene than to each other, but both respect the other's business acumen.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 Harold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Harold is presently 72 years of age. He married his wife, Susan, on February 25, 1967. Harold and Susan were divorced on July 21, 2002. Their children, Lee, Virginia and Davis were born in 1969, 1971 and 1982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Harold graduated with a degree in Business Administration from the University of Florida in 1959. He then attended the Stetson College of Law in St. Petersburg, Florida, where he obtained his law degree in 1962. From 1963 to 1969, he held a series of positions with the Florida state government, including Deputy Mortgage Commissioner, Deputy Controller, and Assistant Attorney 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1969, Harold formed a private law firm in Tallahassee, Florida. Harold remained in private practice until 1989. His practice included trial work at all levels of Florida's courts. He also acted as a government lobbyist representing industries and businesses before the Florida legislature, administrative tribunals and the courts. He was actively involved in the Florida Democratic Party and state politics.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Until the mid 1980s, Harold was a regular visitor to Big Nine. During this time he was the main liaison between the Florida investors and Gary, and then subsequently Barry. He would regularly report to Eugene and Tommy about events at Big Nine and GRO. In 1988, he and Barry had a falling out and Harold did not go again to British Columbia for 12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1989, Harold returned to government service. Initially, he was a senior attorney with the Florida Department of Health and Rehabilitative Services. In 1990, an old friend became Governor of Florida and Harold became General Counsel to the Governor. When the Governor was re-elected in 1994, Harold was appointed Chief Inspector General for the State of Florida.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As Inspector General for the State of Florida, Harold was the Governor's chief negotiator in the settlement of litigation that Florida brought against the tobacco companies. The case was ultimately settled for $13.4 billion dollars, which was at that time the largest civil settlement in the history of American jurisprudence.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Subsequent to the settlement, Harold, in November 1997, was accused of wrongdoing and forced to resign his position. He was the subject of numerous state and federal investigations concerning allegations he had been receiving gifts or benefits from persons doing business with the government. After four years of extensive investigations, lasting some 1,378 days, no probable cause was found and no charges were brought against Harold.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Harold's career was, however, adversely affected by the investigations. After resigning, Harold was out of work for several months. In July 1998, the Governor appointed him Senior Attorney for the Florida State Retirement System. He continued in this position until the election of November 1998. The newly elected Republican administration then terminated Harold together with hundreds of other Democratic appointments.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Over the next two years, Harold spent most of his time preparing a manuscript concerning his involvement in the tobacco litigation which he had managed on behalf of the State of Florida. He completed the manuscript in April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By April 2000 Harold felt completely burnt out. His marriage was in trouble and he did not want to be in Florida for the 2000 presidential election. In June 2000, he left his wife and moved to Crying Girl Prairie ("Crying Girl"), which forms part of the GRO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Crying Girl is located approximately 120 miles northwest of Fort St. John, BC. It is a completely isolated location. The nearest telephone and fax machines are 40 miles away. Mail goes to a post office box in Fort St. John.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When Harold moved to Crying Girl, he left behind in his garage his personal files, including his papers concerning Big Nine, the BNT and GRO. When he returned to Florida in November 2000, he learned that his wife had had his personal papers taken to the dump.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From June 2000 through to 2007, save and except for some brief trips back to the United States, Harold lived by himself at Crying Girl. He would pick up his mail once every five weeks. While he was living at Crying Girl, Harold and Tommy gave consideration to various schemes to make GRO profitable.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iii. Eugene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Eugene is two years younger than Harold. He is married to Mary Lou. They have two children, Jennifer and Julie. In January 1980, Eugene established the A.E. Lewis Family Trust (the "Lewis Family Trust"). The beneficiaries of the Lewis Family Trust are Eugene, Mary Lou, Jennifer and Julie.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Eugene is trained both as an accountant and lawyer. He obtained a Master's degree in tax law from New York University. He worked as a Certified Public Accountant with Arthur Andersen in Atlanta. In 1971, he joined Harold's law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Eugene and his family travelled to Big Nine almost every summer. After Harold returned to state government, Eugene became the main liaison between Barry and the Florida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Harold and Eugene practiced law together until the mid 1980s when Eugene left to run a restaurant and lounge business known as Studebaker's. Studebaker's had several locations throughout Florida. Unfortunately, Studebaker's was singularly unsuccessful and ultimately failed.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By October 1991, Eugene had judgments recorded against him of approximately $3,600,000. In addition, he owed several hundred thousands of dollars to various friends and acquaintances that had provided him with financial assistance. His home was under foreclosure.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the 1990s, Eugene returned to the practice of law. He formed a partnership with Buster White. He and Mr. White continue to practice law together as Lewis and White.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the late 1990s, Lewis and White became embroiled in a dispute with a former client, Mr. Holt (the "Florida Proceedings"). They brought suit against Mr. Holt claiming certain legal fees. Mr. Holt counter-claimed. On October 1, 1999, Mr. Holt was awarded a judgment of $388,274 (the "Florida Judgment"). Included in the Florida Judgment was a claim of $65,000 against Mary Lou as trustee of the Lewis Family Trust. Eugene's appeal of the Florida Judgment was dismissed on September 21,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Over the years, Eugene's relationship with Harold has become strained. When Harold left Florida in 2000 and moved to Crying Girl, he gave Eugene a power of attorney. Shortly thereafter, certain events, including the destruction of Harold's personal papers, further poisoned their relationship and the power of attorney was cancelled. Eugene and Harold have not spoken to each other since August 2000.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iv. Tommy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Tommy is 73 years old. He graduated from the University of Tennessee in 1959 and embarked on a successful business career. He has run numerous corporations over the years, including the largest cement company in the United States. In the course of his career he has been involved in the purchase and sale of at least 60 businesses.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Tommy first met Harold when both were in high school and involved in the Kiwanis International Boys Organization. When Harold was at university he lived with Tommy's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Tommy made his first loan to Harold in 1959 when he lent him $500 to get him through his law school graduation. Over the years he has, on several occasions, lent money to both Harold and Eugene.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After Harold went back to state government, Tommy often advanced money to Harold and assisted in financing the education of Harold's children. By the mid 1990s, Harold owed Tommy more than $300,000. Of that sum, $135,000 was secured by a mortgage on Harold's home. To retire the balance of the indebtedness, Harold's children, in 1994, agreed to assign to Tommy one-half of their interest in the BNT. Since 1994, Tommy continued to support Harold financially.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Tommy took little interest in his Big Nine or GRO investments until Harold moved to Crying Girl. Thereafter, he became involved in various proposals to make GRO economically viable.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v. Howard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Howard graduated from the University of Florida in 1960. In 1964, he married Sarah Jane, Harold and Eugene's younger sister. He first met Harold in 1955. He has known Tommy since approximately 1959.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Howard is a successful businessman. He is president of Hewitt Contracting Ltd., a heavy construction contracting company that primarily does business in Florida. He is also the principal of several other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Over the years, Howard has provided financial assistance to Harold, Eugene and other family members. In 1978, he lent money to the Lewis brothers' law firm. For several years, he paid outstanding taxes on Harold's home and on at least two occasions has covered outstanding debts that Harold owed to third parties. When Harold's marriage to Susan collapsed, he found accommodation for her and assisted her with her legal bills during her divorce proceedings. He helped pay for Virginia's and Jennifer's weddings.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From October 18, 1983 to December 26, 1987, Howard was a trustee of the Lewis Family Trust. At that time the main asset of the Lewis Family Trust was a Lear jet. Pursuant to a contract with a Tallahassee hospital, the jet was used to retrieve organs for transplant. When the jet was sold, Howard resigned as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Howard assisted Eugene after the release of the Florida Judgment by posting a bond pending appeal. When the appeal was dismissed, he paid $156,000 to partially satisfy the judgment. He took as security for that payment a mortgage on Eugene's home. That debt remains outstanding.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The Properties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litigation concerns two separate properties located in north-eastern British Columbia. At the times material to this action the properties and their assets were owned by Big Nine and GRO respectively. The descriptions that follow reference the properties as they existed at the time of the BNO Share Transaction.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 Big Nine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Big Nine covers approximately 1,100 square miles, most of which is contained within the Northern Rocky Mountains Park. It is located approximately 140 kilometres southeast of Fort Nelson, BC. There is no road access to the property. Access is by private plane and customers and supplies are flown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Big Nine offered hunting excursions, including sport and trophy hunting, to resident and non-resident clients. Big Nine operated under a guide outfitter's certificate which provides exclusive guiding and outfitting rights in the guiding area. It was subject to certain hunting quotas which have varied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Big Nine's customers hunted various species including stone sheep, mountain goat, elk, moose, caribou, mule deer, grizzly bear, black bear, and wolf.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Within its guiding area, Big Nine owned 136 acres of land. It had a main lodge and four satellite base camps which it occupied under licensing permit with cabins and other amenities. Its base camps were equipped with a cook house, hunters' cabin, walk-in cooler, shower and wash house, as well as smaller support buildings. The base camps were serviced by air, having radio communications and a 2,000 foot air strip.</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iii. GRO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GRO owns approximately 654 acres of fee simple land and improvements on the Graham River, approximately 120 miles northwest of Fort St. John. As will be set out in the chronology, the property was bought in two separate transactions. The original 404 acres were bought from Bill and Bernie (the "Beattie Property"). The Beattie Property consisted of 300 upstream undeveloped acres on the Graham River and 104 acres consisting of the lodge, corrals, cabins, tack room, barns and part of the air strip. The lodge area is known as Crying Girl Prairie and became Harold's home commencing in 2000. Adjoining the lodge area is a further 250 acres which was purchased in 1985 from Herb Lindley (the "Lindley Property"). The Lindley Property consists of some 250 acres and includes the remainder of the air strip, a cabin and some horse pasture fencing.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Chronology of Events: 1971-2002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events relevant to this action span more than 30 years. The chronology that follows is drawn from several sources, including the testimony of the participants, financial statements, contemporaneous letters and memos prepared as events unfolded and numerous documents that were tendered at trial. While much of what happened is uncontested, the parties differ as to the legal consequences. I will note facts that are in dispute and where necessary will resolve those disputes once I have outlined the various matters in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 Purchase of Big Nine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the fall of 1971, Harold and two Florida friends went on a hunting trip in the territory that was to become Big Nine. Gary, who at that time was operating Gary J. Powell Outfitting Ltd., was the guide outfitter. The trip was a success and Harold made arrangements to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the spring of 1972, Harold, Eugene and several other friends from Florida returned for a bear hunt. Harold was impressed with Gary and the way the operation was run. During the course of the hunt, Harold learned that Gary was considering selling his company to another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Eugene, Harold, and two of their friends, Mallory Horne and William Dean Barrow, who were both Florida state senators, offered to purchase Gary's business for $300,000 with Gary remaining as an equal partner. Gary accepted their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On April 19, 1973, Big Nine was incorporated. Its initial shareholders were Harold, Eugene, Gary, Horne and Barrow who each held 20% of the stock. Gary and Olive were appointed as directors. On June 18, 1973, Big Nine acquired all of the assets of Gary J. Powell Outfitting Ltd. Gary remained on as the guide outfitter and continued to run the operations as he had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1975, both Horne and Barrow suffered financial reversals and were no longer able to meet their obligations under the purchase agreement. They transferred their shares to Harold, Eugene and Gary, who then each owned one-third of Big Nine's shares.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iii. Creation of the BNT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its early years, Big Nine was a financial success. By 1978, the loans that had been taken out to acquire the company had been paid in full.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1978, Canadian tax law changed. A foreign-controlled Canadian company now paid tax at a greater rate than a Canadian-controlled corporation. In order to take advantage of the lower tax rate, Harold and Eugene created a Canadian-controlled trust to hold their interest in Big Nine.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BNT was created on February 1, 1978. Pursuant to the provisions of the BNT Trust Agreement, Harold and Eugene transferred their shares in Big Nine to the BNT. Gary was appointed trustee. If Gary was unable to act as trustee, Olive and Audrey were to be co-trustees. Failing Olive and Audrey, Harold and Eugene, or the survivor of them, would be co-trustees.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Pursuant to the terms of the BNT Trust Agreement, the grantors, Harold and Eugene, reserved the right to revoke the trust entirely and to receive from the trustee all of the trust property. This provision proved problematic. In 1979, Harold and Eugene were advised that the Canadian taxing authorities were not satisfied that Big Nine was, in fact, a Canadian-controlled corporation because Harold and Eugene retained the right to revoke the trust at any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On July 10, 1979, Harold and Eugene signed the Revocation Letters renouncing and disclaiming their power to revoke or amend the trust. The Revocation Letters, which play a vital role in subsequent events,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Mr. Powell: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Having been fully apprised in the premises of my right to revoke, alter or amend the above Trust Agreement as provided in paragraph Ten thereof, I hereby renounce and disclaim any power to revoke, amend or in any way alter said Trust Agreement, individually, or as a successor Trustee, and declare such Trust Agreement to be irrevocable by me from this date forward.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event I am unable to serve as successor Trustee for any reason as provided in paragraph 15 thereof, I hereby appoint Howard H. Hewitt of Leesburg, Florida to act in my place and stead. I hereby renounce any right to remove or replace or appoint any present or future Trustee of said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At the time that the Revocation Letters were prepared, Harold and Eugene's involvement with Citizens Commercial Bank of Tallahassee was causing them financial difficulty. Harold was chairman and Eugene was a director of the bank. In July 1979, the Federal Reserve issued a cease and desist order against the bank for unsafe and unsound banking practices. In making the trust irrevocable, Harold and Eugene hoped to keep Big Nine out of the hands of their creditors.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iv. Purchase of GRO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Big Nine continued to prosper into the early 1980s. It regularly paid dividends to its shareholders, the BNT and Gary.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When the guide outfitting business owned and operated by Bill and Bernie came on the market in 1981, Gary recommended to Harold and Eugene that they purchase it. Bill was Olive's brother.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Harold and Eugene recruited a Florida business associate, Stocks, as a fellow investor. At this time, Stocks was involved in a lawsuit with the United States government with Eugene as his counsel. A judgment had been rendered in Stocks' favour for approximately $6 million. Stocks anticipated using a portion of the judgment to fund his share of the investment. He was also going to lend to Harold and Eugene the money they needed to fund their share of the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On December 31, 1981, Harold, Eugene, and Stocks entered into an agreement with Bill and Bernie to purchase the assets of their outfitting business (the "Beattie Purchase'). The assets included a guiding area of approximately 1,500 square miles known as the Graham River block, a trapline (the Trapline"), certain guide and outfitters' certificates, trapping licenses, grazing permits, and fee simple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purchase agreement contemplated two deposits in the amount of $25,000 with the balance of $350,000 to be paid on closing. Gary used BNT money to pay the two $25,000 deposits.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the spring of 1982, Tommy was invited to join the investment. He agreed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Before the GRO sale could close, the United States government appealed Stocks' judgment and in the result, Stocks could not fund his share of the purchase. Nor was he able to lend money to Harold and Eugene that they could use to fund their share of the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Harold and Eugene had contemplated that their interest in GRO would be held in a trust for their children, but a trust separate from the BNT. From Harold's perspective, this was of some importance as Davis who had been born on April 13, 1982 was not a beneficiary of the BNT. On May 6, 1982, Harold reported to Tommy and Stocks that he and Eugene intended to have their GRO interest held in a Canadian trust. He sought their instructions as to how they wished their interest held.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On May 13, 1982, GRO was incorporated. The Beatties were appointed directors and four Class "A" common shares were issued to Gary who signed the following Declaration of Trust: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HEREBY DECLARE that the Four (4) class "A" Common shares in the capital of Graham River Outfitters Ltd. represented by Certificate number three (3) is held by me in trust for the following persons: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HAROLD D. LEWIS or Nominee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EUGENE LEWIS or Nominee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JOHN R. STOCKS or Nominee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THOMAS E. BRONSON or Nominee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I have no interest whatsoever in the said shares, other than that of a bare Trustee, and that any distribution, whether of income or capital, and whether in cash or otherwise, does not in any manner belong to me but is the property of: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HAROLD D. LEWIS or Nominee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EUGENE LEWIS or Nominee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JOHN R. STOCKS or Nominee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THOMAS E. BRONSON or Nominee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WITNESS MY HAND AND SEAL this 13th day of May, A.D., 1982.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On May 17, 1982, a Master Trust Agreement was prepared between Eugene, Harold, and Stocks as grantors and Gary as trustee. By its terms, the trust property was to be held for the benefit of Harold, Eugene, Stocks and Tommy. The Master Trust Agreement was signed by Harold, Eugene and Stocks. It was never signed by Gary.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closing of the Beattie Purchase took place on May 31, 1982. On closing, the Beatties were paid $250,000 in cash. Of that sum, $100,000 was paid by Tommy and $150,000 was paid from the BNT.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When Stocks was unable to come up with his share of the purchase price, the Beatties agreed to accept from Stocks on closing a one year $100,000 note (the "Stocks Note"). Interest on the Stocks Note was set at 14.5%.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May 1983, the Beatties agreed to a six month extension on the Stocks Note. The BNT paid the interest then owing on the Note.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1983, Harold and Eugene arranged to purchase the Lindley Property for $125,000. They paid $10,000 down with the balance due in three instalments. The first instalment of $31,667 was due on September 30, 1983. The down payment and first two instalments were paid by the BNT.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November 1983, Stocks advised that he did not want to continue in the investment. On January 31, 1984, the Beatties were paid $109,732.88 being the balance then owing on the Stocks Note and they assigned the Note to Tommy. Of the $109,732.88 paid to retire the Stocks Note, the BNT paid $70,000 and Tommy the balance.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Stocks subsequently agreed to sign over his shares in GRO in consideration of the Stocks Note being cancelled.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May 1984, the BNT paid the second instalment due on the Lindley purchase. The funds to make the purchase had been initially lent to Harold and Eugene by a Mr. Blanchard.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At the time of the GRO purchase, it was agreed that Bill and Bernie would stay on and manage GRO for the next two years. In the spring of 1982, the Beatties separated and Braden and his wife Valerie became involved in GRO's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On January 20, 1983, Braden replaced Bernie as a director. In February 1984, after the Stocks Note was paid, Audrey replaced Bill as a director and Braden took over as the guide outfitter. Bill transferred the Trapline to Braden.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v. Death of Powell and Aftermath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On October 5, 1983, Gary was killed when the plane he was piloting crashed in fog just east of the Dawson Creek airport. He had been the guiding force and manager of Big Nine's operations. There was nobody immediately available to replace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Olive was the executrix of Gary's will and sole beneficiary. She became the owner of his Big Nine shares and the registered owner of the four Class "A" common voting shares of GRO that he held in trust. Those shares were subsequently transferred to Audrey. On June 12, 1985, she signed a Declaration of Trust in identical terms to that Gary had signed on May 13, 1982, save and except that the reference to Stocks was deleted and each of Harold, Eugene and Tommy were said to have a 33 1/3 % interest in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On Gary's death, pursuant to the terms of the BNT Trust Agreement, Olive and Audrey became the co-trustees of the BNT. Audrey replaced Gary as a director of Big Nine.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Olive attempted to carry on as operator of Big Nine. It soon became apparent that she was unable to do so successfully and Big Nine suffered financially. The number of hunts fell from 100 in 1983 to 20 in 1985.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To salvage the situation, it was necessary to find a new guide outfitter. In February 1986, TRL agreed to purchase Olive's shares and Barry took over as Big Nine's guide outfitter.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Olive sold her shares in Big Nine for $500,000. She received $330,000 in cash, together with certain equipment and property that Big Nine owned in Yuma, Arizona. The property and equipment were valued at $170,000.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To finance TRL's purchase of Olive's shares, Big Nine borrowed $330,000 from the Royal Bank. Big Nine then lent those funds to TRL who, in turn, used them to pay Olive the cash component of the purchase price. A term of the bank loan was that Big Nine would be prohibited from making further distributions to its shareholders until the loan was repaid.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Olive resigned as co-trustee of BNT, leaving Audrey as sole trustee. Barry replaced Olive as a director of Big Nine.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vi. Sale of GRO's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By the end of the 1986 hunting season, it was clear that Braden could not make a go of the GRO operations. The GRO guide and outfitting business, except for the Trapline, was sold to a Mr. Young for $150,000. Braden transferred the Trapline to William. Tommy, out of his share of the GRO sale proceeds, made the final payment under the Lindley Purchase, thereby equalizing the interests of Harold, Eugene and Tommy in GRO. Braden resigned as a director and Audrey carried on as GRO's sole director and officer.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vii. The Hall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January 1991, Hall expressed interest in purchasing a 25% interest in Big Nine. It was initially contemplated that each of the three sets of existing shareholders of BNO, being Harold and his family, Eugene and his family, and TRL would each sell 8.33% of their shares to Hall.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Audrey sought legal advice from BHT on the proposed sale. The file was referred to Mason, who at that time was a junior associate of approximately five years' experience. Mason advised Audrey that as trustee she had the power to deal with the trust assets in any manner she saw fit, bearing in mind the best interests of the beneficiaries of the trust. In particular, if she wished to sell the shares, she had the power to do so. Before the sale closed, Mason went on maternity leave and Mr. Stout, another lawyer at BHT, took conduct of the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Harold ultimately opposed the sale. Using funds advanced by Tommy, he retained Stephen MacAdams, a Fort St. John lawyer. On February 27, 1992, MacAdams on behalf of Harold, Lee and Virginia wrote Audrey, her solicitor Mr. Pomeroy, Mr. Hall and TRL raising several objections to the proposed sale and threatening legal action if the sale proceeded.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On March 6, 1992, Mr. Stout on behalf of Audrey responded to Mr. MacAdams. He advised that Audrey was authorized to sell the shares and set out in some detail his disagreement with the points raised in the MacAdams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Ultimately, it was agreed between Audrey, Hall, Tompkins and Eugene that only the shares of TRL and Jennifer and Julie would be sold as part of the transaction. In the result, Hall eventually purchased 22.22% of Big Nine. TRL's interest and Jennifer's and Julie's beneficial interest in Big Nine were each diluted to 22.22% while Lee and Virginia's beneficial interest remained at 33.33%. Jennifer and Julie shared in the proceeds of the sale. No money was received by Lee or Virginia.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Hall died shortly after the purchase. His interest is now held in trust for members of his family. Barry is the trustee of that trust.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viii. Davis Assignment/Bronson Assignment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early 1994, pursuant to the provisions of the Davis Assignment, Lee and Virginia assigned their interest in the BNT to themselves and Davis. Lee, Virginia and Davis, in turn, then entered into the Bronson Assignment, assigning 50% of their interest in the BNT to Tommy.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background to the Davis Assignment was Harold's long desire to have Davis formally acknowledged as an equal beneficiary of Harold's family interest in the BNT. Davis had been born four years after the BNT was created and the BNT did not have any provision to accommodate future offspring of the grantors.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purpose of the Bronson Assignment was to settle Harold's debt to Tommy. Throughout the 1980s and into the 1990s, Tommy had been advancing funds to Harold. Much of the money had been used to pay for the education of Harold's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recitals to the Bronson Assignment included the following provisions: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Big Nine Trust owns, among other assets, a 55.55% interest in Big Nine Outfitters, Limited ("BNO") a guiding outfitting business, and, through the Graham River Trust, a 66.67% interest in Graham River Outfitters, Ltd. ("GRO"), a British Columbian land holding company both of which are located in the north-eastern area of the Province of British Columbia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Bronson Assignment was drafted by Harold's lawyer, Dexter Douglass, in consultation with Eugene. Mason, when consulted by Audrey concerning the Bronson Assignment, had a concern as to whether Harold and Susan, as Davis' parents could, on his behalf, agree to the assignment, Davis then still being a minor. To alleviate that concern, Harold, Eugene, their wives and children all signed an indemnity in Audrey's favour protecting her from any claims arising out of the Bronson Assignment.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ix. Big Nine: 1986-2002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Barry took over the management of Big Nine in February 1986. He initially signed a five-year management contact which paid him $30,000 per year. In 1994, his salary was increased to $50,000 a year. Pursuant to the management contract, he was given full authority to manage Big Nine's operations. While extraordinary expenditures were supposed to be approved by the company, Barry, in fact, ran Big Nine with minimal oversight. From time to time, Barry would provide reports to Big Nine's shareholders.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As a result of the Hall transaction, TRL was able to repay most of the funds it had borrowed from Big Nine to finance its purchase of Olive's shares. Throughout the 1990s, all of Big Nine's profits were used to improve the physical plant. From 1990 through to 2001, no distributions were made to the BNT or its beneficiaries.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In his 1996 report to the shareholders, Barry noted that Big Nine was the largest wilderness hunting operation in North America. He suggested the company was probably worth at least double what it was in 1986.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During the 1990s, the guide hunting business became subject to increasing government regulation. Certain species became subject to quotas. Barry explored eco-tourism as an alternative source of revenue. He initially believed that same would be most profitable and considerable sums were spent upgrading Big Nine's facilities to make Big Nine attractive to such visitors. In spite of Barry's initial optimism, few eco-tourists ever ventured to Big Nine.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Throughout the 1990s, Audrey remained as a director of Big Nine and did its bookkeeping. By 2000 or so, she began to suffer the onset of Alzheimer's disease and her active involvement became less and less. She remained, however, the trustee of the BNT, a director of Big Nine, and the sole shareholder and director of GRO.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x. GRO: 1986-2002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After the sale of GRO's guide and outfitting business to Mr. Young, little happened at GRO until Harold's arrival in June 2000. It was his first visit in 12 years. On arrival he learned to his great surprise that Mr. Young had not just been using the cabins for his outfitting business, but was, in fact, operating a revenue-producing campsite on the property without permission from GRO. After some discussions, Mr. Young acknowledged he had been using the property without authority and agreed to a financial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While Harold had done much of the initial work, Tommy assisted in settling matters with Mr. Young. Thereafter, Tommy became interested in exploring the economic potential of the GRO property. Before any projects could be carried out, it was necessary to regularize GRO's affairs and bring its corporate records up to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Starting in 2001, Tommy had numerous discussions with Eugene concerning proposed uses for GRO, but the parties were unable to agree on how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 Chronology of Events: 2002-2004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events which give rise to these proceedings start with Howard's appointment as a trustee of the BNT in September 2002 and culminate in the BNO Share Transaction in February 2004. To put the evidence into context, it is first necessary to briefly review the circumstances as they existed in the summer of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By July 2002, Audrey was in failing health and no longer capable of performing her duties as trustee. The corporate records of GRO had not been kept up and financial statements for Big Nine and the BNT were not being prepared in a timely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Harold was living at Crying Girl and, with Tommy's encouragement, attempting to determine whether GRO could become economically viable. His marriage had ended. He was dependent on his children and Tommy for financial support. He and Eugene had had a final falling out and had not spoken to one another since August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Eugene was in financial difficulties. His appeal of the Florida Judgment had been dismissed. In December 2001, Howard had paid $156,000 to settle a portion of the Florida Judgment and had taken a partial assignment of the Florida Judgment for security. Applications were pending to try to sell Eugene and Mary Lou's home to satisfy the amounts still 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Tommy, who had for years shown little interest in the affairs of Big Nine, the BNT or GRO, had become re-engaged. In July 2002, he travelled to Fort St. John and was taking steps to have GRO's corporate affairs put in order. On July 8, 2002, he wrote Eugene and Harold and advised that he wanted to be kept in the loop in matters involving Big Nine and the BNT.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 Howard's Appointment as BNT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By the summer of 2002, Audrey was no longer capable of performing her duties as trustee. On July 22, 2002, Eugene emailed Garry Callison ("Callison"), a Fort St. John lawyer who acted for BNO and Audrey. He advised Callison that Audrey wished to resign as trustee of the BNT and it was necessary to get all BNO's corporate records up to date before she did so. Eugene advised Callison that under the trust he and Harold were the successor trustees unless they could not or would not serve. He advised Callison he would not serve.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On July 24, 2002, Eugene again emailed Callison. In the email he asked who the present directors of Big Nine were and what was needed for Audrey to resign. He wrote that he wanted to make sure that Howard became the successor trustee and that it was important that the shares of Big Nine remain in the BNT and not be distributed to the beneficiaries.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On July 24, 2002, Callison called Mason and advised her that Audrey was becoming senile and requested that she call Eugene concerning the BNT. Mason had not been involved with the BNT since October 1995 when she had forwarded to Audrey the executed Bronson Assignment indemnity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On July 25, 2002, Mason called Eugene. Mason made notes of their conversation. In the conversation, Eugene advised Mason that he and Harold had named Howard as successor trustee and that Howard was willing to accept the trusteeship. He told Mason that he wanted to keep Harold out of the trusteeship. Mason starred that comment. She testified that a star indicated that point had been emphasized by Eugene.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On July 26, 2002, Eugene faxed to Mason the BNT Trust Agreement, the Revocation Letters and the 1997 BNT financial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Mason reviewed the material upon its receipt. On August 2, 2002, she sent an email to Eugene advising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Gene - I have reviewed my files and the documents. Although there are a few "gaps" in the wording which create a bit of uncertainty, the basic route of the trusteeship is as follows:</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Audrey dies/resigns;</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Gene and Harold (or survivor) become co-trustees;</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either Gene or Harold resign or die, Howard steps up;</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Howard dies, or refuses to accept his appointment, then the last man standing (either Gene or Harold) would appoint a new trustee by deed pursuant to section 27 of the Trustee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and Harold could of course both resign and Howard could step up. An agreement could be reached with Howard that he, by deed, make a new appointment.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On August 2, 2002, Eugene responded to Mason's email and advised her the matter could await her return on August 20 and in the interim he would send "a memo with several of Howard's questions and one of Yommy's (sic)".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On August 5, 2002, Eugene sent an email to Tommy. He advised that he had received an email from Mason advising she had requested the BNT files from archives but would be on vacation through August 20 and be back in touch upon her return. He did not pass on to Tommy Mason's advice that Harold became a co-trustee upon Audrey's resignation.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On August 22, 2002, Eugene sent the following email to Mason: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 Margaret and welcome back. I want to avoid being a co-trustee upon Audrey's resignation so that Howard steps up for me and Audrey steps down. I do not know what Harold intends to do but at a minimum that would make Howard and Harold co-trustees would it not? What do I need to do to resign any possible appointment as successor? Howard will accept for me (and Harold too if he steps down). What kind of document do we need so that Howard assumes no liability etc. for events prior to his appointment?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 you for your help. Gene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On August 23, 2002, Mason responded to Eugene: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I've been thinking about this. I suggest you wait until Audrey steps down to ensure that you keep at least some level of control over the situation. When Audrey does step down you would simply do a deed of renunciation and then Howard's appointment as created the 1979 letter of direction would take effect. Howard and Harold would be co-trustees providing that Harold takes up his appointment.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On September 4, 2002, Eugene again emailed Mason. In his email, he indicated that it was best that he renounce before Audrey resigned so he did not become a trustee at any time and Howard became at least co-trustee immediately upon Audrey's resignation. He further advised that he had "no current information on Harold's intentions but [did] not want his action [or more likely inaction] to delay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Eugene copied Howard with his September 4, 2002 email to Mason. That email included the earlier email communications passing between Eugene and Mason of August 23, August 22 and August 2, 2002, in which Mason had reported to Eugene on the successor trusteeship route.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Almost simultaneously with these events, on September 11, 2002 Mary Lou, as trustee of the Eugene Family Trust, and Eugene and Mary Lou in their personal capacities made a promissory note in favour of Howard in the amount of $156,000. On the same day they granted Howard a second mortgage on their home in the amount of $156,000. The promissory note and mortgage were to secure the amounts Howard had paid to partially settle the Florida Judgment. The promissory note, the second mortgage and the partial assignment of final judgment were the only security that Howard had for that debt.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On September 12, 2002, Mason sent an email to Eugene attaching the documents necessary to effect Audrey's resignation. The documents included: 1) a release and indemnity for Audrey which each beneficiary needed to sign (the "Audrey Indemnity"); 2) Audrey's resignation; 3) Eugene's renunciation; 4) Howard's acceptance of trusteeship (the "Acceptance"); 5) an indemnity for Howard (the "Howard Indemnity") (collectively the "Mason Resignation Documents"). Mason did not prepare a renunciation for Harold.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Mason says that when she prepared the Mason Resignation Documents she considered herself to be acting for Audrey. She did not, however, speak to Audrey or obtain any instructions from her. Nor did she give Audrey any advice concerning the timing of her resignation or the possible risks she may be at if she resigned before the Audrey Indemnity was signed. She did, however, tell Eugene that, although Audrey could resign before the Audrey Indemnity was executed by all beneficiaries, she could not recommend it because Audrey's resignation was the only leverage Audrey had to get the beneficiaries to sign the Audrey Indemnity.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On September 26, 2002, Mason sent Audrey a bill for $1,650. She did not follow up as to whether any of the documents she had prepared were executed. Some months later she closed her file and she did not hear further until Eugene contacted her in January 2004 and asked her to act for Howard in regard to the BNO Share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After he received the Mason Resignation Documents, Eugene spoke to William and arranged for Audrey to sign her resignation in advance of the beneficiaries signing the Audrey Indemnity. As detailed below, some beneficiaries never signed the Audrey Indemnity.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Eugene edited the Mason Resignation Documents and prepared a renunciation for Harold (the "Eugene Resignation Documents"). The Harold renunciation letter that Eugene prepared differed from the Eugene renunciation prepared by Mason by the added words "and pursuant to my previous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On September 18, 2002, Eugene executed his renunciation as a trustee of the BNT. Attached as Schedule "A" to his renunciation was his Revocation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On September 30, 2002, Audrey resigned as trustee of the BNT and Howard executed the Acceptance. That same day the BNT shares in Big Nine were transferred from Audrey to Howard.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Howard testified that Eugene came to him in September 2002 and advised him of the Revocation Letters. He said until that time he had no idea that he had been named back in 1979 as a successor trustee to Eugene and Harold. He testified that he was less than thrilled about being asked to be trustee, but accepted out of a sense of family obligation. He believed he could act in the interest of his various nieces and nephews who were the main beneficiaries of the BNT.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Howard says that he was not told that Harold had the right to become co-trustee with him. He says that he never would have served as co-trustee with Harold. He did not respect Harold's business judgement and felt he had acted badly when he deserted his family and encamped to Crying Girl. Further, he did not like working through committees.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Howard testified that before he agreed to become trustee he spoke to Mason, who confirmed that his appointment was in order. On his examination for discovery, he said Mason told him he would be the sole trustee. Mason denies ever speaking to Howard concerning his appointment. She has no notes or other documents which would indicate that such a conversation took place.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iii. Disclosure of Howard's Appointment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Harold, Tommy and Harold's children were not given advance notice of Howard's appointment as trustee, nor were they told of Mason's advice that Harold had the right to be co-trustee.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first disclosure of Howard's appointment came on September 28, 2002. On that day, Susan remarried. Following the wedding, Virginia and her husband were invited to dinner at Eugene's home. At the end of the evening, Eugene told her that Audrey could no longer serve as trustee and that it had long ago been agreed that Uncle Howard would replace Audrey. He gave her a copy of the Eugene Resignation Documents and asked her to sign the Audrey Indemnity and Howard Indemnity.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Included in the Eugene Resignation Documents were blank copies of the Harold and Eugene renunciations. Both renunciations referenced their Revocation Letters as Schedule "A" but the Revocation Letters were not attached.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Virginia was not comfortable signing the documents but did agree to deliver them to Lee and Davis. After discussion among themselves, Virginia, Lee and Davis each signed the Audrey Indemnity and Howard Indemnity on the understanding that they would then forward the signed documents to Tommy for his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On October 3, 2009, Lee phoned Tommy concerning the Eugene Resignation Documents. He then faxed the documents to Tommy's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After speaking to Lee, Tommy called Eugene and asked him about the documents Lee had discussed with him. Eugene told him that the documents had been prepared by BHT and concerned Audrey's resignation and the appointment of Howard as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On October 4, 2002, Eugene emailed to Tommy a copy of the Eugene Resignation Document which had initially been given to Virginia. In the email, he advised that Audrey's resignation and Howard's replacement occurred on September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On October 10, 2002, Tommy forwarded a memo to Eugene seeking a response to various questions so he could get up to speed on the BNT. Among other matters, he sought a copy of the BNT Trust Agreement, advice concerning the circumstances that existed in 1979 that led to the creation of the BNT, and whether there was any business or other purpose in continuing the BNT. He also asked for copies of the document naming Howard as successor trustee and if both Lewises had resigned, the dates of their resignation, and copies of both. He also asked for a copy of Eugene's correspondence with Mason.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On October 23, 2002, at 4:59 p.m., Eugene sent an email to Tommy in which he advised that he was faxing to him copies of his fax to Mason which had a copy of the trust, 7/10/39 [sic] letters to Gary etc. and the last financial statement he had on BNT.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On October 23, 2002, at 5:00 p.m., Eugene sent a fax to Tommy. The cover sheet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Tommy - Following are my faxes to Margaret which have trust etc., 7/10/79 letters and my GRO fax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At 20:45 p.m. on October 23, 2002, Tommy returned the cover sheet together with the following message: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Gene, this fax cut off at page 17 of 38. Thanks. Tommy.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On November 4, 2002, Tommy sent correspondence to Eugene in which he advised that he had received some but not all of the information requested in his memo of October 10, 2002. He did not specify what information he had not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In early November 2002, Tommy wrote a number of letters to Harold enclosing various materials including the Eugene Resignation Document. He suggested that they not sign the Audrey Indemnity and should consider taking steps to void Howard's appointment as trustee, or have Lee or Tommy appointed as co-trustee as a compromise to avoid protracted legal action. He indicated that Eugene was attempting to unilaterally appoint Howard as Audrey's successor relying entirely on the revocation of July 1979. He told Harold he should read carefully the second paragraph of the Acceptance because it appeared to be in conflict with the first paragraph.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In a second letter to Harold of November 6, 2002, he discussed the forestry potential at GRO. He indicated to Harold that they should "keep the forestry potential to themselves" and suggested ways of getting Eugene's family out of GRO.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Harold was upset when he learned of Howard's appointment. He was angry at Howard because of assistance he had given to Susan during their divorce proceedings. He was also upset that Lee, Virginia and Davis had signed the Audrey Indemnity and Howard Indemnity.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Harold did not have in his possession a copy of the BNT Trust Agreement or the Revocation Letters and had no recollection of their specific terms. He assumed that Howard had been properly appointed as trustee. He testified that he did not realize that he had a right to become co-trustee with Howard and says that if he had known he would have taken up the appointment immediately.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On November 26, 2002, Eugene wrote to Tommy in response to his November 4 letter and advised that he had forwarded a copy of it to Howard and that Howard thought, and Eugene agreed, that the three of them should meet to go over their mutual concerns. Due to busy schedules, that meeting did not take place until March 10,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Tommy and Harold never signed the Eugene Resignation Document and the documents were never returned to Eugene or Howard. Neither Eugene nor Howard ever requested delivery of the documents. In the result, Harold never renounced his right to act as trustee, the beneficiaries never released or agreed to indemnify Audrey and the beneficiaries never agreed to indemnify Howard.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iv. Howard's Preliminary Steps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On being appointed trustee, Howard focussed on gathering the information he would need to better understand the BNT's affairs. Although he had long known of the BNT's existence, he had had no role in its creation and knew little about its operations. He looked to Eugene for information concerning the history of the BNT and for information about the BNT's interest in GRO. He also relied on Eugene to coordinate administrative steps such as arranging for the shares of Big Nine to be transferred into his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Howard sought advice from both Eugene and Tommy. He understood that Eugene was acting in the interest of and wanted the best for his daughters, Jennifer and Julie. Similarly, he understood that Tommy represented the interests of Lee, Virginia and Davis. He hoped that the three of them could reach a consensus but made it clear that he reserved the right to make key policy decisions concerning the BNT to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As Howard became more intimate with the operations of the BNT, he turned his mind actively and critically to Big Nine and, by extension, to the BNT's shareholding interest in Big Nine. While he understood that Big Nine's day-to-day operations were in hand and that there were no particular issues that required his immediate attention, he had concerns as to whether or not it was in the BNT's interest to continue to hold those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On March 10, 2003, Howard, Tommy and Eugene met over lunch at Tommy's home in Brooksville, Florida and had a wide-ranging discussion concerning the BNT and GRO. At the meeting, Tommy was told that Howard was the trustee of the BNT as a result of an agreement that Harold and Eugene had made many years previously. He was told that Howard had the sole authority to act for both BNO and GRO and that the BNT controlled GRO.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At the meeting, Howard indicated he was exclusively in charge of the BNT and intended to carry out his duties. He ignored Tommy's suggestion that he become co-trustee.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Following the meeting, Howard, on March 11, 2003, sent a letter to Tommy which said in part that while he valued and wanted Tommy's input "I may not take your advice, as I try to exercise my fiduciary duties to all members of the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Tommy found the tone of the letter offensive. On March 29, 2003, he wrote to Howard in response. He indicated that neither he nor Harold's children recognized the legitimacy or necessity for the BNT to represent "exclusively" our interests in Big Nine. Similarly, he indicated that neither Harold nor he believed there was a legitimate basis for the BNT to represent their interests in GRO.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Tommy's letter went on to point out that the naming of a successor trustee did not follow the trust's prescribed prescription. He suggested that Howard should resign as trustee and he be named in his stead. He also asked whether Howard and Eugene had another agenda involved, and if so, they should "get it out on the 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Howard was as irritated by the tone of Tommy's letter as Tommy had been by the tone of his. He phoned Tommy on receipt to try to clear the air. They agreed to keep working together.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v. BNO Share Transaction: </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The BNO Share Transaction is the major issue in this litigation. The plaintiffs submit that Howard had no authority to sell the shares either because on a true construction of the BNT Trust Agreement there was no power of sale or because as one of two trustees Howard could not sell the shares absent the agreement of Harold. Alternatively, they submit that the sale was at an improvident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Considerable evidence was led concerning the events leading up to the BNO Share Transaction. There are significant differences in the recollection of Howard and Tommy concerning some of those events. To put the issues that must be decided in context, it is necessary to review those differences. In addition, it is necessary to review some of Barry's evidence concerning the sale and the reasons why he agreed to buy the BNT's Big Nine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The closing of the BNO Share Transaction took place over a six-week period. Eugene retained Mason to act on behalf of Howard. Barry retained a Vancouver lawyer, Doug Long ("Long"). Several draft agreements were circulated. Both Barry and Howard looked to Eugene for advice on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When the BNO Share Transaction closed, Howard wrote to the beneficiaries. He requested they sign a release before he would forward the proceeds of the sale. Only Jennifer, Julie and Davis signed releases. They then received cheques. Davis subsequently refused to cash his cheque. Shortly thereafter the plaintiffs retained counsel.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Negotiations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Soon after his appointment as trustee, Howard began to consider various options for the BNT. The trust could continue as it had since 1978 or, alternatively, it could be wound up. If the trust was wound up, the shares of Big Nine would have to be distributed to the beneficiaries </w:t>
      </w:r>
      <w:r>
        <w:rPr>
          <w:rFonts w:ascii="arial" w:eastAsia="arial" w:hAnsi="arial" w:cs="arial"/>
          <w:i/>
          <w:color w:val="000000"/>
          <w:sz w:val="20"/>
          <w:lang w:val="en-US" w:eastAsia="en-US" w:bidi="ar-SA"/>
        </w:rPr>
        <w:t>in specie</w:t>
      </w:r>
      <w:r>
        <w:rPr>
          <w:rFonts w:ascii="arial" w:eastAsia="arial" w:hAnsi="arial" w:cs="arial"/>
          <w:color w:val="000000"/>
          <w:sz w:val="20"/>
          <w:lang w:val="en-US" w:eastAsia="en-US" w:bidi="ar-SA"/>
        </w:rPr>
        <w:t xml:space="preserve"> or, alternatively,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By the time of the March 10, 2003 meeting, Howard was of the view that serious consideration had to be given to selling the Big Nine shares. Although he had yet to reach a final decision, he thought a sale had to be discussed. It seemed to him that the business was getting somewhat "long in the tooth" and perhaps reaching the end of its life cycle. Big game trophy hunts were no longer in vogue and big trophy rooms in peoples' houses with animals hanging on the wall were no longer popular. Gun control and the green movement were not conducive to Big Nine's business and government intervention was increasing.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Howard was also concerned that the business was too dependent on Barry. He recognized that Barry was the business and was concerned that if anything happened to Barry, the business would be in great difficulty. He was aware of the near catastrophic results that had followed Gary's death. He was concerned that if Barry left voluntarily there was no backup to replace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Howard was also concerned about the increases in government regulations and the reduction in sheep quotas. He further was concerned that the BNT only had a 55% interest in Big Nine and that limited what could be done with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At the meeting of March 10, 2003, Howard, Eugene and Tommy discussed the future of the trust. Howard pointed out that they were now all in their 60s and it was important for the three of them to deal with the BNT in an orderly basis or a mess would be left for the next generation to unravel.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At the meeting, Tommy questioned the need for the trust to continue and suggested that the shares be distributed to the individual beneficiaries. Howard did not believe that made great sense because it would dilute the shareholding among many and make future management of the BNT difficult. Ownership would be diluted among the beneficiaries with no one individual having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At the meeting, Howard suggested that consideration should be given to selling the shares and outlined his concerns that the business was perhaps past its prime and overly dependent on Barry's good health. Neither Eugene nor Tommy seemed enthusiastic about selling . There was some discussion of Tommy buying the shares but he did not appear to be interested.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Tommy disclosed at the meeting that he was planning a trip to Fort. St. John in June where he intended to visit Big Nine and meet with Barry. He agreed to report back to Howard his findings concerning the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On April 8, 2003, Barry wrote to Howard (the "April Letter"). In the April Letter he set out some of the history of Big Nine since he had taken over as manager in 1986. He wrote that Big Nine's infrastructure and support equipment were far and away better than any in their industry. He advised that during the last 10 years Big Nine had major improvements in its facilities and had built in 10 years what should have been spread out over 25 years or more. He advised that since 1986 Big Nine had expended $2,465,000 on infrastructure and $665,000 on additional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In the April Letter, Barry also advised that the business was being pushed to its limits with regard to hunting. He indicated that he hoped to cut back on the number of hunting clients in the future, which might be offset by an increase in eco-tourist business. He indicated that he felt at this point that Big Nine's income from hunting had peaked out. While suggesting that money could still be made in the future, he indicated that margins would be down. He noted that the Big Nine sheep quotas would be reduced substantially in the near future and that the prices presently being charged for hunts were all the market would bear. He noted that the exchange rate between the US and the Canadian dollar was decreasing, which was a cause for concern because most of the hunts were priced in US dollars. He suggested that the partners should give consideration to selling the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Barry's reasons for selling resonated with Howard. It affirmed many of his concerns about Big Nine's future and reinforced his own inclination to sell the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Tommy went to Big Nine in June 2003 and met with Barry. In the meeting, Barry expressed concern about his future at Big Nine. While his mother had been trustee he had been given a relatively free rein to run the operations as he saw fit. He was concerned that with Howard and Tommy's involvement his freedom would be curtailed. He was not inclined to carry on in such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On August 15, 2003, Tommy, Howard and Eugene had a second meeting, this time at Howard's office in Leesburg. Tommy did most of the talking. He reported on his visit to Big Nine and his discussions with Barry. He told them that revenue expectations were not matching expenditures and he did not think Barry was a good promoter of the business. He advised that Barry was dissatisfied with his role as a minority shareholder and wanted to buy more or all of the company. There was concern expressed that Big Nine would be in serious difficulty if Barry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Tommy indicated the business was in reasonable shape. They discussed possible values of Big Nine. On a cash flow basis, Tommy suggested the business was worth more than $1 million but less than $2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At the August meeting, Tommy confirmed he was not interested in personally buying Big Nine. At trial, Tommy agreed that by August 2003 he was coming to the view that, given the problems that existed between Harold and Eugene, selling Big Nine was the right thing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Tommy testified that at the August meeting there was discussion about various ways to value a business. This was denied by Howard who said that there was no discussion of replacement cost or the comparable approach at the August meeting, nor was there a discussion at that meeting about the need to get financial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Howard said it was decided at that meeting that Eugene would approach Barry about buying the BNT interest in Big Nine. Howard said that at this point in time he had not made a final decision that the shares should be sold but was moving in that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Tommy agreed that at the August meeting there had been a discussion about Barry's ability to purchase the business but no plan was put in place in regard to following up with Barry.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Another issue of disagreement between the parties with regard to the August meeting was whether or not the question of appraisals was discussed. On July 31, 2003, Howard had written to Mr. Pomeroy of Pomeroy Appraisals seeking an appraisal of Big Nine. On August 5, Mr. Pomeroy called Howard. He initially told him he could do an appraisal at a cost of $2,000. Subsequently, in the course of the conversation he advised that he did not think he would be able to do the appraisal but suggested that the business could be valued based on replacement costs of its assets or on the basis of three to five times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Howard said that at the August 15 meeting he advised Eugene and Tommy of his discussion with Mr. Pomeroy. Tommy denied that there was any discussion at the August meeting concerning appraisals.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In the spring and summer of 2003, Barry had been considering his future. The 2002 season had been frustrating. Big Nine had been short staffed and Barry was feeling burnt out. The failure of the eco-tourism business was weighing on him. He had heard rumours that Harold was trying to get him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Barry felt that at this time he had numerous options. Other outfitters were interested in hiring him. He saw much attraction in simply working for another outfitter. The oil patch was thriving and there were many business opportunities that might be available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Barry met with Tommy in June and told him of his discontent and his desire to get out. He discussed with Tommy whether Tommy had any interest in buying Big Nine and learned that he did not. Barry explained to Tommy his fears that Harold was trying to force him out and Tommy tried to reassure him that was not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After meeting with Tommy, Barry spoke to Eugene and possibly also Howard. He told them he was burnt out and ready to sell. Howard told him that he should explore interest in sales from others and perhaps obtain an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Barry tried unsuccessfully to find an appraiser to value the business. He spoke to one or two individuals who might be interested in purchasing Big Nine but only if Barry stayed on as manager. Barry had no interest in continuing to work for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In August, Barry spoke to Harry McCowan, a realtor experienced in selling guide outfitting businesses. McCowan told him that little was moving.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If Big Nine was sold, Barry was prepared to stay for a year in a transition role. He testified he would not have agreed to any restrictive covenant or non-solicitation clause because he realized he might in the future want to return to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In mid August, Barry said he reported to Howard and Eugene about problems in getting an appraisal and the apparent lack of interested buyers. He said Howard then asked him if he would be interested in buying himself. He said he was taken aback because he had not previously considered that option. He decided he would be interested in buying at a certain price and began to give consideration as to what price he could afford.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After some consideration, Barry decided to make an offer. He spoke to Eugene who told him that Tommy had indicated the shares were probably worth somewhere between $1 million to $2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Barry decided to make an offer based on BNO having a total value of $1.6 million. That was the price used in the Hall transaction. As he was at that time planning to purchase both the BNT's and the Halls' interest, Barry felt that he could not offer less for the shares than the Halls had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In mid-September, Eugene forwarded to Barry a suggested form of offer. Barry reviewed the offer and used the format in formulating his own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On November 1, 2003, Barry wrote to Howard and offered to purchase the BNT's 55.55% interest in Big Nine on the basis of a total value of Big Nine of $1.6 million. He proposed to pay 10% down with the balance over eight years with 6%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On receipt of the letter, Howard sent it to Tommy and Eugene. On December 2, 2003 they met at Howard's home to discuss the offer. Howard's evidence is that at the meeting Tommy explained how they should value Big Nine. He indicated that cash flow was the key. He went through Big Nine's 2003 financial statement and said that on an earning's basis $1.6 million was an appropriate price for a cash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Barry's offer to the parties was payable over several years. Tommy indicated that if they sold on such terms there would be an ongoing risk if the business, for any reason, failed. Howard, Eugene and Tommy discussed countering Barry's proposal. The counter offer would be $1.6 million cash or $2 million with owner financing over a number of years. Tommy said that at the meeting he suggested there was an obligation to do due diligence on the offer and they had a duty to make sure that they had a basis for determining if the price was 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Tommy said that at the December 2, 2003 meeting there was a discussion of valuation methods and the need to disclose the proposed sale to Harold and his kids to get their input.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Tommy says it was agreed at the end of the meeting that he would speak to J. Tom and Lee and give consideration to the question of vendor financing. He said he told Howard and Eugene at the meeting they needed the most recent financial statements before going forward. Tommy denies that there was any agreement at the December 2 meeting to make a counter proposal to Barry.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On December 3, 2003, Tommy sent a memorandum to Howard. The key points were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Following our meeting in Leesburg, let me more pointedly suggest our response to Barry's offer, as follows:</w:t>
      </w:r>
    </w:p>
    <w:p>
      <w:pPr>
        <w:numPr>
          <w:numId w:val="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BNT will accept cash at closing for its 55% interest in BNO on the basis of C $1.6M for 100% of BNO provided the offer is accepted within 30 days of this date and closing occurs not later than February 15.</w:t>
      </w:r>
    </w:p>
    <w:p>
      <w:pPr>
        <w:numPr>
          <w:numId w:val="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BNT will accept at closing for its 55% interest in BNO on the basis of C $2.0 for 100% of BNO provided the term note has the following features: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10% cash down payment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payable over six years</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Term life Insurance of $2.0 M naming BNT as the beneficiary.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Suitable default clauses in the event of diminution of BNO value.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same as # 2 except the BNO value would be based on C $1.8 M, with 25% down and 4 year term note.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spoken to Lee about the above and told him why I was supportive of #1. Lee advises that he doesn't sense any of yours and Gene's concerns about the "second generation" contingencies. I will talk with Tom this morning by 11AM.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fully supportive of the first alternative with Tom and Lee. I am seeking their approval on #2 and #3. Lee advises that he will discuss with Gini, Davis, and his Father #2 and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On December 3, 2003 at 2:21 p.m., Howard sent the following email to Tommy: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Tommy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Thanks for your email concerning dealing with Barry. Gene talked to Barry on his way home yesterday and conveyed what the three of us had agreed on as a response to Barry's offer. Since I am sure that this is going to be discussed several more times before we reach a decision, I am not going to muddy the water by changing the deal that Gene discussed with Barry that was earlier agreed on by you and 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will send you a copy of my letter to Barry tomorrow as Joanne is out this afternoon and I have been out on job sites this morning.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Tommy said he was surprised to receive this email. He said there had been no discussion at the meeting about Eugene reporting back to Barry, nor had any deal been agreed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Following their exchange of communication, Howard and Tommy spoke on the telephone. According to Tommy, Howard said he was surprised that Eugene had spoken to Barry. That is denied by Howard, who said that it had been agreed at the meeting that Eugene would phone Barry and tell him the nature of the communication to expect.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On December 3, 2003, Howard wrote to Barry setting out two proposals. One was for a cash sale for $1.6 million closing on February 15. The alternative proposal was based on a value of $2 million which would be paid 10% down with the balance over eight years at 6%. That proposal would require suitable default clauses in the event of diminution of the value of Big Nine. Both offers were left open for 30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After the December 2, 2003 meeting, Howard phoned Lee and told him about a possible sale. Howard indicated that reasons for selling included difficulty in obtaining liability insurance and that hunts were on the decline. Lee relayed the conversation to both Virginia and Davis.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Lee was open-minded about a sale. He felt he did not have enough information. He thought there would be more meetings between his uncles and Tommy before any sale was concluded. He believed they were all working for the beneficiaries.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Virginia testified that she knew in December that there were discussions about a possible sale. She did not take the matter seriously. She assumed that Howard would communicate with her about any possible sale. She did not learn about the sale until it had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In early December, Davis had spoken to Lee and understood that a possible sale of Big Nine was being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On December 15, 2003, Barry wrote to Howard and advised that he had been able to secure financing and was prepared to proceed with the cash option. Under the terms of that proposal, Big Nine would be valued at $1.6 million and the 55.5% interest held by the BNT would be worth $888,889. This sum was to be paid to the BNT on or before February 15,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Harold had learned of the potential sale of BNO when Davis came to visit him at Crying Girl at Christmas 2003. He was upset about the sale and told Davis the value was not fair or reasonable. He was aware of other sales in the area and believed the price was not 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On December 30, 2003, Howard wrote to Barry acknowledging acceptance of Barry's December 15 acceptance of the cash option. He asked Barry to have the Callison law firm provide him with a letter setting out the necessary procedures for closing the transaction under British Columbia law. He also indicated he would appreciate any recommendation they might have of a law firm to handle this transaction on behalf of the trust.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The Closing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Howard looked to Eugene to handle the closing on his behalf. On January 5, 2004, Eugene emailed Mason with a copy to Howard advising of the sale of the BNT's 55.55% interest in Big Nine. In the email Eugene said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appears we are slowly coming to a final resolution of the Big Nine Trust and Howard would like your able assistance. As you recall Audrey stepped down as Trustee in September 2002 and Howard became the Trustee. The issue of Harold being a co-trustee has not arisen to this point and Howard has conducted all affairs for the Trust since September 30, 2002. We have had little to no direct contact with Harold (who is living at Crying Girl-Graham River) but Howard has attempted to keep Tommy Bronson and Lee Lewis informed.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Attached to the email was Mason's email of August 2, 2002 which had set out the basis route of the Trusteeship.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Howard testified that he received the January 5, 2004 email. He has no recollection of giving any consideration at that time as to whether or not Harold had the right to be co-trustee. He did not discuss it with either Eugene or Mason.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Barry retained Long to act for him on the BNO share transaction. On January 5, 2004, Long emailed Mason advising he would like to speak to her about the trust, including matters pertaining to the authority of the trustee and non-resident holdback issues. He asked her, as well, to confirm the following:</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trust agreement that I have a copy of is dated February 1, 1978 and it appears to have been modified (only once) on October 12th 1983 - is that correct?</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how the current trustee (Howard Hewitt) became trustee.</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status of the events (death of Grantors etc.) set out in section 2 of the Trustee Agreement (Distribution of Principal and Income).</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beneficiaries of the trust are in a position to provide a direction to the trustee to sell the shares in accordance with the (yet to be prepared) share purchase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On January 5, 2004, Mason responded to Long. She told him she had just been retained and had to retrieve her file from storage before she could respond to his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When Mason received Eugene's January 5, 2004, email she did not have a detailed recollection of the BNT or the various trust documents. After receiving the file from storage she reviewed it in order to orientate herself to the nature of the trust, the people involved and to allow her to answer Long's questions. At trial she could not remember what she recalled about the BNT when she reviewed her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On January 7, 2004, Mason responded to Long's email. She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Doug - I have some responses to your queries: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Trust</w:t>
      </w:r>
      <w:r>
        <w:rPr>
          <w:rFonts w:ascii="arial" w:eastAsia="arial" w:hAnsi="arial" w:cs="arial"/>
          <w:color w:val="000000"/>
          <w:sz w:val="20"/>
          <w:lang w:val="en-US" w:eastAsia="en-US" w:bidi="ar-SA"/>
        </w:rPr>
        <w:t>. The Trust was settled February 1, 1978. I don't believe the trust has ever been amended but I am still trying to confirm.</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Trusteeship</w:t>
      </w:r>
      <w:r>
        <w:rPr>
          <w:rFonts w:ascii="arial" w:eastAsia="arial" w:hAnsi="arial" w:cs="arial"/>
          <w:color w:val="000000"/>
          <w:sz w:val="20"/>
          <w:lang w:val="en-US" w:eastAsia="en-US" w:bidi="ar-SA"/>
        </w:rPr>
        <w:t>. The Trust was originally settled upon Gary Powell as trustee. He died October 5/83. His wife, Olive Powell, and Audrey Tompkins became co-trustees in accordance with paragraph 15 of the Trust. Olive resigned on May 26, 1986. Audrey resigned in September 2002. Paragraph 15 provides that in such case, Harold Lewis and Gene Lewis become co-trustees. Both Harold and Gene signed a letter in February 1, 1978 indicating that they would appoint Howard Hewitt as trustee in the event they were not able to act as trustee (and renounced their future ability to appoint trustees - paragraph 15 provides that Harold and Gene have the power to appoint trustees notwithstanding the listed successor trustees). In furtherance of their 1979 agreement, both Harold and Gene irrevocably renounced their appointment in September 2002 and appointed Howard Hewitt as trustee.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Harold and Gene are both still alive, thus the trust is a discretionary one for their respective children.</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Direction from Beneficiaries</w:t>
      </w:r>
      <w:r>
        <w:rPr>
          <w:rFonts w:ascii="arial" w:eastAsia="arial" w:hAnsi="arial" w:cs="arial"/>
          <w:color w:val="000000"/>
          <w:sz w:val="20"/>
          <w:lang w:val="en-US" w:eastAsia="en-US" w:bidi="ar-SA"/>
        </w:rPr>
        <w:t>. The beneficiaries do not own any interest in the shares of the company; any sale is solely in the purview of the Trustee.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trust itself is a BC resident and taxpayer so non-resident withholding should not be an issue. Hopefully this helps! Margaret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Mason now agrees that her response was incorrect. In particular, she now realizes that Harold did not renounce his appointment in September 2002 and that the trust itself was not a BC resident so the advice concerning withholding was in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Mason has no explanation for her misstatement other than she failed to properly consider all of the documents in her file at the time she responded. She says now that instead of saying that Harold had renounced, what she should have told Long was that Harold had not stepped up and accepted his appointment as a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On January 8, 2004, Eugene sent Mason an email. In the email, he advised that Tommy had told Howard that Harold and his family were opposed to the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While Barry had retained Long to act for him on the closing, he requested Long to send the drafts of the proposed BNO Share Transaction to Eugene. Barry considered Eugene to be a good friend and used him as a sounding board while the terms of the BNO Share Transaction were being finalized. He spoke to Eugene on numerous occasions concerning the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As the terms of the contract evolved, Long would send drafts to Barry who, in turn, would skim them, but rely on Eugene for advice. When Long would call him concerning specific items, Barry would consult Eugene as to how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On January 9, 2004, Long sent an email to Eugene with a copy to Mason concerning various sections of the initial draft contract. In the email, Long advised that he wanted a solicitor's opinion that Howard had legal authority, power and capacity to sell the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On January 9, 2004, Tommy wrote to Harold. He indicated he was trying to slow the process down and their only recourse might be to file a complaint in court. He advised that Howard was confident he could act solely as trustee and was prepared to do so. He advised "Barry made an offer and we accepted, subject only to my review of the financials." He indicated to Harold that it looked to him from the 2002 financials that a $1.6 million valuation was in the area of four to five times cash flow. He further indicated that the value of the assets in terms of cost, or replacement cost, was irrelevant from a valuation standpoint.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On January 9, 2004, Tommy also wrote to Howard suggesting it was not prudent for him and Eugene to unilaterally decide if the price was fair without doing due diligence. He said he would never have agreed to a final price without looking at the most recent financial statements that represented the financial results from the business, as it is the value of the assets and the cash flow from the business that determines the value of Big Nine and the BNT. He further suggested that if the basis for value was the replacement cost of Big Nine assets, the selling price was much too low, which was why it was necessary to look to the financial statements and the cash flow in determining the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On January 12, 2004, Eugene forwarded to Mason a copy of Tommy's January 9, 2004 letter to Howard. On the fax cover sheet, he wrote "Shades of the Ken Hall deal vis-a-vis Harold/Tommy et 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A major concern of Barry's was that the sale close on schedule. In early January, Eugene had told Barry that Harold was exerting pressure on his children to oppose the sale. Barry also learned that Tommy was questioning the sale price. Barry was concerned that if the sale did not close on time the transaction could be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Throughout January, and into early February, various drafts of the BNO Share Transaction were exchanged between Mason, Long and Eugene. Eugene, in the course of the transaction, was not only advising Howard concerning the terms of the final contract, but also Barry. In the result, both the buyer and the seller were looking to the same person for advice concerning the terms of the contract. Both Howard and Barry testified that they were relying on Eugene to protect their respective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As closing of the BNO Share Transaction approached, a problem arose as to whether or not the BNT was, for tax purposes, a Canadian resident. BHT ultimately concluded that because of Hewitt's US residency, the purchaser was required to withhold some of the purchase price in lieu of obtaining a clearance certificate. Eugene thought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Against the advice of Long, Barry agreed to pay the full purchase price and Howard, in turn, agreed to indemnify TRL in regard to any Canadian or US income tax that might be due by the BNT or its beneficiaries arising out of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Eugene was actively involved in the drafting process. On February 11, 2004, he forwarded to Long and Mason a draft dated February 9, 2004. That draft contained numerous additions and deletions to the agreement. One of the deletions was the requirement on closing for Howard's solicitors to provide an opinion that Howard had the full power and authority to sell the BNT shares. A second deletion was the provision that allowed the purchaser to hold back a portion of the purchase price pending receipt of a clearance certificate issued by Canada Customs and Revenue Agency.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On February 11, 2004, Long wrote to Barry enclosing the February 9, 2004 draft of the agreement he had received from Eugene. He advised Barry against the changes, particularly those dealing with a holdback and the deletion of the opinion concerning Howard's ability to sell the shares. He noted the latter was of importance given that the beneficiaries appeared to be at odds in connection with the transaction. He advised Barry that in the circumstances he would not be in a position to give the lender's solicitors any opinion with respect to the shares. He also emphasized that the non-residency holdback issue was not being treated in accordance with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After receiving Long's letter, Barry spoke to Eugene concerning the changes. In the course of that telephone conversation, he made notes on his copy of Long's letter. With regard to the provision deleting the requirement for a solicitor's opinion concerning Howard's ability to sell the shares, he wrote "no time for Howard to get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After he spoke to Eugene, Barry instructed Long to make the changes as drafted by Eugene. Long did so. On February 12, 2004, he forwarded the amended agreement to Barry and advised him that the requested changes did not conform to his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The closing of the transaction and the exchange of funds ultimately took place in the United States independent of the Vancouver lawyers. The terms of the agreement were as set out in the February 12, 2004 draft. Neither Mason nor Long was aware that the agreement had closed until sometime after the fact.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The Aftermath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Following the closing of the BNO Share Transaction, Howard wrote to all of the beneficiaries on February 25, 2004 (the "Distribution Letter"). The Distribution Letter was prepared by Buster White, Eugene's law partner. The Distribution Letter dealt with both the proceeds of the Big Nine Share Transaction and the BNT's interest in GRO. At the time it was prepared, it was Howard's intention to terminate the BNT.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The Distribution Letter advised that the Big Nine Share Transaction had closed and provided schedules setting out the individual amounts to which each beneficiary was entitled. The Distribution Letter enclosed a document entitled "ACKNOWLEDGEMENT, RELEASE AND INDEMNITY AGREEMENT" (the "Release") and set out that a similar agreement had been signed by all of the beneficiaries in favour of Audrey in connection with the Hall transaction and the Davis and Bronson Assignments. The Distribution Letter advised that upon receipt of the signed Release, Howard would forward to the beneficiaries their share of the proceeds and this would constitute a complete distribution of their financial interest in Big Nine.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One Release was addressed to Jennifer and Julie, while a second was addressed to Lee, Virginia, Davis, Tommy and Harold. No release was sought from Eugene.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The Release provided a release and indemnity to Howard as trustee for all actions arising after September 30, 2002, including the execution of the BNO Share Transaction. It also contained a specific release in regard to the Bronson Assignment and an acknowledgement by each beneficiary that each would be responsible for his or her individual Canadian or US income or other taxes arising out of any proceedings on or after September 30, 2002, including a distribution of the proceeds from the BNO Share Transaction. There was no disclosure to the beneficiaries that Howard had agreed to indemnify TRL in regard to any Canadian or US income tax that might be due by the BNT or its beneficiaries arising out of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As to GRO, the Distribution Letter indicated that the only information Howard had concerning the trust's interest in GRO was that the trust had invested $352,617 in the stock of GRO on behalf of the Harold and Eugene Lewis families in 1982. In addition, there was a reference to certain loans to GRO through the BNT of $57,931. The Distribution Letter then continued: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any event, I hereby distribute and quit claim to each of the Harold Lewis family and Gene Lewis family beneficiaries all of the trust, right, title and interest in the amount set forth in Schedule B --- the last document I have seen indicates that 100% of the stock in Graham River Outfitters Ltd. is owned by Audrey G. Tompkins, trustee under a declaration of trust dated April 12, 1985. I suggest you pursue your interest in this matter as you determine to be in your best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The Distribution Letter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event I do not receive an executed acknowledgment, release and indemnity form within 30 days from the date hereof from any beneficiary I will deal with the matter as advised by counsel for the Trust under British Columbia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On March 1, 2004, Jennifer and Julie signed and returned their copies of the Release. They each received cheques from Howard dated March 3, 2004 in the sum of $132,000 USD. They endorsed their cheques to the order of Mary Lou Lewis Trustee and the cheques were deposited on March 22, 2004 in the account of the Lewis Family Trust. They say they did so because it was their money to use as they pleased and they wanted their mother to have it. Neither Jennifer nor Julie has subsequently received any payments from those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Pursuant to the schedule attached to the February 25 letter, upon return of the executed Release, Lee, Virginia and Davis were each to receive $66,000 USD and Tommy was to receive $198,000 USD. Lee, Virginia and Tommy did not sign the Release and never received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Davis signed the Release on March 17, 2004 and returned it to Howard (the "Davis Release"). Howard then forwarded him a cheque dated March 19, 2004 for $66,000 USD. Davis did not cash the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Davis says he signed the Davis Release because he understood from its language that if he did not sign he would forfeit the funds to which he was entitled. He believed that he could still preserve any legal rights he might have against Howard if he did not cash the cheque. He did not cash it because by that point he had come to believe that the BNO Share Transaction was improvident and he wanted to preserve his legal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As a result, $396,000 USD of the BNO Share Transaction proceeds remained in Howard's possession. He testified that he has subsequently used all those funds to pay his ongoing legal expenses arising from this litigation.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vi. GRO Share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After the matters with Mr. Young were resolved, Tommy and Harold turned their attention to the future of GRO. Tommy began to investigate potential business ventures at GRO in the hope that such ventures would provide support for Harold. Tommy was prepared to finance such ventures. Eugene was cool to starting any business at GRO because of the capital requirements and potential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Before investing any significant money in GRO, Tommy wanted its corporate affairs put in order. To this end, he made arrangements with a local Fort St. John lawyer to bring the company's records up to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There was some uncertainty as to the beneficial ownership of the GRO shares. The Declarations of Trust signed by Gary and Audrey stated they held the shares, one-third each for Eugene, Harold, and Tommy or their respective nominees. Harold took the position that he was entitled personally to one-third of the shares, even though the money to purchase the shares had come from the BNT.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Throughout 2002, various business opportunities were considered. Tommy did not want to go forward with any plans for GRO absent reaching an accommodation with Eugene and determination of the share ownership.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At the meeting of March 10, 2003, Howard advised that the BNT controlled GRO as it was the BNT which had, in fact, put up the Lewis brothers' share of the purchase price. This came as a surprise to Tommy, who had never understood that the BNT had any role in GRO.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By a memo to Howard dated July 2, 2003, Eugene set out a detailed history of GRO. The memo indicated that the BNT paid for all of Harold's and Eugene's interests in GRO.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In the summer of 2003, Tommy had concluded that it would be impossible to go forward with any business venture at GRO as long as Eugene remained involved. Negotiations took place between Tommy and Eugene in regard to Eugene's family interest in GRO. At the parties' meeting of August 15, 2003, they informed Howard of their negotiations.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Tommy and Howard ultimately reached an agreement in which Tommy would purchase Jennifer's and Julie's interests in Graham River for $100,000. As part of the transaction, Tommy and the Lewis daughters agreed to pay Audrey $25,000 for services she had provided to GRO through the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At the meeting of December 3, 2003, Tommy and Eugene advised Howard of their agreement. Tommy says that Howard advised them that he had investigated the ownership of GRO and concluded that the BNT had no further interest in GRO. Howard denies making that statement but agrees he was prepared to distribute the BNT's interest in GRO to the individual beneficiaries if all were in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On account of Audrey's failing health, someone else was needed to sign documents on behalf of GRO to complete Tommy's proposed purchase of Jennifer's and Julie's shares. Tommy and Eugene agreed to William fulfilling that role.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On February 23, 2004, the four Class A common shares that Audrey had been holding in trust were transferred to William and William replaced Audrey as sole director and officer of GRO. Because of changes in corporate legislation prohibiting fractional shares, eight additional GRO shares were issued and the four existing GRO shares and eight new shares were issued in William's name. William entered into a declaration of trust in terms identical to that signed earlier by Gary and Audrey, declaring he held the 12 shares in trust for Harold, Eugene and Tommy, or their nominees, and that he had no interest in the shares other than as a bare trustee. At the time of the transfer, it was expected that the sale of Jennifer's and Julie's shares to Tommy would complete shortly thereafter and that William's involvement would be temporary.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Unfortunately, that was not to be. In the weeks immediately following the closing of the BNO Share Transaction, Tommy and Eugene continued to work towards closing Tommy's purchase of Jennifer's and Julie's GRO shares. On March 8, 2004, Eugene prepared a draft sale agreement. Upon receipt of the agreement, Tommy suggested certain changes. One of the proposed changes was to obtain a release from Howard for any claims that he may have against GRO.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Eugene responded to Tommy that Howard had specifically disavowed any interest in GRO and had distributed whatever interest he had to the beneficiaries. He advised he did not think Howard would sign anything in respect to GRO.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Tommy responded in an email of March 11, 2004, in which he indicated there had been a period of time where Howard, as BNT trustee, had claimed control of GRO.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On March 12, 2004, Eugene again emailed Tommy. He indicated that he did not know whether Howard would have a problem stating he had no interest in GRO and that Howard had distributed everything he was aware of involving GRO on BNT's books as per his letter to the beneficiaries regarding the BNO stock sale. Eugene warned that Howard may not be inclined to do anything in light of Lee, Virginia and Davis' response to the Big Nine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On April 9, 2004, Eugene emailed Tommy that Howard's counsel had advised him to retain the BNT's interest in GRO pending a resolution of potential claims arising out of the BNO Share Transaction and given these circumstances, it was impossible to proceed with Tommy's purchase of Jennifer's and Julie's shares. Tommy responded that it was alright with him not to proceed with the share purchase, but he did want to regularize GRO and have a stockholders'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On June 24, 2004, Tommy and Harold's counsel wrote to William's counsel enclosing the various declarations of trust which had been signed by Audrey and William. The letter requested that William transfer those shares held in trust for Tommy and Harold to Tommy and Harold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William refused to transfer the shares. He felt that Tommy and Harold were trying to get control of GRO from Eugene and his daughters. He did not want to do that and felt that was a decision for the court. Shortly thereafter, on July 15, 2004, Tommy and Harold commenced the first court proceeding in which they sought an order that William, as trustee, transfer the shares he held in trust for them to them.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vii. The Trapline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Braden transferred the Trapline to William in July 1987. In his statement of defence, filed on August 1, 2006, William acknowledged that he held the Trapline in trust but indicated that due to the dispute between Harold, Eugene and Tommy, it was unclear whether he held it in trust for GRO or one or other of the individuals. William pled that he would comply with any directions of the court as to the proper party to whom he should transfer the Trapline. He pled that he had paid all expenses, fees and charges related to maintaining and operating the Trapline and claimed reimbursement for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In October 2006, William, without notice to any of the beneficiaries, sold the Trapline to Dennis Beattie for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From this factual background several legal issues arise. In regard to the BNO Share Transaction, the major issues are whether Howard was authorized to sell the BNT shares in Big Nine. The plaintiffs say he was not for two separate and distinct reasons. They submit that the BNT Trust Agreement did not contain a power of sale. Alternatively, they submit that if there was a power of sale, Howard could only sell the shares with Harold's concurrence. In the further alternative, they submit that even if Howard had the authority to sell the Big Nine shares, the sale was made at an improvident price. If Howard's sale of the shares is determined to be a breach of trust, issues arise as to whether Mason or Eugene are liable for knowingly assisting in the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In regard to GRO, it is first necessary to determine whether the shares are held in a bare trust or otherwise. It is then necessary to determine who the original beneficial owners of those shares were. If I conclude that some portion of that beneficial interest was, in fact, held on behalf of the BNT, I will then have to determine whether Howard distributed that interest to the beneficiaries in his letter of February 25,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xml:space="preserve">  Depending on the answer to the questions raised in regard to both the BNO Share Transaction and the GRO shares, other issues potentially arise, including whether Howard should now be replaced as trustee, whether Harold should be appointed co-trustee and if Howard is found to have acted in breach of trust, whether he should, in any event, be excused pursuant to either the provisions of the BNT Trust Agreement or s. 96 of the </w:t>
      </w:r>
      <w:r>
        <w:rPr>
          <w:rFonts w:ascii="arial" w:eastAsia="arial" w:hAnsi="arial" w:cs="arial"/>
          <w:i/>
          <w:color w:val="000000"/>
          <w:sz w:val="20"/>
          <w:lang w:val="en-US" w:eastAsia="en-US" w:bidi="ar-SA"/>
        </w:rPr>
        <w: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The underlying theory of the plaintiffs' case against Howard and Eugene is set out in their pleadings and submissions. They allege that the appointment of Howard as trustee and the sale of the Big Nine shares were carried out in order to alleviate the financial crisis facing Eugene as a result of the Florida Judgment (the "Liquidation Plan"). The only resource available to alleviate his financial difficulties was the investment in Big Nine held beneficially by Jennifer and Julie. The Liquidation Plan was hatched to have Howard replace Audrey as trustee in order to liquidate BNT's shareholding interest in Big Nine so that the funds could find their way back to the benefit of Eugene and Mary Lou and to improve their own financial security.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In order to implement the Liquidation Plan, it was necessary to keep Harold out of his rightful place as co-trustee, because they believed that Harold would oppose any sale of the Big Nine shares. To accomplish this goal, active steps were taken to conceal the truth about Harold's rightful place as a co-trustee, as well as the limitations known to exist on the powers of the trustee of the BNT to dispose of the shares. The plaintiffs' theory is that Howard acted deliberately, maliciously and in collusion with Eugene, largely for the purpose of deceiving, defrauding and prejudicing the plaintiffs in order to serve Eugene's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The plaintiffs submit that even if they cannot prove the existence of the Liquidation Plan and Howard was validly appointed as sole trustee and the BNT Trust Agreement contained the power of sale, Howard is still liable to the plaintiffs for the improvident sale of the Big Nine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The plaintiffs submit that Howard could not in the circumstances of this case act as sole trustee and could not sell the Big Nine shares in the BNT absent the concurrence of all the beneficiaries and/or Harold as co-trustee. They submit that Mason was aware that Harold had not renounced his right to act as co-trustee and assisted Hewitt in breaching the terms of the trust and selling the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In regard to GRO, the plaintiffs submit that William is but a bare trustee and that he holds the shares in trust for Tommy, Harold and Eugene. They seek an order that William transfer four of the shares to Tommy, or his nominee, and four of the shares to Harold, or his nominee. The plaintiffs' position is that William as a bare trustee must transfer the shares when requested.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The plaintiffs submit that the BNT never had any interest in GRO. While they do not dispute that money from the BNT was used to purchase the GRO assets, they submit that purchase took place independent of the trust because the BNT Trust Agreement did not authorize an investment in a company like GRO.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xml:space="preserve">  Howard and Eugene vigorously deny the existence of the Liquidation Plan. Howard says that throughout his time as trustee he attempted to act in the best interests of the beneficiaries. He says he did not know that Harold had the right to be co-trustee. He says that if he had been told of Harold's right to be co-trustee he would not have accepted his appointment. He says the sale of the BNO shares was in the beneficiaries' best interests. He denies any breach of trust. If there were breaches, he says he should be excused pursuant to the provisions of the BNT Trust Agreement or, alternatively, s. 96 of the </w:t>
      </w:r>
      <w:r>
        <w:rPr>
          <w:rFonts w:ascii="arial" w:eastAsia="arial" w:hAnsi="arial" w:cs="arial"/>
          <w:i/>
          <w:color w:val="000000"/>
          <w:sz w:val="20"/>
          <w:lang w:val="en-US" w:eastAsia="en-US" w:bidi="ar-SA"/>
        </w:rPr>
        <w: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Mason denies knowingly assisting in any breach of trust. While she acknowledges that she provided wrong information to Mr. Long concerning Harold's renunciation, she says that was an innocent error which did not assist in any breach of trust. She notes that she expected that she would be called upon to provide a formal solicitor's opinion on closing and, if such an opinion had been acquired, any misunderstanding concerning Harold's role would have been caught. Barry, however, ultimately determined that he did not require such an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Eugene denies all wrongdoing. He says he simply provided assistance and information to Howard and Barry from time to time. He says at all times he was looking after his daughters' interests and not his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In regard to GRO, Howard and Eugene submit that the GRO shares are not held in a bare trust. They submit that the intention in 1982 was to create a Canadian-controlled corporation for tax purposes and that such corporation, by its nature, could not be in a bare trust. They submit that the BNT did, in fact, invest in GRO and the shares of GRO continue to be held in the BNT. They acknowledge that Howard intended to distribute those shares as part of an overall winding up of the BNT but that plan was frustrated when certain beneficiaries refused to sign the Release. In the result, the GRO shares remain in the BNT.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STANDARD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The plaintiffs make allegations of breach of trust, breach of fiduciary duty and assisting in the breach of trust. Claims have been brought by family members and a close family friend against other family members and a solicitor. The onus lies on the plaintiffs to prove their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xml:space="preserve">  In all civil cases the burden of proof is on the balance of probabilities. The test is set out in </w:t>
      </w:r>
      <w:r>
        <w:rPr>
          <w:rFonts w:ascii="arial" w:eastAsia="arial" w:hAnsi="arial" w:cs="arial"/>
          <w:i/>
          <w:color w:val="000000"/>
          <w:sz w:val="20"/>
          <w:lang w:val="en-US" w:eastAsia="en-US" w:bidi="ar-SA"/>
        </w:rPr>
        <w:t>F.H. v. McDougall</w:t>
      </w:r>
      <w:r>
        <w:rPr>
          <w:rFonts w:ascii="arial" w:eastAsia="arial" w:hAnsi="arial" w:cs="arial"/>
          <w:color w:val="000000"/>
          <w:sz w:val="20"/>
          <w:lang w:val="en-US" w:eastAsia="en-US" w:bidi="ar-SA"/>
        </w:rPr>
        <w:t xml:space="preserve">, </w:t>
      </w:r>
      <w:hyperlink r:id="rId379" w:history="1">
        <w:r>
          <w:rPr>
            <w:rFonts w:ascii="arial" w:eastAsia="arial" w:hAnsi="arial" w:cs="arial"/>
            <w:i/>
            <w:color w:val="0077CC"/>
            <w:sz w:val="20"/>
            <w:u w:val="single"/>
            <w:shd w:val="clear" w:color="auto" w:fill="FFFFFF"/>
            <w:lang w:val="en-US" w:eastAsia="en-US" w:bidi="ar-SA"/>
          </w:rPr>
          <w:t>2008 SCC 53</w:t>
        </w:r>
      </w:hyperlink>
      <w:r>
        <w:rPr>
          <w:rFonts w:ascii="arial" w:eastAsia="arial" w:hAnsi="arial" w:cs="arial"/>
          <w:color w:val="000000"/>
          <w:sz w:val="20"/>
          <w:lang w:val="en-US" w:eastAsia="en-US" w:bidi="ar-SA"/>
        </w:rPr>
        <w:t xml:space="preserve">, </w:t>
      </w:r>
      <w:hyperlink r:id="rId379" w:history="1">
        <w:r>
          <w:rPr>
            <w:rFonts w:ascii="arial" w:eastAsia="arial" w:hAnsi="arial" w:cs="arial"/>
            <w:i/>
            <w:color w:val="0077CC"/>
            <w:sz w:val="20"/>
            <w:u w:val="single"/>
            <w:shd w:val="clear" w:color="auto" w:fill="FFFFFF"/>
            <w:lang w:val="en-US" w:eastAsia="en-US" w:bidi="ar-SA"/>
          </w:rPr>
          <w:t>[2008] 3 S.C.R. 41</w:t>
        </w:r>
      </w:hyperlink>
      <w:r>
        <w:rPr>
          <w:rFonts w:ascii="arial" w:eastAsia="arial" w:hAnsi="arial" w:cs="arial"/>
          <w:color w:val="000000"/>
          <w:sz w:val="20"/>
          <w:lang w:val="en-US" w:eastAsia="en-US" w:bidi="ar-SA"/>
        </w:rPr>
        <w:t xml:space="preserve"> at para. 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think it is time to say, once and for all in Canada, that there is only one civil standard of proof at common law and that is proof on a balance of probabilities. Of course, context is all important and a judge should not be unmindful, where appropriate, of inherent probabilities or improbabilities or the seriousness of the allegations or consequences. However, these considerations do not change the standard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EVIDENCE OF EUGENE LEWIS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Eugene did not testify at the trial. Before trial, he attended at four days of examinations for discovery where he answered in excess of 4,700 questions. Some three days of trial were spent reading in evidence from Eugene's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In the course of submissions, two issues have arisen concerning Eugene's evidence. The first is what use can be made of the answers read in on discovery. The second question is whether or not an adverse inference should be drawn against Eugene for failing to testify or against Howard from his failure to call Eugene as a witness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Use of Discovery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xml:space="preserve">  The plaintiffs read into evidence certain questions and answers from Eugene's examination for discovery. The evidence was read in pursuant to the provisions of Rule 40(27)(a) that allows evidence given on an examination for discovery to be given as evidence at trial. Pursuant to the Rule, the evidence is admissible only against the adverse party who was examined: </w:t>
      </w:r>
      <w:r>
        <w:rPr>
          <w:rFonts w:ascii="arial" w:eastAsia="arial" w:hAnsi="arial" w:cs="arial"/>
          <w:i/>
          <w:color w:val="000000"/>
          <w:sz w:val="20"/>
          <w:lang w:val="en-US" w:eastAsia="en-US" w:bidi="ar-SA"/>
        </w:rPr>
        <w:t>MacEachern v. Rennie</w:t>
      </w:r>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2009 BCSC 795</w:t>
        </w:r>
      </w:hyperlink>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94 B.C.L.R. (4th) 261</w:t>
        </w:r>
      </w:hyperlink>
      <w:r>
        <w:rPr>
          <w:rFonts w:ascii="arial" w:eastAsia="arial" w:hAnsi="arial" w:cs="arial"/>
          <w:color w:val="000000"/>
          <w:sz w:val="20"/>
          <w:lang w:val="en-US" w:eastAsia="en-US" w:bidi="ar-SA"/>
        </w:rPr>
        <w:t>. Eugene's answers do not constitute direct evidence against any of the defendants other than Eugene.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Evidence concerning the involvement of Eugene is, of course, not limited to that read in on his examination for discovery. Harold, Tommy, Howard, Mason, and Barry all testified at length concerning dealings with Eugene. It is that evidence on which I have largely relied.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Adverse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xml:space="preserve">  The plaintiffs submit that the court should draw an adverse inference against both Eugene and Howard from Eugene's failure to testify at trial. They submit that given Eugene's role in these proceedings, his evidence is crucial in regard to several matters at issue. In support of their submission, they cite Sopinka, S.N. Lederman and A.W. Bryant, </w:t>
      </w:r>
      <w:r>
        <w:rPr>
          <w:rFonts w:ascii="arial" w:eastAsia="arial" w:hAnsi="arial" w:cs="arial"/>
          <w:i/>
          <w:color w:val="000000"/>
          <w:sz w:val="20"/>
          <w:lang w:val="en-US" w:eastAsia="en-US" w:bidi="ar-SA"/>
        </w:rPr>
        <w:t>The Law of Evidence in Canada,</w:t>
      </w:r>
      <w:r>
        <w:rPr>
          <w:rFonts w:ascii="arial" w:eastAsia="arial" w:hAnsi="arial" w:cs="arial"/>
          <w:color w:val="000000"/>
          <w:sz w:val="20"/>
          <w:lang w:val="en-US" w:eastAsia="en-US" w:bidi="ar-SA"/>
        </w:rPr>
        <w:t xml:space="preserve"> 2d ed. (Toronto: Butterworths, 1999) where the authors state at 297: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civil cases, an unfavourable inference can be drawn when, in the absence of an explanation, a party litigant does not testify, or fails to provide affidavit evidence on an application, or fails to call a witness who would have knowledge of the facts and would be assumed to be willing to assist that party. In the same vein, an adverse inference may be drawn against a party who does not call a material witness over whom he or she has exclusive control and does not explain it away. Such failure amounts to an implied admission that the evidence of the absent witness would be contrary to the party's case, or at least would not support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The defendants submit that such an inference should not be drawn in this case. Mr. Dives on behalf of Eugene notes that Eugene is not simply a witness, but also a party and, more importantly, a defendant in a case in which the plaintiff bears the burden of proof. He submits that a defendant is entitled to say: "you have not made out your case so there is nothing to answer." He submits that the plaintiffs' submission is an attempt to shift the burden of proof by making the defendant respond to matters that the plaintiffs have not 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Jolivet</w:t>
      </w:r>
      <w:r>
        <w:rPr>
          <w:rFonts w:ascii="arial" w:eastAsia="arial" w:hAnsi="arial" w:cs="arial"/>
          <w:color w:val="000000"/>
          <w:sz w:val="20"/>
          <w:lang w:val="en-US" w:eastAsia="en-US" w:bidi="ar-SA"/>
        </w:rPr>
        <w:t xml:space="preserve">, </w:t>
      </w:r>
      <w:hyperlink r:id="rId381" w:history="1">
        <w:r>
          <w:rPr>
            <w:rFonts w:ascii="arial" w:eastAsia="arial" w:hAnsi="arial" w:cs="arial"/>
            <w:i/>
            <w:color w:val="0077CC"/>
            <w:sz w:val="20"/>
            <w:u w:val="single"/>
            <w:shd w:val="clear" w:color="auto" w:fill="FFFFFF"/>
            <w:lang w:val="en-US" w:eastAsia="en-US" w:bidi="ar-SA"/>
          </w:rPr>
          <w:t>2000 SCC 29</w:t>
        </w:r>
      </w:hyperlink>
      <w:r>
        <w:rPr>
          <w:rFonts w:ascii="arial" w:eastAsia="arial" w:hAnsi="arial" w:cs="arial"/>
          <w:color w:val="000000"/>
          <w:sz w:val="20"/>
          <w:lang w:val="en-US" w:eastAsia="en-US" w:bidi="ar-SA"/>
        </w:rPr>
        <w:t xml:space="preserve">, </w:t>
      </w:r>
      <w:hyperlink r:id="rId381" w:history="1">
        <w:r>
          <w:rPr>
            <w:rFonts w:ascii="arial" w:eastAsia="arial" w:hAnsi="arial" w:cs="arial"/>
            <w:i/>
            <w:color w:val="0077CC"/>
            <w:sz w:val="20"/>
            <w:u w:val="single"/>
            <w:shd w:val="clear" w:color="auto" w:fill="FFFFFF"/>
            <w:lang w:val="en-US" w:eastAsia="en-US" w:bidi="ar-SA"/>
          </w:rPr>
          <w:t>[2000] 1 S.C.R. 751</w:t>
        </w:r>
      </w:hyperlink>
      <w:r>
        <w:rPr>
          <w:rFonts w:ascii="arial" w:eastAsia="arial" w:hAnsi="arial" w:cs="arial"/>
          <w:color w:val="000000"/>
          <w:sz w:val="20"/>
          <w:lang w:val="en-US" w:eastAsia="en-US" w:bidi="ar-SA"/>
        </w:rPr>
        <w:t>, the court at paras. 25-28 reviewed the principles governing the drawing of adverse inferences: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25.</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 general rule developed in civil cases respecting adverse inferences from failure to tender a witness goes back at least to </w:t>
            </w:r>
            <w:r>
              <w:rPr>
                <w:rFonts w:ascii="arial" w:eastAsia="arial" w:hAnsi="arial" w:cs="arial"/>
                <w:i/>
                <w:color w:val="000000"/>
                <w:sz w:val="18"/>
                <w:lang w:val="en-US" w:eastAsia="en-US" w:bidi="ar-SA"/>
              </w:rPr>
              <w:t>Blatch v. Archer</w:t>
            </w:r>
            <w:r>
              <w:rPr>
                <w:rFonts w:ascii="arial" w:eastAsia="arial" w:hAnsi="arial" w:cs="arial"/>
                <w:color w:val="000000"/>
                <w:sz w:val="18"/>
                <w:lang w:val="en-US" w:eastAsia="en-US" w:bidi="ar-SA"/>
              </w:rPr>
              <w:t xml:space="preserve"> (1774), 1 Cowp. 63, 98 E.R. 969, where, at p. 65, Lord Mansfield stated: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2160"/>
        <w:rPr>
          <w:rFonts w:ascii="arial" w:eastAsia="arial" w:hAnsi="arial" w:cs="arial"/>
          <w:sz w:val="20"/>
          <w:lang w:val="en-US" w:eastAsia="en-US" w:bidi="ar-SA"/>
        </w:rPr>
      </w:pPr>
      <w:r>
        <w:rPr>
          <w:rFonts w:ascii="arial" w:eastAsia="arial" w:hAnsi="arial" w:cs="arial"/>
          <w:color w:val="000000"/>
          <w:sz w:val="20"/>
          <w:lang w:val="en-US" w:eastAsia="en-US" w:bidi="ar-SA"/>
        </w:rPr>
        <w:t>It is certainly a maxim that all evidence is to be weighed according to the proof which it was in the power of one side to have produced, and in the power of the other to have contradicted.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26.</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 principle applies in criminal cases, but with due regard to the division of responsibilities between the Crown and the defence, as explained below. It is subject to many conditions. The party against whom the adverse inference is sought may, for example, give a satisfactory explanation for the failure to call the witness as explained in </w:t>
            </w:r>
            <w:r>
              <w:rPr>
                <w:rFonts w:ascii="arial" w:eastAsia="arial" w:hAnsi="arial" w:cs="arial"/>
                <w:i/>
                <w:color w:val="000000"/>
                <w:sz w:val="18"/>
                <w:lang w:val="en-US" w:eastAsia="en-US" w:bidi="ar-SA"/>
              </w:rPr>
              <w:t>R. v. Rooke</w:t>
            </w:r>
            <w:r>
              <w:rPr>
                <w:rFonts w:ascii="arial" w:eastAsia="arial" w:hAnsi="arial" w:cs="arial"/>
                <w:color w:val="000000"/>
                <w:sz w:val="18"/>
                <w:lang w:val="en-US" w:eastAsia="en-US" w:bidi="ar-SA"/>
              </w:rPr>
              <w:t xml:space="preserve"> </w:t>
            </w:r>
            <w:hyperlink r:id="rId382" w:history="1">
              <w:r>
                <w:rPr>
                  <w:rFonts w:ascii="arial" w:eastAsia="arial" w:hAnsi="arial" w:cs="arial"/>
                  <w:i/>
                  <w:color w:val="0077CC"/>
                  <w:sz w:val="18"/>
                  <w:u w:val="single"/>
                  <w:shd w:val="clear" w:color="auto" w:fill="FFFFFF"/>
                  <w:lang w:val="en-US" w:eastAsia="en-US" w:bidi="ar-SA"/>
                </w:rPr>
                <w:t>(1988), 40 C.C.C. (3d) 484</w:t>
              </w:r>
            </w:hyperlink>
            <w:r>
              <w:rPr>
                <w:rFonts w:ascii="arial" w:eastAsia="arial" w:hAnsi="arial" w:cs="arial"/>
                <w:color w:val="000000"/>
                <w:sz w:val="18"/>
                <w:lang w:val="en-US" w:eastAsia="en-US" w:bidi="ar-SA"/>
              </w:rPr>
              <w:t xml:space="preserve"> (B.C.C.A.), at p. 513, quoting </w:t>
            </w:r>
            <w:r>
              <w:rPr>
                <w:rFonts w:ascii="arial" w:eastAsia="arial" w:hAnsi="arial" w:cs="arial"/>
                <w:i/>
                <w:color w:val="000000"/>
                <w:sz w:val="18"/>
                <w:lang w:val="en-US" w:eastAsia="en-US" w:bidi="ar-SA"/>
              </w:rPr>
              <w:t>Wigmore on Evidence</w:t>
            </w:r>
            <w:r>
              <w:rPr>
                <w:rFonts w:ascii="arial" w:eastAsia="arial" w:hAnsi="arial" w:cs="arial"/>
                <w:color w:val="000000"/>
                <w:sz w:val="18"/>
                <w:lang w:val="en-US" w:eastAsia="en-US" w:bidi="ar-SA"/>
              </w:rPr>
              <w:t xml:space="preserve"> (Chadbourn rev. 1979), vol. 2, at para. 290: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216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any event, the party affected by the inference may of course </w:t>
      </w:r>
      <w:r>
        <w:rPr>
          <w:rFonts w:ascii="arial" w:eastAsia="arial" w:hAnsi="arial" w:cs="arial"/>
          <w:i/>
          <w:color w:val="000000"/>
          <w:sz w:val="20"/>
          <w:lang w:val="en-US" w:eastAsia="en-US" w:bidi="ar-SA"/>
        </w:rPr>
        <w:t>explain</w:t>
      </w:r>
      <w:r>
        <w:rPr>
          <w:rFonts w:ascii="arial" w:eastAsia="arial" w:hAnsi="arial" w:cs="arial"/>
          <w:color w:val="000000"/>
          <w:sz w:val="20"/>
          <w:lang w:val="en-US" w:eastAsia="en-US" w:bidi="ar-SA"/>
        </w:rPr>
        <w:t xml:space="preserve"> it away by showing circumstances which otherwise account for his failure to produce the witness. There should be no limitation upon this right to explain, except that the trial judge is to be satisfied that the circumstances thus offered would, </w:t>
      </w:r>
      <w:r>
        <w:rPr>
          <w:rFonts w:ascii="arial" w:eastAsia="arial" w:hAnsi="arial" w:cs="arial"/>
          <w:color w:val="000000"/>
          <w:sz w:val="20"/>
          <w:u w:val="single"/>
          <w:lang w:val="en-US" w:eastAsia="en-US" w:bidi="ar-SA"/>
        </w:rPr>
        <w:t>in ordinary logic and experience</w:t>
      </w:r>
      <w:r>
        <w:rPr>
          <w:rFonts w:ascii="arial" w:eastAsia="arial" w:hAnsi="arial" w:cs="arial"/>
          <w:color w:val="000000"/>
          <w:sz w:val="20"/>
          <w:lang w:val="en-US" w:eastAsia="en-US" w:bidi="ar-SA"/>
        </w:rPr>
        <w:t>, furnish a plausible reason for nonproduction. [Italics in original; 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27.</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 party in question may have no special access to the potential witness. On the other hand, the "missing proof" may lie in the "peculiar power" of the party against whom the adverse inference is sought to be drawn: </w:t>
            </w:r>
            <w:r>
              <w:rPr>
                <w:rFonts w:ascii="arial" w:eastAsia="arial" w:hAnsi="arial" w:cs="arial"/>
                <w:i/>
                <w:color w:val="000000"/>
                <w:sz w:val="18"/>
                <w:lang w:val="en-US" w:eastAsia="en-US" w:bidi="ar-SA"/>
              </w:rPr>
              <w:t>Graves v. United States</w:t>
            </w:r>
            <w:r>
              <w:rPr>
                <w:rFonts w:ascii="arial" w:eastAsia="arial" w:hAnsi="arial" w:cs="arial"/>
                <w:color w:val="000000"/>
                <w:sz w:val="18"/>
                <w:lang w:val="en-US" w:eastAsia="en-US" w:bidi="ar-SA"/>
              </w:rPr>
              <w:t>, 150 U.S. 118 (1893), at p. 121. In the latter case there is a stronger basis for an adverse inference.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28.</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One must also be precise about the exact nature of the "adverse inference" sought to be drawn. In J. Sopinka, S. N. Lederman and A.W. Bryant, </w:t>
            </w:r>
            <w:r>
              <w:rPr>
                <w:rFonts w:ascii="arial" w:eastAsia="arial" w:hAnsi="arial" w:cs="arial"/>
                <w:i/>
                <w:color w:val="000000"/>
                <w:sz w:val="18"/>
                <w:lang w:val="en-US" w:eastAsia="en-US" w:bidi="ar-SA"/>
              </w:rPr>
              <w:t>The Law of Evidence in Canada</w:t>
            </w:r>
            <w:r>
              <w:rPr>
                <w:rFonts w:ascii="arial" w:eastAsia="arial" w:hAnsi="arial" w:cs="arial"/>
                <w:color w:val="000000"/>
                <w:sz w:val="18"/>
                <w:lang w:val="en-US" w:eastAsia="en-US" w:bidi="ar-SA"/>
              </w:rPr>
              <w:t xml:space="preserve"> (2nd ed. 1999), at p. 297, para. 6.321, it is pointed out that the failure to call evidence may, depending on the circumstances, amount "to an implied admission that the evidence of the absent witness would be contrary to the party's case, </w:t>
            </w:r>
            <w:r>
              <w:rPr>
                <w:rFonts w:ascii="arial" w:eastAsia="arial" w:hAnsi="arial" w:cs="arial"/>
                <w:color w:val="000000"/>
                <w:sz w:val="18"/>
                <w:u w:val="single"/>
                <w:lang w:val="en-US" w:eastAsia="en-US" w:bidi="ar-SA"/>
              </w:rPr>
              <w:t>or at least would not support it</w:t>
            </w:r>
            <w:r>
              <w:rPr>
                <w:rFonts w:ascii="arial" w:eastAsia="arial" w:hAnsi="arial" w:cs="arial"/>
                <w:color w:val="000000"/>
                <w:sz w:val="18"/>
                <w:lang w:val="en-US" w:eastAsia="en-US" w:bidi="ar-SA"/>
              </w:rPr>
              <w:t xml:space="preserve">" (emphasis added), as stated in the civil case of </w:t>
            </w:r>
            <w:r>
              <w:rPr>
                <w:rFonts w:ascii="arial" w:eastAsia="arial" w:hAnsi="arial" w:cs="arial"/>
                <w:i/>
                <w:color w:val="000000"/>
                <w:sz w:val="18"/>
                <w:lang w:val="en-US" w:eastAsia="en-US" w:bidi="ar-SA"/>
              </w:rPr>
              <w:t>Murray v. Saskatoon</w:t>
            </w:r>
            <w:r>
              <w:rPr>
                <w:rFonts w:ascii="arial" w:eastAsia="arial" w:hAnsi="arial" w:cs="arial"/>
                <w:color w:val="000000"/>
                <w:sz w:val="18"/>
                <w:lang w:val="en-US" w:eastAsia="en-US" w:bidi="ar-SA"/>
              </w:rPr>
              <w:t xml:space="preserve">, </w:t>
            </w:r>
            <w:hyperlink r:id="rId383" w:history="1">
              <w:r>
                <w:rPr>
                  <w:rFonts w:ascii="arial" w:eastAsia="arial" w:hAnsi="arial" w:cs="arial"/>
                  <w:i/>
                  <w:color w:val="0077CC"/>
                  <w:sz w:val="18"/>
                  <w:u w:val="single"/>
                  <w:shd w:val="clear" w:color="auto" w:fill="FFFFFF"/>
                  <w:lang w:val="en-US" w:eastAsia="en-US" w:bidi="ar-SA"/>
                </w:rPr>
                <w:t>[1952] 2 D.L.R. 499</w:t>
              </w:r>
            </w:hyperlink>
            <w:r>
              <w:rPr>
                <w:rFonts w:ascii="arial" w:eastAsia="arial" w:hAnsi="arial" w:cs="arial"/>
                <w:color w:val="000000"/>
                <w:sz w:val="18"/>
                <w:lang w:val="en-US" w:eastAsia="en-US" w:bidi="ar-SA"/>
              </w:rPr>
              <w:t xml:space="preserve"> (Sask. C.A.), at p. 506. The circumstances in which trial counsel decide not to call a particular witness may restrict the nature of the appropriate "adverse inference". Experienced trial lawyers will often decide against calling an available witness because the point has been adequately covered by another witness, or an honest witness has a poor demeanour, or other factors unrelated to the truth of the testimony. Other jurisdictions also recognize that in many cases the most that can be inferred is that the testimony would not have been helpful to a party, not necessarily that it would have been adverse: </w:t>
            </w:r>
            <w:r>
              <w:rPr>
                <w:rFonts w:ascii="arial" w:eastAsia="arial" w:hAnsi="arial" w:cs="arial"/>
                <w:i/>
                <w:color w:val="000000"/>
                <w:sz w:val="18"/>
                <w:lang w:val="en-US" w:eastAsia="en-US" w:bidi="ar-SA"/>
              </w:rPr>
              <w:t>United States v. Hines</w:t>
            </w:r>
            <w:r>
              <w:rPr>
                <w:rFonts w:ascii="arial" w:eastAsia="arial" w:hAnsi="arial" w:cs="arial"/>
                <w:color w:val="000000"/>
                <w:sz w:val="18"/>
                <w:lang w:val="en-US" w:eastAsia="en-US" w:bidi="ar-SA"/>
              </w:rPr>
              <w:t xml:space="preserve">, 470 F (2d) 225 (3rd Cir. 1972), at p. 230, </w:t>
            </w:r>
            <w:r>
              <w:rPr>
                <w:rFonts w:ascii="arial" w:eastAsia="arial" w:hAnsi="arial" w:cs="arial"/>
                <w:i/>
                <w:color w:val="000000"/>
                <w:sz w:val="18"/>
                <w:lang w:val="en-US" w:eastAsia="en-US" w:bidi="ar-SA"/>
              </w:rPr>
              <w:t>certiorari</w:t>
            </w:r>
            <w:r>
              <w:rPr>
                <w:rFonts w:ascii="arial" w:eastAsia="arial" w:hAnsi="arial" w:cs="arial"/>
                <w:color w:val="000000"/>
                <w:sz w:val="18"/>
                <w:lang w:val="en-US" w:eastAsia="en-US" w:bidi="ar-SA"/>
              </w:rPr>
              <w:t xml:space="preserve"> denied, 410 U.S. 968 96 (1973); and the Australian cases of </w:t>
            </w:r>
            <w:r>
              <w:rPr>
                <w:rFonts w:ascii="arial" w:eastAsia="arial" w:hAnsi="arial" w:cs="arial"/>
                <w:i/>
                <w:color w:val="000000"/>
                <w:sz w:val="18"/>
                <w:lang w:val="en-US" w:eastAsia="en-US" w:bidi="ar-SA"/>
              </w:rPr>
              <w:t>Duke Group Ltd. (in Liquidation) v. Pilmer &amp; Ors</w:t>
            </w:r>
            <w:r>
              <w:rPr>
                <w:rFonts w:ascii="arial" w:eastAsia="arial" w:hAnsi="arial" w:cs="arial"/>
                <w:color w:val="000000"/>
                <w:sz w:val="18"/>
                <w:lang w:val="en-US" w:eastAsia="en-US" w:bidi="ar-SA"/>
              </w:rPr>
              <w:t xml:space="preserve">, [1998] A.S.O.U. 6529, and </w:t>
            </w:r>
            <w:r>
              <w:rPr>
                <w:rFonts w:ascii="arial" w:eastAsia="arial" w:hAnsi="arial" w:cs="arial"/>
                <w:i/>
                <w:color w:val="000000"/>
                <w:sz w:val="18"/>
                <w:lang w:val="en-US" w:eastAsia="en-US" w:bidi="ar-SA"/>
              </w:rPr>
              <w:t>O'Donnell v. Reichard</w:t>
            </w:r>
            <w:r>
              <w:rPr>
                <w:rFonts w:ascii="arial" w:eastAsia="arial" w:hAnsi="arial" w:cs="arial"/>
                <w:color w:val="000000"/>
                <w:sz w:val="18"/>
                <w:lang w:val="en-US" w:eastAsia="en-US" w:bidi="ar-SA"/>
              </w:rPr>
              <w:t>, [1975] V.R. 916 (S.C.), at p. 929.</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In this case, counsel for both Eugene and Howard offered explanations for their decision not to call Eugene. Mr. Dives advised that Eugene was not called because, in his view, there was no case to meet. Further, he says the expenses involved in bringing Eugene from Florida to testify at the trial would have been significant. He did not suggest, however, that Eugene's attendance was financially impossible.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Mr. Harris, on behalf of Howard, further advised that he had no special access to Eugene as a witness and had no way of compelling his attendance. He does not suggest, however, that Eugene would have refused to testify on Howard's behalf if asked.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Both Mr. Dives and Mr. Harris note that Eugene was extensively examined for discovery and the nature of his evidence is known to the plaintiffs. They submit that if the plaintiffs thought that Eugene's evidence would be of assistance to them they should have taken steps to compel his attendance pursuant to the adverse witness rule (Rule 40(17)).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xml:space="preserve">  As noted by Saunders J.A. in </w:t>
      </w:r>
      <w:r>
        <w:rPr>
          <w:rFonts w:ascii="arial" w:eastAsia="arial" w:hAnsi="arial" w:cs="arial"/>
          <w:i/>
          <w:color w:val="000000"/>
          <w:sz w:val="20"/>
          <w:lang w:val="en-US" w:eastAsia="en-US" w:bidi="ar-SA"/>
        </w:rPr>
        <w:t>Buksh v. Miles</w:t>
      </w:r>
      <w:r>
        <w:rPr>
          <w:rFonts w:ascii="arial" w:eastAsia="arial" w:hAnsi="arial" w:cs="arial"/>
          <w:color w:val="000000"/>
          <w:sz w:val="20"/>
          <w:lang w:val="en-US" w:eastAsia="en-US" w:bidi="ar-SA"/>
        </w:rPr>
        <w:t xml:space="preserve">, </w:t>
      </w:r>
      <w:hyperlink r:id="rId384" w:history="1">
        <w:r>
          <w:rPr>
            <w:rFonts w:ascii="arial" w:eastAsia="arial" w:hAnsi="arial" w:cs="arial"/>
            <w:i/>
            <w:color w:val="0077CC"/>
            <w:sz w:val="20"/>
            <w:u w:val="single"/>
            <w:shd w:val="clear" w:color="auto" w:fill="FFFFFF"/>
            <w:lang w:val="en-US" w:eastAsia="en-US" w:bidi="ar-SA"/>
          </w:rPr>
          <w:t>2008 BCCA 318</w:t>
        </w:r>
      </w:hyperlink>
      <w:r>
        <w:rPr>
          <w:rFonts w:ascii="arial" w:eastAsia="arial" w:hAnsi="arial" w:cs="arial"/>
          <w:color w:val="000000"/>
          <w:sz w:val="20"/>
          <w:lang w:val="en-US" w:eastAsia="en-US" w:bidi="ar-SA"/>
        </w:rPr>
        <w:t xml:space="preserve"> at para. 30, </w:t>
      </w:r>
      <w:hyperlink r:id="rId384" w:history="1">
        <w:r>
          <w:rPr>
            <w:rFonts w:ascii="arial" w:eastAsia="arial" w:hAnsi="arial" w:cs="arial"/>
            <w:i/>
            <w:color w:val="0077CC"/>
            <w:sz w:val="20"/>
            <w:u w:val="single"/>
            <w:shd w:val="clear" w:color="auto" w:fill="FFFFFF"/>
            <w:lang w:val="en-US" w:eastAsia="en-US" w:bidi="ar-SA"/>
          </w:rPr>
          <w:t>83 B.C.L.R. (4th) 162</w:t>
        </w:r>
      </w:hyperlink>
      <w:r>
        <w:rPr>
          <w:rFonts w:ascii="arial" w:eastAsia="arial" w:hAnsi="arial" w:cs="arial"/>
          <w:color w:val="000000"/>
          <w:sz w:val="20"/>
          <w:lang w:val="en-US" w:eastAsia="en-US" w:bidi="ar-SA"/>
        </w:rPr>
        <w:t>, the notion of adverse inference is related to the best evidence rule. The inference should only be drawn in regard to the non-production of witnesses whose testimony would be superior in respect of the facts to be 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In this case, Eugene is a crucial witness in regard to many contested events, most particularly in regard to the circumstances giving rise to the appointment of Howard as trustee and the sale of the Big Nine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xml:space="preserve">  The fact that Eugene has testified at examination for discovery is not in itself sufficient reason to not draw an adverse inference. As noted by Slatter J. in </w:t>
      </w:r>
      <w:r>
        <w:rPr>
          <w:rFonts w:ascii="arial" w:eastAsia="arial" w:hAnsi="arial" w:cs="arial"/>
          <w:i/>
          <w:color w:val="000000"/>
          <w:sz w:val="20"/>
          <w:lang w:val="en-US" w:eastAsia="en-US" w:bidi="ar-SA"/>
        </w:rPr>
        <w:t>Wade v. Baxter,</w:t>
      </w:r>
      <w:r>
        <w:rPr>
          <w:rFonts w:ascii="arial" w:eastAsia="arial" w:hAnsi="arial" w:cs="arial"/>
          <w:color w:val="000000"/>
          <w:sz w:val="20"/>
          <w:lang w:val="en-US" w:eastAsia="en-US" w:bidi="ar-SA"/>
        </w:rPr>
        <w:t xml:space="preserve"> </w:t>
      </w:r>
      <w:hyperlink r:id="rId385" w:history="1">
        <w:r>
          <w:rPr>
            <w:rFonts w:ascii="arial" w:eastAsia="arial" w:hAnsi="arial" w:cs="arial"/>
            <w:i/>
            <w:color w:val="0077CC"/>
            <w:sz w:val="20"/>
            <w:u w:val="single"/>
            <w:shd w:val="clear" w:color="auto" w:fill="FFFFFF"/>
            <w:lang w:val="en-US" w:eastAsia="en-US" w:bidi="ar-SA"/>
          </w:rPr>
          <w:t>2001 ABQB 812</w:t>
        </w:r>
      </w:hyperlink>
      <w:r>
        <w:rPr>
          <w:rFonts w:ascii="arial" w:eastAsia="arial" w:hAnsi="arial" w:cs="arial"/>
          <w:color w:val="000000"/>
          <w:sz w:val="20"/>
          <w:lang w:val="en-US" w:eastAsia="en-US" w:bidi="ar-SA"/>
        </w:rPr>
        <w:t xml:space="preserve"> at paras. 20-21, </w:t>
      </w:r>
      <w:hyperlink r:id="rId385" w:history="1">
        <w:r>
          <w:rPr>
            <w:rFonts w:ascii="arial" w:eastAsia="arial" w:hAnsi="arial" w:cs="arial"/>
            <w:i/>
            <w:color w:val="0077CC"/>
            <w:sz w:val="20"/>
            <w:u w:val="single"/>
            <w:shd w:val="clear" w:color="auto" w:fill="FFFFFF"/>
            <w:lang w:val="en-US" w:eastAsia="en-US" w:bidi="ar-SA"/>
          </w:rPr>
          <w:t>[2002] 3 W.W.R. 133</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Counsel for the Defendant argues that no adverse inference should be drawn when the missing witness has been examined for discovery, citing </w:t>
      </w:r>
      <w:r>
        <w:rPr>
          <w:rFonts w:ascii="arial" w:eastAsia="arial" w:hAnsi="arial" w:cs="arial"/>
          <w:i/>
          <w:color w:val="000000"/>
          <w:sz w:val="20"/>
          <w:lang w:val="en-US" w:eastAsia="en-US" w:bidi="ar-SA"/>
        </w:rPr>
        <w:t>Gibb v. Ellis</w:t>
      </w:r>
      <w:r>
        <w:rPr>
          <w:rFonts w:ascii="arial" w:eastAsia="arial" w:hAnsi="arial" w:cs="arial"/>
          <w:color w:val="000000"/>
          <w:sz w:val="20"/>
          <w:lang w:val="en-US" w:eastAsia="en-US" w:bidi="ar-SA"/>
        </w:rPr>
        <w:t xml:space="preserve"> </w:t>
      </w:r>
      <w:hyperlink r:id="rId386" w:history="1">
        <w:r>
          <w:rPr>
            <w:rFonts w:ascii="arial" w:eastAsia="arial" w:hAnsi="arial" w:cs="arial"/>
            <w:i/>
            <w:color w:val="0077CC"/>
            <w:sz w:val="20"/>
            <w:u w:val="single"/>
            <w:shd w:val="clear" w:color="auto" w:fill="FFFFFF"/>
            <w:lang w:val="en-US" w:eastAsia="en-US" w:bidi="ar-SA"/>
          </w:rPr>
          <w:t>(1959), 17 D.L.R. (2d) 262</w:t>
        </w:r>
      </w:hyperlink>
      <w:r>
        <w:rPr>
          <w:rFonts w:ascii="arial" w:eastAsia="arial" w:hAnsi="arial" w:cs="arial"/>
          <w:color w:val="000000"/>
          <w:sz w:val="20"/>
          <w:lang w:val="en-US" w:eastAsia="en-US" w:bidi="ar-SA"/>
        </w:rPr>
        <w:t xml:space="preserve"> (B.C.S.C.) and </w:t>
      </w:r>
      <w:r>
        <w:rPr>
          <w:rFonts w:ascii="arial" w:eastAsia="arial" w:hAnsi="arial" w:cs="arial"/>
          <w:i/>
          <w:color w:val="000000"/>
          <w:sz w:val="20"/>
          <w:lang w:val="en-US" w:eastAsia="en-US" w:bidi="ar-SA"/>
        </w:rPr>
        <w:t>Decoine v. Firstrider</w:t>
      </w:r>
      <w:r>
        <w:rPr>
          <w:rFonts w:ascii="arial" w:eastAsia="arial" w:hAnsi="arial" w:cs="arial"/>
          <w:color w:val="000000"/>
          <w:sz w:val="20"/>
          <w:lang w:val="en-US" w:eastAsia="en-US" w:bidi="ar-SA"/>
        </w:rPr>
        <w:t xml:space="preserve"> (1993), </w:t>
      </w:r>
      <w:hyperlink r:id="rId387" w:history="1">
        <w:r>
          <w:rPr>
            <w:rFonts w:ascii="arial" w:eastAsia="arial" w:hAnsi="arial" w:cs="arial"/>
            <w:i/>
            <w:color w:val="0077CC"/>
            <w:sz w:val="20"/>
            <w:u w:val="single"/>
            <w:shd w:val="clear" w:color="auto" w:fill="FFFFFF"/>
            <w:lang w:val="en-US" w:eastAsia="en-US" w:bidi="ar-SA"/>
          </w:rPr>
          <w:t>9 Alta. L.R. (3d) 113</w:t>
        </w:r>
      </w:hyperlink>
      <w:r>
        <w:rPr>
          <w:rFonts w:ascii="arial" w:eastAsia="arial" w:hAnsi="arial" w:cs="arial"/>
          <w:color w:val="000000"/>
          <w:sz w:val="20"/>
          <w:lang w:val="en-US" w:eastAsia="en-US" w:bidi="ar-SA"/>
        </w:rPr>
        <w:t xml:space="preserve"> (C.A.). Those cases proceed on the assumption that if the missing witness was examined for discovery, then any relevant evidence he might have could be read in by the opposing party. This assumes that the missing witness gave evidence at examination for discovery that is accepted by the other party, or consistent with the other party's case. It does not account for the situation where the missing witness gave diametrically opposed evidence, which the opposing party says is fabricated or inaccurate.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That the missing witness was examined for discovery cannot be a complete answer. For example, a plaintiff might testify to one particular version of events. Assume that the defendant's passenger testified to a different version of the events, and the defendant did not testify at all. If the version given by the defendant at examinations for discovery is consistent with his passenger, but diametrically opposed to what the plaintiff says, then the plaintiff is hardly going to read those answers in. In such a situation, the plaintiff is entitled to call for an adverse inference. If the defendant were to testify, the plaintiff would be in a position to ask the trial judge to disbelieve the evidence of the defendant based on the cross-examination, something which is not possible merely by use of discovery transcripts.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Those comments are, in my view, applicable to the circumstances in the case at bar. This is not a case in which the plaintiffs believe that Eugene's evidence in chief will support the plaintiffs' case. Rather, it is a case in which they believe that if Eugene testified and was subject to cross-examination, his evidence would not be believed with the result that the plaintiffs' case would be strengthened and that of the defendants weakened.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That the plaintiffs could call Eugene as an adverse witness is not determinative. If that was so, then an adverse inference could never be drawn against a defendant who chooses not to testify. I do not believe that to be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The explanations for not calling Eugene do not furnish a plausible reason for his decision not to testify. While I appreciate that his attendance would not come without some costs, those additional costs must be considered in the context of this proceeding as a whole. As noted, this trial lasted some 68 days. The added costs arising from Eugene's testimony would be but a fraction of the costs expended.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Howard does not suggest that financial considerations caused him not to call Eugene. Nor does he suggest that Eugene would have refused to testify if asked.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The foundation of Howard's defence is premised on his not knowing that Harold had the right to act as co-trustee. Critical to that defence is what Eugene told Howard, if anything, about Harold's right to be a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The evaluation of that defence requires the court to consider Howard's and Eugene's credibility. Eugene has been aligned with Howard throughout. Only Eugene and Howard know what was said. Eugene's decision not to testify and Howard's decision not to call Eugene deprive the court of the best evidence of those conversations. In the circumstances of this case, the failure of Eugene to testify or Howard to call him gives rise to an adverse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CONTESTED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In the course of the chronology, I have made reference to various matters where the evidence of the parties is in dispute and referenced several of the contested legal issues. I will now turn to resolving the critical factual disputes and determining the various legal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The disputed issues of fact and law are several and in many cases inter-related. They include the following:</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matters concerning Howard's appointment as trustee, including when he was first approached, whether he discussed the appointment with Mason, whether he knew Harold could be co-trustee and whether he was in a disqualifying conflict;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matters concerning Harold as co-trustee, including whether Harold, his children, or Tommy knew he had the right to be co-trustee, whether Howard and Eugene failed to disclose information concerning Harold's right to be co-trustee, whether Harold was able to act as co-trustee and whether Harold ever became the co-trustee;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reasons Howard accepted his appointment as trustee and the existence of the Liquidation Plan;</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matters concerning the BNO Share Transaction, including whether the BNT Trust Agreement contained a power of sale, whether Howard had authority to sell the shares, whether Tommy agreed to the sale and whether the way the sale was carried out was reasonable;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Eugene or Mason knowingly assisted in a breach of trust;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sale of the Big Nine shares was at an improvident price such that the plaintiffs suffered damages;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matters involving the GRO and the GRT, including the original beneficial ownership of the GRO shares and nature of the GRT;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matters concerning the distribution of the BNT and the GRT, including whether Howard could require a release before distributing the proceeds of the BNO Share Transaction, whether the BNO Share Transaction proceeds could be properly distributed to some but not all beneficiaries and whether Howard distributed the beneficial interest in the GRO shares;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matters involving the claims against William, including whether the sale of the Trapline was a breach of trust and whether William's refusal to transfer the GRO shares was a breach of trust;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validity of the Bronson and Davis Assignments;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Howard should be exonerated for any breaches of trust;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enforceability of the Davis Release;</w:t>
      </w:r>
    </w:p>
    <w:p>
      <w:pPr>
        <w:numPr>
          <w:numId w:val="1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third party claim against Tommy; and</w:t>
      </w:r>
    </w:p>
    <w:p>
      <w:pPr>
        <w:numPr>
          <w:numId w:val="1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Howard should be removed as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I will attempt to resolve each issue in turn. Some of the issues have other issues imbedded in them. The answer to certain issues may make it unnecessary to answer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 Howard's Appointment as Trustee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With regard to Howard's appointment as trustee, the issues include when was Howard first approached as to becoming a trustee, whether Howard discussed his appointment with Mason, was Howard aware that Harold was entitled to become co-trustee and did Howard's status as a creditor of Eugene, Mary Lou and the Lewis Family Trust create a disqualifying conflict of interest.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 When First Approached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Howard testified that Eugene first approached him to be trustee in September 2002. The evidence suggests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The question of replacing Audrey as trustee first arose on the evidence in July 2002. At that time, Eugene was in correspondence and discussions with Callison and Mason concerning the replacement of Audrey as trustee. In his initial conversation with Mason on July 25, 2002, Eugene told Mason that Howard was willing to accept the trusteeship. In his email of August 3, 2002, he advised Mason that he intended to send her a memo with several of Howard's questions. In his email of August 22, 2002, Eugene again advised Mason that Howard would accept the trusteeship.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I find that Eugene would not have made such statements if he had not already spoken to Howard concerning the appointment. I find that Eugene first approached Howard concerning the appointment before September 2002 and most likely sometime in July or August 2002.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iii. Discussion with Mason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Howard testified that before agreeing to become trustee he phoned Mason. He says he did so because he wanted to talk to someone besides Eugene concerning the trust and his responsibilities. He testified that Mason told him that he was "square" to take over as trustee. On his examination for discovery, he testified that Mason told him he would be the sole trustee. He believes that Eugene was in his office at the time of the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Mason denies having spoken to Hewitt anytime in 2002. Her notes and timesheets do not record any such conversation. She agrees that her recollection of these events is largely based on her file notes and she cannot say for certain whether a call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Mason testified that she is a meticulous note keeper. She says she attempts to record and make notes of all legal matters, even to the extent of recording calls that went unanswered. Her file reflects and confirms her evidence that she records all significant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I do not accept Howard's evidence that he spoke to Mason prior to accepting his appointment. Such a conversation would have been of significant importance to Mason and, consistent with her practice, she would have made notes of that conversation. Further, it is not credible that Mason would have told Howard that he was going to be the sole trustee. She knew, as set out in her email correspondence with Eugene, that Harold had the right to be co-trustee. She would not have told Howard the opposite.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I find that Howard did not consult with Mason prior to agreeing to become a trustee.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iv. Knowledge of Harold as Co-Trustee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Howard testified that he was never aware that Harold had the right to be co-trustee, and that if he had been so aware he would have refused to take up the appointment. He says the subject of Harold becoming trustee never even came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On July 25, 2002, Eugene spoke to Mason concerning Audrey's resignation. In that conversation, he told Mason Harold had the right to be co-trustee when Audrey resigned. He emphasized to her that he did not want that to happen.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On August 2, 2002, Mason, after reviewing the BNT Trust Agreement and the Revocation Letters, emailed Eugene. In that email, she advised that on Audrey's resignation, Eugene and Harold became co-trustees and if either of them resigned, Howard would step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On August 22, 2002, Eugene emailed Mason. In that email, he advised that he did not intend to take up his appointment. He advised that he did not know Harold's intentions and continued "at a minimum that would make Howard and Harold co-trustees would it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On August 23, 2002, Mason replied. She advised that if Eugene resigned, Howard and Harold would become co-trustees, providing Harold took up his appointment.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xml:space="preserve">  On September 4, 2002 Eugene copied Howard with an email to Mason. In that email, Eugene wrote he would not accept his appointment and </w:t>
      </w:r>
      <w:r>
        <w:rPr>
          <w:rFonts w:ascii="arial" w:eastAsia="arial" w:hAnsi="arial" w:cs="arial"/>
          <w:color w:val="000000"/>
          <w:sz w:val="20"/>
          <w:u w:val="single"/>
          <w:lang w:val="en-US" w:eastAsia="en-US" w:bidi="ar-SA"/>
        </w:rPr>
        <w:t>Howard would become at least co-trustee</w:t>
      </w:r>
      <w:r>
        <w:rPr>
          <w:rFonts w:ascii="arial" w:eastAsia="arial" w:hAnsi="arial" w:cs="arial"/>
          <w:color w:val="000000"/>
          <w:sz w:val="20"/>
          <w:lang w:val="en-US" w:eastAsia="en-US" w:bidi="ar-SA"/>
        </w:rPr>
        <w:t xml:space="preserve"> (my emphasis). The email went on to advise that Eugene did not know Harold's intentions but that he did not want Harold's actions, or more likely inactions, to delay going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Eugene's September 4, 2002 email included as part of the chain of emails the early emails of August 2, 22 and 23 detailed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On September 20, 2002, Eugene sent a telefax to Callison which was copied to Howard. In the telefax, he advised a renunciation identical to his had been prepared for Harold.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On September 30, 2002, Howard signed the Acceptance. That document specifically referenced that Eugene had renounced his right to act as a trustee. The document made no mention of Harold.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By October 6, 2002, if not earlier, Eugene gave Howard copies of the BNT Trust Agreement and the Revocation Letters.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On January 5, 2004, Eugene sent an email to Mason asking her to act for Howard in the BNO Share Transaction. Eugene copied the email to Howard. The email noted that "[t]he issue of Harold being a co-trustee has not arisen to this point and Howard has conducted all affairs for the Trust since September 30, 2002". The email contained Mason's email of August 2, 2002 which had set out Harold's right to be co-trustee.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It is beyond doubt and I find as a fact that Eugene knew by August 23, 2002, if not earlier, that Harold had the right to become co-trustee.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Given Eugene's knowledge that Harold could become trustee, the question is whether he disclosed that information to Howard. In order to find that Howard did not know that Harold could become co-trustee, I would have to find Eugene kept that information from him. I cannot so conclude.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Eugene and Howard were lifelong friends, related by marriage. Eugene had acted as Howard's attorney on some prior matters, and Howard was assisting Eugene financially. Eugene was now asking Howard to take on the onerous task of trustee pursuant to an instrument that he and Harold had signed more than 20 years earlier. Eugene did not know Harold's intentions, but could not assume that Harold would not step up and take up his appointment. It is inconceivable that he would not disclose Harold's potential role to Howard.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In September 2002, Eugene copied Howard with his email correspondence with Mason and his telefax to Callison. Both disclosed Harold's potential role as co-trustee. On January 5, 2004, he copied Howard with his email to Mason that commented that the issue of Harold being co-trustee had not arisen. If Eugene had kept from Howard that Harold was a potential co-trustee, surely he would not be copying him with documents discussing that possibility.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Howard read the BNT Trust Agreement and the Revocation Letters. He knew from the Acceptance that Eugene had renounced his right to act as trustee. Howard must have realized that Harold had not, and it is not credible that he did not discuss Harold's status with Eugene.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I find that Howard knew in September 2002, before accepting the position of trustee, that Harold had the right to become co-trustee. It is inherently improbable that he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I make this finding of fact independent of any adverse inference arising from the decision not to call Eugene as a witness. As set out earlier in these reasons, Eugene's failure to testify concerning the events surrounding Howard's appointment gives rise to an adverse inference. That inference further strengthens my conclusion that Howard knew before accepting his appointment that Harold was entitled to become co-trustee.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v. Conflict of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When Howard accepted his appointment as trustee, Eugene, Mary Lou and the Lewis Family Trust were indebted to him for $156,000, being the amount paid by Howard to partially settle the Florida Judgment. The indebtedness was evidenced by a promissory note and was secured by a mortgage on Eugene and Mary Lou's home. The plaintiffs submit that the debt put Howard in a direct conflict of interest such that he should not have accepted the appointment as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xml:space="preserve">  In support of their submission the plaintiffs cite D. Hayton, P. Matthews and C. Mitchell, eds., </w:t>
      </w:r>
      <w:r>
        <w:rPr>
          <w:rFonts w:ascii="arial" w:eastAsia="arial" w:hAnsi="arial" w:cs="arial"/>
          <w:i/>
          <w:color w:val="000000"/>
          <w:sz w:val="20"/>
          <w:lang w:val="en-US" w:eastAsia="en-US" w:bidi="ar-SA"/>
        </w:rPr>
        <w:t>Underhill and Hayton: Law Relating to Trusts and Trustees</w:t>
      </w:r>
      <w:r>
        <w:rPr>
          <w:rFonts w:ascii="arial" w:eastAsia="arial" w:hAnsi="arial" w:cs="arial"/>
          <w:color w:val="000000"/>
          <w:sz w:val="20"/>
          <w:lang w:val="en-US" w:eastAsia="en-US" w:bidi="ar-SA"/>
        </w:rPr>
        <w:t>, 17th ed. (London: Lexis Nexis, 2007) ("</w:t>
      </w:r>
      <w:r>
        <w:rPr>
          <w:rFonts w:ascii="arial" w:eastAsia="arial" w:hAnsi="arial" w:cs="arial"/>
          <w:i/>
          <w:color w:val="000000"/>
          <w:sz w:val="20"/>
          <w:lang w:val="en-US" w:eastAsia="en-US" w:bidi="ar-SA"/>
        </w:rPr>
        <w:t>Underhill</w:t>
      </w:r>
      <w:r>
        <w:rPr>
          <w:rFonts w:ascii="arial" w:eastAsia="arial" w:hAnsi="arial" w:cs="arial"/>
          <w:color w:val="000000"/>
          <w:sz w:val="20"/>
          <w:lang w:val="en-US" w:eastAsia="en-US" w:bidi="ar-SA"/>
        </w:rPr>
        <w:t>"), at 602: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930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46.1</w:t>
            </w:r>
          </w:p>
        </w:tc>
        <w:tc>
          <w:tcPr>
            <w:tcW w:w="911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0"/>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accepting a trust or additional trust property, the potential or actual trustee ought to discover:</w:t>
      </w:r>
    </w:p>
    <w:p>
      <w:pPr>
        <w:numPr>
          <w:numId w:val="20"/>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he might be about to put himself in a position where there would be a sensible possibility of a conflict between his personal self-interest and his fiduciary duty, because in such event he should refuse the trusteeship unless such conflict is authorized by the trust instrument (or by all the beneficiaries of full age and capacity who between them are absolutely beneficially entitled to the trust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I do not accept that submission. The beneficiaries of the BNT were Jennifer, Julie, Lee, Virginia, Davis, and Tommy. There was no conflict between any of those parties and Howard. Mary Lou and Eugene were not beneficiaries of the BNT and the creditor/debtor relationship existing between them and Howard did not disqualify Howard from acting as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Howard had, on several prior occasions, lent money to family members including both Harold and Eugene. He had helped pay for both of their daughters' weddings. While the amount Howard paid to settle part of the Florida Judgment appears to have been greater than monies he had advanced on other occasions, there is no evidence that Howard was not fully secured for the debt or that the debt was a matter of any particular concern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As trustee of the BNT, Howard owed duties to the beneficiaries, not Eugene and Mary Lou. In all of the circumstances, I find that the existence of the indebtedness between Howard, Eugene, Mary Lou and the Lewis Family Trust was not a disqualifying conflict of interest. There was not a sensible possibility of a conflict between his personal self-interest and his fiduciary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 Harold's Right to be Co-trustee.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Harold's right to be co-trustee raises several issues. The first goes to the knowledge the individual plaintiffs had concerning Harold's right to become co-trustee. A related issue is whether Eugene or Howard took steps to keep that knowledge from the plaintiffs. The final issue is whether Harold was, in any event, able to serve as trustee.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 Knowledge of Lee, Virginia and Davis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374</w:t>
      </w:r>
      <w:r>
        <w:rPr>
          <w:rFonts w:ascii="arial" w:eastAsia="arial" w:hAnsi="arial" w:cs="arial"/>
          <w:color w:val="000000"/>
          <w:sz w:val="20"/>
          <w:lang w:val="en-US" w:eastAsia="en-US" w:bidi="ar-SA"/>
        </w:rPr>
        <w:t>  On September 28, 2002, on the evening of Susan's marriage, Eugene advised Virginia that Audrey could no longer serve as trustee and that it had long ago been agreed by Harold and Eugene that Howard would replace Audrey as trustee. He gave Virginia the Eugene Resignation Documents and asked her to sign the Audrey Release and Howard Indemnity. Included in the Eugene Resignation Documents were blank copies of Harold's and Eugene's renunciations. The renunciations referred to the Revocation Letters but the Revocation Letters were not attached.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375</w:t>
      </w:r>
      <w:r>
        <w:rPr>
          <w:rFonts w:ascii="arial" w:eastAsia="arial" w:hAnsi="arial" w:cs="arial"/>
          <w:color w:val="000000"/>
          <w:sz w:val="20"/>
          <w:lang w:val="en-US" w:eastAsia="en-US" w:bidi="ar-SA"/>
        </w:rPr>
        <w:t>  On October 2, 2003, Eugene emailed Virginia and Lee. In the email he advised that Audrey had resigned as trustee and "[u]ncle Howard became the Trustee of BNT under your dad's and my instructions given to Gary Powell in 1979."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376</w:t>
      </w:r>
      <w:r>
        <w:rPr>
          <w:rFonts w:ascii="arial" w:eastAsia="arial" w:hAnsi="arial" w:cs="arial"/>
          <w:color w:val="000000"/>
          <w:sz w:val="20"/>
          <w:lang w:val="en-US" w:eastAsia="en-US" w:bidi="ar-SA"/>
        </w:rPr>
        <w:t>  Lee, Virginia and Davis all testified that they did not see the BNT Trust Agreement or the Revocation Letters until the commencement of this litigation. Their evidence was not challenged. While all three had the Eugene Resignation Documents briefly in their possession, it is clear on their evidence that they did not review the documents in detail, question Howard's legitimacy as trustee, or consider that Harold had the right to become co-trustee.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iii. Knowledge of Harold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377</w:t>
      </w:r>
      <w:r>
        <w:rPr>
          <w:rFonts w:ascii="arial" w:eastAsia="arial" w:hAnsi="arial" w:cs="arial"/>
          <w:color w:val="000000"/>
          <w:sz w:val="20"/>
          <w:lang w:val="en-US" w:eastAsia="en-US" w:bidi="ar-SA"/>
        </w:rPr>
        <w:t>  Harold had, of course, signed the BNT Trust Agreement and his Letter of Revocation. He did not have, however, either document at Crying Girl, his personal documents having been thrown out by Susan in 2000 after he moved to Crying Girl.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378</w:t>
      </w:r>
      <w:r>
        <w:rPr>
          <w:rFonts w:ascii="arial" w:eastAsia="arial" w:hAnsi="arial" w:cs="arial"/>
          <w:color w:val="000000"/>
          <w:sz w:val="20"/>
          <w:lang w:val="en-US" w:eastAsia="en-US" w:bidi="ar-SA"/>
        </w:rPr>
        <w:t>  Harold only learned of Howard's appointment when Tommy sent him the Eugene Resignation Documents in November of 2002. He testified that he did not know he had the right to become co-trustee, and if he had known he would have taken up his appointment.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379</w:t>
      </w:r>
      <w:r>
        <w:rPr>
          <w:rFonts w:ascii="arial" w:eastAsia="arial" w:hAnsi="arial" w:cs="arial"/>
          <w:color w:val="000000"/>
          <w:sz w:val="20"/>
          <w:lang w:val="en-US" w:eastAsia="en-US" w:bidi="ar-SA"/>
        </w:rPr>
        <w:t>  I accept Harold's evidence that he did not know he was entitled to be trustee. Without access to the documents, he could not be expected to remember with precision the details of a trust agreement he had signed more than 20 years previously. I also accept his evidence that if he had been told that he was entitled to be co-trustee he would have taken up the appointment.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iv. Knowledge of Tommy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380</w:t>
      </w:r>
      <w:r>
        <w:rPr>
          <w:rFonts w:ascii="arial" w:eastAsia="arial" w:hAnsi="arial" w:cs="arial"/>
          <w:color w:val="000000"/>
          <w:sz w:val="20"/>
          <w:lang w:val="en-US" w:eastAsia="en-US" w:bidi="ar-SA"/>
        </w:rPr>
        <w:t>  Tommy's evidence is that he first learned of Howard's appointment in a telephone conversation with Lee on October 3, 2002. He then spoke to Eugene who told him that BHT had prepared the documentation. On October 4, 2002, Eugene emailed Tommy a copy of the Eugene Resignation Documents. In that email, he advised that Howard had replaced Audrey as trustee on September 30,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381</w:t>
      </w:r>
      <w:r>
        <w:rPr>
          <w:rFonts w:ascii="arial" w:eastAsia="arial" w:hAnsi="arial" w:cs="arial"/>
          <w:color w:val="000000"/>
          <w:sz w:val="20"/>
          <w:lang w:val="en-US" w:eastAsia="en-US" w:bidi="ar-SA"/>
        </w:rPr>
        <w:t>  On October 10, 2002, Tommy forwarded a memo to Eugene in which he sought among other matters a copy of the BNT Trust Agreement, the documents naming Howard as a successor trustee and copies of Harold's and Eugene's resignations. He also asked for a copy of Eugene's correspondence with Mason.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382</w:t>
      </w:r>
      <w:r>
        <w:rPr>
          <w:rFonts w:ascii="arial" w:eastAsia="arial" w:hAnsi="arial" w:cs="arial"/>
          <w:color w:val="000000"/>
          <w:sz w:val="20"/>
          <w:lang w:val="en-US" w:eastAsia="en-US" w:bidi="ar-SA"/>
        </w:rPr>
        <w:t>  On October 23, 2002, Eugene sent Tommy a fax. The cover sheet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Tommy - The following are my faxes to Margaret which have trust etc. 7/10/79 letters + my GRO fax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383</w:t>
      </w:r>
      <w:r>
        <w:rPr>
          <w:rFonts w:ascii="arial" w:eastAsia="arial" w:hAnsi="arial" w:cs="arial"/>
          <w:color w:val="000000"/>
          <w:sz w:val="20"/>
          <w:lang w:val="en-US" w:eastAsia="en-US" w:bidi="ar-SA"/>
        </w:rPr>
        <w:t>  Later that day, Tommy returned the front sheet of the fax with a note: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Gene, this fax cut off at page 17 of 38. Thanks. Tommy.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384</w:t>
      </w:r>
      <w:r>
        <w:rPr>
          <w:rFonts w:ascii="arial" w:eastAsia="arial" w:hAnsi="arial" w:cs="arial"/>
          <w:color w:val="000000"/>
          <w:sz w:val="20"/>
          <w:lang w:val="en-US" w:eastAsia="en-US" w:bidi="ar-SA"/>
        </w:rPr>
        <w:t>  On November 4, 2002, Tommy wrote to Eugene. In the letter, he noted that he had sent a memo asking for certain information and it appeared that Eugene had provided some but not all. He referred him to his memo of October 10,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385</w:t>
      </w:r>
      <w:r>
        <w:rPr>
          <w:rFonts w:ascii="arial" w:eastAsia="arial" w:hAnsi="arial" w:cs="arial"/>
          <w:color w:val="000000"/>
          <w:sz w:val="20"/>
          <w:lang w:val="en-US" w:eastAsia="en-US" w:bidi="ar-SA"/>
        </w:rPr>
        <w:t>  On November 5, 2002, Tommy wrote to Harold. In the letter, he advised that he had received in response to his memo of October 10, 2002:</w:t>
      </w:r>
      <w:r>
        <w:rPr>
          <w:rFonts w:ascii="arial" w:eastAsia="arial" w:hAnsi="arial" w:cs="arial"/>
          <w:sz w:val="20"/>
          <w:lang w:val="en-US" w:eastAsia="en-US" w:bidi="ar-SA"/>
        </w:rPr>
        <w:cr/>
      </w:r>
    </w:p>
    <w:p>
      <w:pPr>
        <w:numPr>
          <w:numId w:val="21"/>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documents related to the Hall Transaction;</w:t>
      </w:r>
    </w:p>
    <w:p>
      <w:pPr>
        <w:numPr>
          <w:numId w:val="22"/>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1997 Big Nine Outfitters financial statements;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Eugene's letter of instructions to Mason.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386</w:t>
      </w:r>
      <w:r>
        <w:rPr>
          <w:rFonts w:ascii="arial" w:eastAsia="arial" w:hAnsi="arial" w:cs="arial"/>
          <w:color w:val="000000"/>
          <w:sz w:val="20"/>
          <w:lang w:val="en-US" w:eastAsia="en-US" w:bidi="ar-SA"/>
        </w:rPr>
        <w:t>  Tommy testified that he first received the BNT Trust Agreement in the summer of 2003 when a copy of it was provided to him by Russ Daneluk, a Fort St. John accountant, who did the accounting for BNO and the BNT. Tommy believes he received the document that summer because in August 2003 he sought legal advice from a Florida attorney concerning the trust document. Tommy testified that he never received the Revocation Letters.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387</w:t>
      </w:r>
      <w:r>
        <w:rPr>
          <w:rFonts w:ascii="arial" w:eastAsia="arial" w:hAnsi="arial" w:cs="arial"/>
          <w:color w:val="000000"/>
          <w:sz w:val="20"/>
          <w:lang w:val="en-US" w:eastAsia="en-US" w:bidi="ar-SA"/>
        </w:rPr>
        <w:t>  It cannot be determined with certainty when Tommy received the BNT Trust Agreement. Tommy maintained offices in several locations to which documents would be sent to him. His mail and email were often opened by his assistants who would sort documents into various files. In the course of this litigation, when documents were being gathered up for production, they were all sent to a central location, making it impossible to determine in some cases exactly when and where documents were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388</w:t>
      </w:r>
      <w:r>
        <w:rPr>
          <w:rFonts w:ascii="arial" w:eastAsia="arial" w:hAnsi="arial" w:cs="arial"/>
          <w:color w:val="000000"/>
          <w:sz w:val="20"/>
          <w:lang w:val="en-US" w:eastAsia="en-US" w:bidi="ar-SA"/>
        </w:rPr>
        <w:t>  The defendants ask the court to find that Tommy had the BNT Trust Agreement in October 2002, and that it was part of the package of documents sent to him by Eugene in the fax of October 23, 2002, a portion of which was cut off. They note that Tommy never again specifically requested in writing the BNT Trust Agreement. They point to Tommy's comments in his letter of March 29, 2003 to Howard, in which he indicated the naming of a successor trustee did not follow the trust prescription, as evidence that he had the Trust Agreement in his possession by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389</w:t>
      </w:r>
      <w:r>
        <w:rPr>
          <w:rFonts w:ascii="arial" w:eastAsia="arial" w:hAnsi="arial" w:cs="arial"/>
          <w:color w:val="000000"/>
          <w:sz w:val="20"/>
          <w:lang w:val="en-US" w:eastAsia="en-US" w:bidi="ar-SA"/>
        </w:rPr>
        <w:t>  The cover sheet to Eugene's fax of October 23, 2002 suggests that on that date he sent the BNT Trust Agreement to Tommy. It is clear, however, from Tommy's subsequent fax back to Eugene on October 23, his letter to Eugene of November 4 and his letter to Harold of November 5 that all documents in Eugene's October 23 fax were not received. Indeed, but 17 pages were received. There is no evidence that Eugene followed up and forwarded the balance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390</w:t>
      </w:r>
      <w:r>
        <w:rPr>
          <w:rFonts w:ascii="arial" w:eastAsia="arial" w:hAnsi="arial" w:cs="arial"/>
          <w:color w:val="000000"/>
          <w:sz w:val="20"/>
          <w:lang w:val="en-US" w:eastAsia="en-US" w:bidi="ar-SA"/>
        </w:rPr>
        <w:t>  On October 23, 2002, Tommy did receive 17 pages of material. Eugene's fax said that the documents being forwarded were his faxes to Mason. On July 26, Eugene had faxed to Mason 20 pages of documents including the BNT Trust Agreement, the Revocation Letters, a December 4, 1992 document concerning the Hall Transaction and the December 31, 1997 Big Nine Trust financial statements. On August 19, 2002, Eugene had sent a second fax to Mason which contained a two-page memorandum concerning GRO.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391</w:t>
      </w:r>
      <w:r>
        <w:rPr>
          <w:rFonts w:ascii="arial" w:eastAsia="arial" w:hAnsi="arial" w:cs="arial"/>
          <w:color w:val="000000"/>
          <w:sz w:val="20"/>
          <w:lang w:val="en-US" w:eastAsia="en-US" w:bidi="ar-SA"/>
        </w:rPr>
        <w:t>  Tommy's November 5, 2002 letter to Harold included the documents related to the Hall Transaction, the 1997 financial statements and Eugene's letter of instructions. Those documents together with the two-page August 19 fax would total 17 pages.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392</w:t>
      </w:r>
      <w:r>
        <w:rPr>
          <w:rFonts w:ascii="arial" w:eastAsia="arial" w:hAnsi="arial" w:cs="arial"/>
          <w:color w:val="000000"/>
          <w:sz w:val="20"/>
          <w:lang w:val="en-US" w:eastAsia="en-US" w:bidi="ar-SA"/>
        </w:rPr>
        <w:t>  I find that the BNT Trust Agreement and the Revocation Letters were not faxed to Tommy on October 23, 2002. They were part of the documents not received. If those documents had been included, Tommy surely would have sent them off to Harold with the balance of the documents that he sent on November 5. The fact that he did not leads to the conclusion that they were not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393</w:t>
      </w:r>
      <w:r>
        <w:rPr>
          <w:rFonts w:ascii="arial" w:eastAsia="arial" w:hAnsi="arial" w:cs="arial"/>
          <w:color w:val="000000"/>
          <w:sz w:val="20"/>
          <w:lang w:val="en-US" w:eastAsia="en-US" w:bidi="ar-SA"/>
        </w:rPr>
        <w:t>  Tommy's comment in his March 29, 2003 letter to Howard concerning succession is similar to comments he made in his October 10, 2002 memo in which he queried whether Howard's appointment was valid, given that Howard was succeeding Audrey as Trustee, not Harold and Eugene. Those comments do not suggest that Tommy had the BNT Trust Agreement. They lead to the opposite conclusion. The BNT Trust Agreement named Audrey as one of the initial successor trustees, a fact that Tommy clearly did not appreciate when he prepared his October 10 memo.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394</w:t>
      </w:r>
      <w:r>
        <w:rPr>
          <w:rFonts w:ascii="arial" w:eastAsia="arial" w:hAnsi="arial" w:cs="arial"/>
          <w:color w:val="000000"/>
          <w:sz w:val="20"/>
          <w:lang w:val="en-US" w:eastAsia="en-US" w:bidi="ar-SA"/>
        </w:rPr>
        <w:t>  This is also an area where an adverse inference can be drawn against Eugene. Tommy requested from Eugene delivery of the BNT Trust Agreement. Eugene has not testified that he sent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395</w:t>
      </w:r>
      <w:r>
        <w:rPr>
          <w:rFonts w:ascii="arial" w:eastAsia="arial" w:hAnsi="arial" w:cs="arial"/>
          <w:color w:val="000000"/>
          <w:sz w:val="20"/>
          <w:lang w:val="en-US" w:eastAsia="en-US" w:bidi="ar-SA"/>
        </w:rPr>
        <w:t>  I accept Tommy's evidence that he did not receive the BNT Trust Agreement until sometime in 2003 and that he did not learn until after the closing of the BNO Share Transaction that Harold had the right to be trustee. If it was otherwise, he surely would have taken action in January 2004 to prevent Howard from selling the shares. He cannot be faulted for failing to detect Howard and Eugene's subterfuge.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v. Howard and Eugene's Non-Disclosure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396</w:t>
      </w:r>
      <w:r>
        <w:rPr>
          <w:rFonts w:ascii="arial" w:eastAsia="arial" w:hAnsi="arial" w:cs="arial"/>
          <w:color w:val="000000"/>
          <w:sz w:val="20"/>
          <w:lang w:val="en-US" w:eastAsia="en-US" w:bidi="ar-SA"/>
        </w:rPr>
        <w:t>  The plaintiffs submit that Howard and Eugene kept from them that Harold had a right to be co-trustee. Howard and Eugene deny that allegation. They submit that Harold's right to be co-trustee is clear from a close reading of the Eugene Resignation Documents, and if the plaintiffs were not aware of Harold's right to be co-trustee, they should have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397</w:t>
      </w:r>
      <w:r>
        <w:rPr>
          <w:rFonts w:ascii="arial" w:eastAsia="arial" w:hAnsi="arial" w:cs="arial"/>
          <w:color w:val="000000"/>
          <w:sz w:val="20"/>
          <w:lang w:val="en-US" w:eastAsia="en-US" w:bidi="ar-SA"/>
        </w:rPr>
        <w:t>  I find that Eugene and Howard did deliberately set out to mislead the plaintiffs as to Harold's right to be co-trustee. They did so in the hope that Harold would not become aware of his rights and accept the appointment.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398</w:t>
      </w:r>
      <w:r>
        <w:rPr>
          <w:rFonts w:ascii="arial" w:eastAsia="arial" w:hAnsi="arial" w:cs="arial"/>
          <w:color w:val="000000"/>
          <w:sz w:val="20"/>
          <w:lang w:val="en-US" w:eastAsia="en-US" w:bidi="ar-SA"/>
        </w:rPr>
        <w:t>  Eugene told Mason on July 26, 2002 that he wanted to keep Harold out of the trusteeship. Given that Harold was entitled to be co-trustee, the only way Eugene could prevent it was to keep Harold ignorant of his right to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399</w:t>
      </w:r>
      <w:r>
        <w:rPr>
          <w:rFonts w:ascii="arial" w:eastAsia="arial" w:hAnsi="arial" w:cs="arial"/>
          <w:color w:val="000000"/>
          <w:sz w:val="20"/>
          <w:lang w:val="en-US" w:eastAsia="en-US" w:bidi="ar-SA"/>
        </w:rPr>
        <w:t>  On July 8, 2002 Tommy had written to Eugene and asked to be kept in the loop on matters related to Big Nine and the trusts. On August 2, 2002, Mason had advised Eugene of Harold's right to become co-trustee. On August 5, 2002, Eugene sent an email to Tommy. Notwithstanding Tommy's request to be kept in the loop, Eugene did not disclose to Tommy Mason's advice that Harold had the right to be trustee. Instead, he deliberately misled Tommy and wrote that Mason had requested the BNT files from archives.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400</w:t>
      </w:r>
      <w:r>
        <w:rPr>
          <w:rFonts w:ascii="arial" w:eastAsia="arial" w:hAnsi="arial" w:cs="arial"/>
          <w:color w:val="000000"/>
          <w:sz w:val="20"/>
          <w:lang w:val="en-US" w:eastAsia="en-US" w:bidi="ar-SA"/>
        </w:rPr>
        <w:t>  Mason drafted Eugene's renunciation. The material part of the renunciation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Now, I, the said A. EUGENE LEWIS, do hereby declare that I have not intermeddled in the Trust, and will not hereafter intermeddle therein, and I do hereby renounce all my right and title to the trusteeship of the Trust and declare that my renunciation shall be irrevocable by me from this date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401</w:t>
      </w:r>
      <w:r>
        <w:rPr>
          <w:rFonts w:ascii="arial" w:eastAsia="arial" w:hAnsi="arial" w:cs="arial"/>
          <w:color w:val="000000"/>
          <w:sz w:val="20"/>
          <w:lang w:val="en-US" w:eastAsia="en-US" w:bidi="ar-SA"/>
        </w:rPr>
        <w:t>  Mason was not asked to prepare a renunciation for Harold. Rather, Eugene took on that task himself. The renunciation that Eugene prepared for Harold added the words I have underlined and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Now, I, the said HAROLD LEWIS, do hereby declare that I have not intermeddled in the Trust, and will not hereafter intermeddle therein, and </w:t>
      </w:r>
      <w:r>
        <w:rPr>
          <w:rFonts w:ascii="arial" w:eastAsia="arial" w:hAnsi="arial" w:cs="arial"/>
          <w:color w:val="000000"/>
          <w:sz w:val="20"/>
          <w:u w:val="single"/>
          <w:lang w:val="en-US" w:eastAsia="en-US" w:bidi="ar-SA"/>
        </w:rPr>
        <w:t>pursuant to my previous instructions</w:t>
      </w:r>
      <w:r>
        <w:rPr>
          <w:rFonts w:ascii="arial" w:eastAsia="arial" w:hAnsi="arial" w:cs="arial"/>
          <w:color w:val="000000"/>
          <w:sz w:val="20"/>
          <w:lang w:val="en-US" w:eastAsia="en-US" w:bidi="ar-SA"/>
        </w:rPr>
        <w:t xml:space="preserve"> I do hereby renounce all my right and title to the trusteeship of the Trust and declare that my renunciation shall be irrevocable by me from this date.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402</w:t>
      </w:r>
      <w:r>
        <w:rPr>
          <w:rFonts w:ascii="arial" w:eastAsia="arial" w:hAnsi="arial" w:cs="arial"/>
          <w:color w:val="000000"/>
          <w:sz w:val="20"/>
          <w:lang w:val="en-US" w:eastAsia="en-US" w:bidi="ar-SA"/>
        </w:rPr>
        <w:t>  There can be no explanation for the added words other than to give the reader of the document the impression that Harold was resigning as a result of his previous instructions. Harold, of course, had given no such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403</w:t>
      </w:r>
      <w:r>
        <w:rPr>
          <w:rFonts w:ascii="arial" w:eastAsia="arial" w:hAnsi="arial" w:cs="arial"/>
          <w:color w:val="000000"/>
          <w:sz w:val="20"/>
          <w:lang w:val="en-US" w:eastAsia="en-US" w:bidi="ar-SA"/>
        </w:rPr>
        <w:t>  At the end of September 2002, Eugene told Virginia in person and Lee by email that back in 1979 he and Harold had designated Howard to be the successor trustee. While that information was technically true, it did not disclose the entire truth, namely that Harold was also entitled to be co-trustee. The only reason for not disclosing that information to Lee and Virginia was to keep that information from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404</w:t>
      </w:r>
      <w:r>
        <w:rPr>
          <w:rFonts w:ascii="arial" w:eastAsia="arial" w:hAnsi="arial" w:cs="arial"/>
          <w:color w:val="000000"/>
          <w:sz w:val="20"/>
          <w:lang w:val="en-US" w:eastAsia="en-US" w:bidi="ar-SA"/>
        </w:rPr>
        <w:t>  When Tommy, on October 10, 2002, requested copies of the BNT Trust Agreement and the Revocation Letters, they were not sent. Rather, Eugene sent a fax, which stopped prior to the key documents being forwarded. When advised by Tommy that all documents had not been received, Eugene did not then send the rest of the documents but rather suggested that he, Tommy and Howard should meet.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405</w:t>
      </w:r>
      <w:r>
        <w:rPr>
          <w:rFonts w:ascii="arial" w:eastAsia="arial" w:hAnsi="arial" w:cs="arial"/>
          <w:color w:val="000000"/>
          <w:sz w:val="20"/>
          <w:lang w:val="en-US" w:eastAsia="en-US" w:bidi="ar-SA"/>
        </w:rPr>
        <w:t>  At the March 10, 2003 meeting, Eugene and Howard told Tommy that Howard had been appointed trustee pursuant to the earlier agreement of Harold and Eugene. He was not, however, told that Harold had the right to become trustee. When Tommy suggested that he should be appointed co-trustee, Howard rebuffed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406</w:t>
      </w:r>
      <w:r>
        <w:rPr>
          <w:rFonts w:ascii="arial" w:eastAsia="arial" w:hAnsi="arial" w:cs="arial"/>
          <w:color w:val="000000"/>
          <w:sz w:val="20"/>
          <w:lang w:val="en-US" w:eastAsia="en-US" w:bidi="ar-SA"/>
        </w:rPr>
        <w:t>  The only explanation for the failure to disclose to the plaintiffs that Harold could become trustee was the desire of Howard and Eugene to keep that knowledge from Harold. They did not want him to be trustee and the only way to accomplish that goal was to keep from Harold, his children and Tommy that Harold had the right to be trustee. Howard and Eugene hoped the plaintiffs would not determine the true situation and they in fact did not do so until well after Howard had sold the Big Nine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407</w:t>
      </w:r>
      <w:r>
        <w:rPr>
          <w:rFonts w:ascii="arial" w:eastAsia="arial" w:hAnsi="arial" w:cs="arial"/>
          <w:color w:val="000000"/>
          <w:sz w:val="20"/>
          <w:lang w:val="en-US" w:eastAsia="en-US" w:bidi="ar-SA"/>
        </w:rPr>
        <w:t>  A close reading of the Eugene Resignation Documents certainly raises potential questions concerning Harold's status. Tommy's memo of October 10, 2002 raised certain of those questions. His November 5, 2002 letter to Harold also indicated that he had doubts concerning the process that had been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408</w:t>
      </w:r>
      <w:r>
        <w:rPr>
          <w:rFonts w:ascii="arial" w:eastAsia="arial" w:hAnsi="arial" w:cs="arial"/>
          <w:color w:val="000000"/>
          <w:sz w:val="20"/>
          <w:lang w:val="en-US" w:eastAsia="en-US" w:bidi="ar-SA"/>
        </w:rPr>
        <w:t>  Tommy had no reason to think that Howard and Eugene would deliberately mislead him as to Harold's rights. Further, in the fall of 2002 Tommy was otherwise heavily engaged in his several other business activities. The affairs of BNO and the BNT were relatively peripheral matters in his life to which he had paid little heed over the previous 20 years. It is little wonder he did not determine the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409</w:t>
      </w:r>
      <w:r>
        <w:rPr>
          <w:rFonts w:ascii="arial" w:eastAsia="arial" w:hAnsi="arial" w:cs="arial"/>
          <w:color w:val="000000"/>
          <w:sz w:val="20"/>
          <w:lang w:val="en-US" w:eastAsia="en-US" w:bidi="ar-SA"/>
        </w:rPr>
        <w:t>  Eugene and Howard's deception continued through the closing of the BNO Share Transaction agreement. In the initial drafts of the agreement, Long had inserted a provision that on closing the vendor's solicitor would provide an opinion that Howard had the power and authority to sell the shares. On February 11, 2004 Eugene prepared a new draft that deleted that provision. Eugene was well aware that no solicitor would be able to give such an opinion and that unless the provision was deleted, the sale would not close.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410</w:t>
      </w:r>
      <w:r>
        <w:rPr>
          <w:rFonts w:ascii="arial" w:eastAsia="arial" w:hAnsi="arial" w:cs="arial"/>
          <w:color w:val="000000"/>
          <w:sz w:val="20"/>
          <w:lang w:val="en-US" w:eastAsia="en-US" w:bidi="ar-SA"/>
        </w:rPr>
        <w:t>  Howard and Eugene deliberately set out to keep Harold's right to be trustee secret from Tommy, Harold and his children. If Harold and Eugene were acting in good faith, they would have contacted Harold in September 2002 and determined from him whether he was prepared to take up his appointment. Rather, they did all in their power to keep that information from him. If Harold and his family had not opposed the sale of the Big Nine shares, their subterfuge would never have been detected.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411</w:t>
      </w:r>
      <w:r>
        <w:rPr>
          <w:rFonts w:ascii="arial" w:eastAsia="arial" w:hAnsi="arial" w:cs="arial"/>
          <w:color w:val="000000"/>
          <w:sz w:val="20"/>
          <w:lang w:val="en-US" w:eastAsia="en-US" w:bidi="ar-SA"/>
        </w:rPr>
        <w:t>  The fact that Tommy and Harold did not see through the deception provides no defence to Howard and Eugene. Howard and Eugene from the outset misled the beneficiaries concerning Harold's right to be co-trustee. It does not lie in their mouth to suggest that Tommy and Harold should have seen through their deception.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v. Harold's Ability to Act as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412</w:t>
      </w:r>
      <w:r>
        <w:rPr>
          <w:rFonts w:ascii="arial" w:eastAsia="arial" w:hAnsi="arial" w:cs="arial"/>
          <w:color w:val="000000"/>
          <w:sz w:val="20"/>
          <w:lang w:val="en-US" w:eastAsia="en-US" w:bidi="ar-SA"/>
        </w:rPr>
        <w:t>  The defendants submit that in September 2002, Harold was unable to take up his appointment as trustee. In their submission, Harold had a series of conflicts which disqualified him from acting as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413</w:t>
      </w:r>
      <w:r>
        <w:rPr>
          <w:rFonts w:ascii="arial" w:eastAsia="arial" w:hAnsi="arial" w:cs="arial"/>
          <w:color w:val="000000"/>
          <w:sz w:val="20"/>
          <w:lang w:val="en-US" w:eastAsia="en-US" w:bidi="ar-SA"/>
        </w:rPr>
        <w:t>  It is common ground that under the BNT Trust Agreement, each of Harold and Eugene had the right to assume the role of co-trustee under the provisions of section 15 of the BNT Trust Agreement. It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Successor Trustees</w:t>
      </w:r>
      <w:r>
        <w:rPr>
          <w:rFonts w:ascii="arial" w:eastAsia="arial" w:hAnsi="arial" w:cs="arial"/>
          <w:color w:val="000000"/>
          <w:sz w:val="20"/>
          <w:lang w:val="en-US" w:eastAsia="en-US" w:bidi="ar-SA"/>
        </w:rPr>
        <w:t xml:space="preserve"> - In the event that Gary James Powell shall be unable to serve as Trustee herein for any reason whatsoever, Olive Powell, of Hudson's Hope, British Columbia and Audrey Tompkins of Fort St. John, British Columbia, shall act as Co-Trustees. In the event that Olive Powell and Audrey Tompkins shall be unable to serve as Trustees, then Harold D. Lewis and A. Eugene Lewis, or the survivor of them, shall act as Co-Trustees. The Grantors, or either of them, reserve the right to appoint successor trustees in lieu of the above by notice in writing to the then existing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414</w:t>
      </w:r>
      <w:r>
        <w:rPr>
          <w:rFonts w:ascii="arial" w:eastAsia="arial" w:hAnsi="arial" w:cs="arial"/>
          <w:color w:val="000000"/>
          <w:sz w:val="20"/>
          <w:lang w:val="en-US" w:eastAsia="en-US" w:bidi="ar-SA"/>
        </w:rPr>
        <w:t>  In addition to the BNT Trust Agreement, Eugene and Harold Lewis executed the Revocation Letters in 1979 which provided,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event I am unable to serve as successor Trustee for any reason as provided in Paragraph 15 thereof, I hereby appoint Howard H. Hewitt of Leesburg, Florida to act in my place and stead.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415</w:t>
      </w:r>
      <w:r>
        <w:rPr>
          <w:rFonts w:ascii="arial" w:eastAsia="arial" w:hAnsi="arial" w:cs="arial"/>
          <w:color w:val="000000"/>
          <w:sz w:val="20"/>
          <w:lang w:val="en-US" w:eastAsia="en-US" w:bidi="ar-SA"/>
        </w:rPr>
        <w:t xml:space="preserve">  The defendants submit that the word "unable" is not a term of art. They say in the circumstances that existed in 2002 Harold was, in fact, unable to serve as a trustee for a number of reasons. They submit that Harold had several disqualifying conflicts which prevented him from acting. They cite the conflict passage in </w:t>
      </w:r>
      <w:r>
        <w:rPr>
          <w:rFonts w:ascii="arial" w:eastAsia="arial" w:hAnsi="arial" w:cs="arial"/>
          <w:i/>
          <w:color w:val="000000"/>
          <w:sz w:val="20"/>
          <w:lang w:val="en-US" w:eastAsia="en-US" w:bidi="ar-SA"/>
        </w:rPr>
        <w:t>Underhill</w:t>
      </w:r>
      <w:r>
        <w:rPr>
          <w:rFonts w:ascii="arial" w:eastAsia="arial" w:hAnsi="arial" w:cs="arial"/>
          <w:color w:val="000000"/>
          <w:sz w:val="20"/>
          <w:lang w:val="en-US" w:eastAsia="en-US" w:bidi="ar-SA"/>
        </w:rPr>
        <w:t xml:space="preserve"> at 602 set out earlier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416</w:t>
      </w:r>
      <w:r>
        <w:rPr>
          <w:rFonts w:ascii="arial" w:eastAsia="arial" w:hAnsi="arial" w:cs="arial"/>
          <w:color w:val="000000"/>
          <w:sz w:val="20"/>
          <w:lang w:val="en-US" w:eastAsia="en-US" w:bidi="ar-SA"/>
        </w:rPr>
        <w:t>  The defendants submit that Harold did not appreciate that he was not entitled to use the trust for his own purposes. They refer to his memo to Lee of December 23, 2002 in which he wrote that the purposes of the BNT included providing funds for all family members' medical expenses, and his and his wife's retirement, although he and his wife were not beneficiaries of the trust. Although Harold recognized that a trustee has fiduciary obligations and that only his children were beneficiaries of the trust, in his cross-examination he would not concede that his wish to use the trust to satisfy his retirement needs would put him in a conflict of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417</w:t>
      </w:r>
      <w:r>
        <w:rPr>
          <w:rFonts w:ascii="arial" w:eastAsia="arial" w:hAnsi="arial" w:cs="arial"/>
          <w:color w:val="000000"/>
          <w:sz w:val="20"/>
          <w:lang w:val="en-US" w:eastAsia="en-US" w:bidi="ar-SA"/>
        </w:rPr>
        <w:t>  A second alleged conflict concerned his relationship with Tommy, a beneficiary of the trust, to whom he had long been indebted and who had been a major source of his support after he moved to Crying Girl.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418</w:t>
      </w:r>
      <w:r>
        <w:rPr>
          <w:rFonts w:ascii="arial" w:eastAsia="arial" w:hAnsi="arial" w:cs="arial"/>
          <w:color w:val="000000"/>
          <w:sz w:val="20"/>
          <w:lang w:val="en-US" w:eastAsia="en-US" w:bidi="ar-SA"/>
        </w:rPr>
        <w:t>  A third conflict concerned a possible debt regarding expenses charged to Big Nine when Harold moved to Crying Girl. The existence of that debt is a matter of dispute. The amount in issue was approximately $6,000.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419</w:t>
      </w:r>
      <w:r>
        <w:rPr>
          <w:rFonts w:ascii="arial" w:eastAsia="arial" w:hAnsi="arial" w:cs="arial"/>
          <w:color w:val="000000"/>
          <w:sz w:val="20"/>
          <w:lang w:val="en-US" w:eastAsia="en-US" w:bidi="ar-SA"/>
        </w:rPr>
        <w:t>  There were also long standing difficulties between Harold and Howard. They had not spoken in years and both testified of their antipathy towards each other. The defendants submit that Harold and Howard could not have worked together as co-trustees. Co-trustees have to act unanimously and if they cannot co-operate and work together in the exercise of their powers, the trust and the beneficiaries might suffer.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420</w:t>
      </w:r>
      <w:r>
        <w:rPr>
          <w:rFonts w:ascii="arial" w:eastAsia="arial" w:hAnsi="arial" w:cs="arial"/>
          <w:color w:val="000000"/>
          <w:sz w:val="20"/>
          <w:lang w:val="en-US" w:eastAsia="en-US" w:bidi="ar-SA"/>
        </w:rPr>
        <w:t>  The defendants submit that in all of these circumstances Harold was unable to serve as a co-trustee and accordingly, the lack of Harold's formal renunciation was of no moment. As he was unable to serve, the 1979 letter operated to appoint Howard instead of Harold, and Howard was entitled to act as sole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421</w:t>
      </w:r>
      <w:r>
        <w:rPr>
          <w:rFonts w:ascii="arial" w:eastAsia="arial" w:hAnsi="arial" w:cs="arial"/>
          <w:color w:val="000000"/>
          <w:sz w:val="20"/>
          <w:lang w:val="en-US" w:eastAsia="en-US" w:bidi="ar-SA"/>
        </w:rPr>
        <w:t xml:space="preserve">  If Harold had taken up his appointment, it is not a foregone conclusion that if someone had sought his removal a court would have determined that he was unable to act. While a trustee can be removed because of a conflict of interest and duty without his having acted to the detriment of the beneficiaries, such a result does not always follow. The question is whether it would be difficult for the trustee to act with impartiality, not whether, in fact, he would or would not do so: </w:t>
      </w:r>
      <w:r>
        <w:rPr>
          <w:rFonts w:ascii="arial" w:eastAsia="arial" w:hAnsi="arial" w:cs="arial"/>
          <w:i/>
          <w:color w:val="000000"/>
          <w:sz w:val="20"/>
          <w:lang w:val="en-US" w:eastAsia="en-US" w:bidi="ar-SA"/>
        </w:rPr>
        <w:t>Re Shaw</w:t>
      </w:r>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[1922] S.J. No. 89</w:t>
        </w:r>
      </w:hyperlink>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68 D.L.R. 616</w:t>
        </w:r>
      </w:hyperlink>
      <w:r>
        <w:rPr>
          <w:rFonts w:ascii="arial" w:eastAsia="arial" w:hAnsi="arial" w:cs="arial"/>
          <w:color w:val="000000"/>
          <w:sz w:val="20"/>
          <w:lang w:val="en-US" w:eastAsia="en-US" w:bidi="ar-SA"/>
        </w:rPr>
        <w:t xml:space="preserve"> (Sask. Q.B.).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422</w:t>
      </w:r>
      <w:r>
        <w:rPr>
          <w:rFonts w:ascii="arial" w:eastAsia="arial" w:hAnsi="arial" w:cs="arial"/>
          <w:color w:val="000000"/>
          <w:sz w:val="20"/>
          <w:lang w:val="en-US" w:eastAsia="en-US" w:bidi="ar-SA"/>
        </w:rPr>
        <w:t>  It is not clear that any of the expressed concerns would necessarily disqualify Harold from acting as trustee. While Harold might have thought that the trust could be used to fund his retirement needs, that would be a decision for his children. His indebtedness to Tommy was of little import as all beneficiaries had to be treated the same and he could not favour Tommy to the detriment of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423</w:t>
      </w:r>
      <w:r>
        <w:rPr>
          <w:rFonts w:ascii="arial" w:eastAsia="arial" w:hAnsi="arial" w:cs="arial"/>
          <w:color w:val="000000"/>
          <w:sz w:val="20"/>
          <w:lang w:val="en-US" w:eastAsia="en-US" w:bidi="ar-SA"/>
        </w:rPr>
        <w:t xml:space="preserve">  The evidence on an application to remove Harold would likely have been considerably different than called in this case. The court might well have confirmed Harold's appointment, or if concerned that Harold and Howard could not work together, might have ordered both replaced: </w:t>
      </w:r>
      <w:r>
        <w:rPr>
          <w:rFonts w:ascii="arial" w:eastAsia="arial" w:hAnsi="arial" w:cs="arial"/>
          <w:i/>
          <w:color w:val="000000"/>
          <w:sz w:val="20"/>
          <w:lang w:val="en-US" w:eastAsia="en-US" w:bidi="ar-SA"/>
        </w:rPr>
        <w:t>Re Consiglio Trusts (No. 1)</w:t>
      </w:r>
      <w:r>
        <w:rPr>
          <w:rFonts w:ascii="arial" w:eastAsia="arial" w:hAnsi="arial" w:cs="arial"/>
          <w:color w:val="000000"/>
          <w:sz w:val="20"/>
          <w:lang w:val="en-US" w:eastAsia="en-US" w:bidi="ar-SA"/>
        </w:rPr>
        <w:t xml:space="preserve">, </w:t>
      </w:r>
      <w:hyperlink r:id="rId389" w:history="1">
        <w:r>
          <w:rPr>
            <w:rFonts w:ascii="arial" w:eastAsia="arial" w:hAnsi="arial" w:cs="arial"/>
            <w:i/>
            <w:color w:val="0077CC"/>
            <w:sz w:val="20"/>
            <w:u w:val="single"/>
            <w:shd w:val="clear" w:color="auto" w:fill="FFFFFF"/>
            <w:lang w:val="en-US" w:eastAsia="en-US" w:bidi="ar-SA"/>
          </w:rPr>
          <w:t>[1973] 3 O.R. 326</w:t>
        </w:r>
      </w:hyperlink>
      <w:r>
        <w:rPr>
          <w:rFonts w:ascii="arial" w:eastAsia="arial" w:hAnsi="arial" w:cs="arial"/>
          <w:color w:val="000000"/>
          <w:sz w:val="20"/>
          <w:lang w:val="en-US" w:eastAsia="en-US" w:bidi="ar-SA"/>
        </w:rPr>
        <w:t xml:space="preserve">, </w:t>
      </w:r>
      <w:hyperlink r:id="rId389" w:history="1">
        <w:r>
          <w:rPr>
            <w:rFonts w:ascii="arial" w:eastAsia="arial" w:hAnsi="arial" w:cs="arial"/>
            <w:i/>
            <w:color w:val="0077CC"/>
            <w:sz w:val="20"/>
            <w:u w:val="single"/>
            <w:shd w:val="clear" w:color="auto" w:fill="FFFFFF"/>
            <w:lang w:val="en-US" w:eastAsia="en-US" w:bidi="ar-SA"/>
          </w:rPr>
          <w:t>36 D.L.R. (3d) 658</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424</w:t>
      </w:r>
      <w:r>
        <w:rPr>
          <w:rFonts w:ascii="arial" w:eastAsia="arial" w:hAnsi="arial" w:cs="arial"/>
          <w:color w:val="000000"/>
          <w:sz w:val="20"/>
          <w:lang w:val="en-US" w:eastAsia="en-US" w:bidi="ar-SA"/>
        </w:rPr>
        <w:t>  The difficulty with the defendants' submission is that it was not the place of Howard and Eugene to decide if Harold could act. The BNT Trust Agreement appointed Harold and Eugene as successor trustees to Audrey. Harold did not have the opportunity to take up his appointment because Eugene and Howard concealed from him and the other plaintiffs the terms of the BNT Trust Agreement and the Revocation Letters. If Eugene and Howard believed that Harold was unable to act as trustee, they should have sought an order to that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425</w:t>
      </w:r>
      <w:r>
        <w:rPr>
          <w:rFonts w:ascii="arial" w:eastAsia="arial" w:hAnsi="arial" w:cs="arial"/>
          <w:color w:val="000000"/>
          <w:sz w:val="20"/>
          <w:lang w:val="en-US" w:eastAsia="en-US" w:bidi="ar-SA"/>
        </w:rPr>
        <w:t>  To allow the defendants to argue that Harold was unable to become trustee would be to reward their deceitful behaviour. Such a position is untenable. I find that that Harold was entitled in 2002 to become a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 The Liquidation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426</w:t>
      </w:r>
      <w:r>
        <w:rPr>
          <w:rFonts w:ascii="arial" w:eastAsia="arial" w:hAnsi="arial" w:cs="arial"/>
          <w:color w:val="000000"/>
          <w:sz w:val="20"/>
          <w:lang w:val="en-US" w:eastAsia="en-US" w:bidi="ar-SA"/>
        </w:rPr>
        <w:t>  A major premise of the plaintiffs' case against Howard and Eugene is that Howard was appointed as trustee in order to sell the shares of Big Nine in order to alleviate the financial crisis facing Eugene as a result of the Florida Judgment. The plaintiffs submit that in order to implement the Liquidation Plan it was necessary to keep Harold out of his rightful place as co-trustee, because Howard and Eugene believed that Harold would oppose any sale of the Big Nine shares. To this end, active steps were taken to conceal the truth about Harold's rightful place as co-trustee. The plaintiffs' theory is that Howard colluded with Eugene in order to defraud and prejudice the plaintiffs in order to serve Eugene's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427</w:t>
      </w:r>
      <w:r>
        <w:rPr>
          <w:rFonts w:ascii="arial" w:eastAsia="arial" w:hAnsi="arial" w:cs="arial"/>
          <w:color w:val="000000"/>
          <w:sz w:val="20"/>
          <w:lang w:val="en-US" w:eastAsia="en-US" w:bidi="ar-SA"/>
        </w:rPr>
        <w:t>  I do not accept the plaintiffs' premise that Howard was appointed and acted throughout to preserve and advance Eugene's interest. While Howard's appointment took place almost simultaneously with the culmination of the Florida proceedings, that timing was coincidental. Howard's appointment stems from the 1979 Revocation Letters. Howard's appointment was activated in September 2002 because Audrey had to be replaced as she was no longer able to carry out her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428</w:t>
      </w:r>
      <w:r>
        <w:rPr>
          <w:rFonts w:ascii="arial" w:eastAsia="arial" w:hAnsi="arial" w:cs="arial"/>
          <w:color w:val="000000"/>
          <w:sz w:val="20"/>
          <w:lang w:val="en-US" w:eastAsia="en-US" w:bidi="ar-SA"/>
        </w:rPr>
        <w:t>  The evidence taken as a whole does not support the premise of the Liquidation Plan. If the plan was to immediately liquidate the Big Nine shares, then one would have expected an immediate attempt to sell the shares. That did not happen. As will be more fully developed later in these reasons, I accept Howard's evidence that his decision to sell the shares evolved over time and was done because he believed it was in the best interest of the beneficiaries.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429</w:t>
      </w:r>
      <w:r>
        <w:rPr>
          <w:rFonts w:ascii="arial" w:eastAsia="arial" w:hAnsi="arial" w:cs="arial"/>
          <w:color w:val="000000"/>
          <w:sz w:val="20"/>
          <w:lang w:val="en-US" w:eastAsia="en-US" w:bidi="ar-SA"/>
        </w:rPr>
        <w:t>  The foundation of the Liquidation Plan, the premise that Eugene was in desperate financial circumstances, does not stand up to scrutiny. While the evidence discloses that Eugene owed Howard $156,000, there is limited evidence concerning his overall financial situation and whether or not he was able to meet his obligations as they came due. The debt to Howard had been secured by a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430</w:t>
      </w:r>
      <w:r>
        <w:rPr>
          <w:rFonts w:ascii="arial" w:eastAsia="arial" w:hAnsi="arial" w:cs="arial"/>
          <w:color w:val="000000"/>
          <w:sz w:val="20"/>
          <w:lang w:val="en-US" w:eastAsia="en-US" w:bidi="ar-SA"/>
        </w:rPr>
        <w:t>  Eugene assisted Barry in drafting his initial offer to purchase the Big Nine shares. By its terms, that sale called for 10% down and the balance payable over eight years. Barry incorporated those terms into his initial offer. If Eugene was desperate for money, the sale of the Big Nine shares on those terms would do little to alleviate his cash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431</w:t>
      </w:r>
      <w:r>
        <w:rPr>
          <w:rFonts w:ascii="arial" w:eastAsia="arial" w:hAnsi="arial" w:cs="arial"/>
          <w:color w:val="000000"/>
          <w:sz w:val="20"/>
          <w:lang w:val="en-US" w:eastAsia="en-US" w:bidi="ar-SA"/>
        </w:rPr>
        <w:t>  During the negotiations between Tommy and Eugene to sell Eugene's daughters' interests in GRO, Eugene insisted that the parties pay $25,000 to Audrey as compensation for her years of service. That is not the act of a man who is in desperate financial straits.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432</w:t>
      </w:r>
      <w:r>
        <w:rPr>
          <w:rFonts w:ascii="arial" w:eastAsia="arial" w:hAnsi="arial" w:cs="arial"/>
          <w:color w:val="000000"/>
          <w:sz w:val="20"/>
          <w:lang w:val="en-US" w:eastAsia="en-US" w:bidi="ar-SA"/>
        </w:rPr>
        <w:t>  The Liquidation Plan could only succeed if Jennifer and Julie paid the proceeds from the sale of their Big Nine shares to their father. Unless they had agreed to this in advance, there would be no point in selling the Big Nine shares if the point of the sale was to help Eugene. There is no evidence that Jennifer and Julie were consulted or had agreed at any time prior to March 2004 to pay the sale proceeds to their parents. That they ultimately did so is not evidence of a prior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433</w:t>
      </w:r>
      <w:r>
        <w:rPr>
          <w:rFonts w:ascii="arial" w:eastAsia="arial" w:hAnsi="arial" w:cs="arial"/>
          <w:color w:val="000000"/>
          <w:sz w:val="20"/>
          <w:lang w:val="en-US" w:eastAsia="en-US" w:bidi="ar-SA"/>
        </w:rPr>
        <w:t>  I find that Howard's decision to accept his appointment was made with the best of intentions. He did not know that he had been nominated as successor trustee until Eugene approached him in 2002 and told him that he and Harold had appointed him in 1979 as successor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434</w:t>
      </w:r>
      <w:r>
        <w:rPr>
          <w:rFonts w:ascii="arial" w:eastAsia="arial" w:hAnsi="arial" w:cs="arial"/>
          <w:color w:val="000000"/>
          <w:sz w:val="20"/>
          <w:lang w:val="en-US" w:eastAsia="en-US" w:bidi="ar-SA"/>
        </w:rPr>
        <w:t>  I accept Howard's evidence that he took on the role of trustee because he considered it a family obligation. The main beneficiaries were his nieces and nephews. While by 2002 there was animosity between Harold and Howard, none of Harold's children shared that animosity. None were concerned about Howard's appointment and they assumed that their Uncle Howard would act fairly towards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435</w:t>
      </w:r>
      <w:r>
        <w:rPr>
          <w:rFonts w:ascii="arial" w:eastAsia="arial" w:hAnsi="arial" w:cs="arial"/>
          <w:color w:val="000000"/>
          <w:sz w:val="20"/>
          <w:lang w:val="en-US" w:eastAsia="en-US" w:bidi="ar-SA"/>
        </w:rPr>
        <w:t>  Howard thought it was in the beneficiaries' best interests that he act as trustee and that he do so to the exclusion of Harold. Howard had no use for Harold. He had abandoned his family and had been for the last two years living as a recluse in the wilds of northern British Columbia. He had questions about Harold's mental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436</w:t>
      </w:r>
      <w:r>
        <w:rPr>
          <w:rFonts w:ascii="arial" w:eastAsia="arial" w:hAnsi="arial" w:cs="arial"/>
          <w:color w:val="000000"/>
          <w:sz w:val="20"/>
          <w:lang w:val="en-US" w:eastAsia="en-US" w:bidi="ar-SA"/>
        </w:rPr>
        <w:t>  Both Eugene and Howard had concerns about Harold acting as trustee. Rather than confront these concerns honestly, however, Howard and Eugene decided to proceed as if Harold had no rights whatsoever with regard to the trusteeship. They did not tell the plaintiffs of Harold's entitlement to be trustee and did not give them copies of the BNT Trust Agreement and the Revocation Letters. They carried on hoping that the plaintiffs would accept their statements that only Howard had been appointed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437</w:t>
      </w:r>
      <w:r>
        <w:rPr>
          <w:rFonts w:ascii="arial" w:eastAsia="arial" w:hAnsi="arial" w:cs="arial"/>
          <w:color w:val="000000"/>
          <w:sz w:val="20"/>
          <w:lang w:val="en-US" w:eastAsia="en-US" w:bidi="ar-SA"/>
        </w:rPr>
        <w:t>  In that regard, they largely succeeded. Although Tommy, in the fall of 2002, after reading the Eugene Resignation Documents, had some concerns and corresponded with Harold concerning these matters, he did not follow up. Because of Harold's isolated location, Harold and Tommy were not able to communicate on any regular basis. Over time, Harold and Tommy came to accept that Howard had the right to act as trustee. In the result, by January 2004, Tommy did not believe that he had a legal basis to stop Howard from entering into the BNO Share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438</w:t>
      </w:r>
      <w:r>
        <w:rPr>
          <w:rFonts w:ascii="arial" w:eastAsia="arial" w:hAnsi="arial" w:cs="arial"/>
          <w:color w:val="000000"/>
          <w:sz w:val="20"/>
          <w:lang w:val="en-US" w:eastAsia="en-US" w:bidi="ar-SA"/>
        </w:rPr>
        <w:t xml:space="preserve">  I am aware that in finding that Howard knew of Harold's right to be trustee I have rejected parts of his evidence while I have, in turn, accepted other parts of his evidence in rejecting the Liquidation Plan as Howard's motive. As trial judge, I have the right and obligation to consider all of the evidence and to reject or accept all or part of it. Inherent in this right and obligation is the possibility that factual scenarios presented by parties will be accepted or rejected in whole or in part: </w:t>
      </w:r>
      <w:r>
        <w:rPr>
          <w:rFonts w:ascii="arial" w:eastAsia="arial" w:hAnsi="arial" w:cs="arial"/>
          <w:i/>
          <w:color w:val="000000"/>
          <w:sz w:val="20"/>
          <w:lang w:val="en-US" w:eastAsia="en-US" w:bidi="ar-SA"/>
        </w:rPr>
        <w:t>Randhawa v. 420413 B.C. Ltd.,</w:t>
      </w:r>
      <w:r>
        <w:rPr>
          <w:rFonts w:ascii="arial" w:eastAsia="arial" w:hAnsi="arial" w:cs="arial"/>
          <w:color w:val="000000"/>
          <w:sz w:val="20"/>
          <w:lang w:val="en-US" w:eastAsia="en-US" w:bidi="ar-SA"/>
        </w:rPr>
        <w:t xml:space="preserve"> </w:t>
      </w:r>
      <w:hyperlink r:id="rId390" w:history="1">
        <w:r>
          <w:rPr>
            <w:rFonts w:ascii="arial" w:eastAsia="arial" w:hAnsi="arial" w:cs="arial"/>
            <w:i/>
            <w:color w:val="0077CC"/>
            <w:sz w:val="20"/>
            <w:u w:val="single"/>
            <w:shd w:val="clear" w:color="auto" w:fill="FFFFFF"/>
            <w:lang w:val="en-US" w:eastAsia="en-US" w:bidi="ar-SA"/>
          </w:rPr>
          <w:t>2009 BCCA 602</w:t>
        </w:r>
      </w:hyperlink>
      <w:r>
        <w:rPr>
          <w:rFonts w:ascii="arial" w:eastAsia="arial" w:hAnsi="arial" w:cs="arial"/>
          <w:color w:val="000000"/>
          <w:sz w:val="20"/>
          <w:lang w:val="en-US" w:eastAsia="en-US" w:bidi="ar-SA"/>
        </w:rPr>
        <w:t xml:space="preserve"> at para.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 The BNO Share Transaction - Right to Sell</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439</w:t>
      </w:r>
      <w:r>
        <w:rPr>
          <w:rFonts w:ascii="arial" w:eastAsia="arial" w:hAnsi="arial" w:cs="arial"/>
          <w:color w:val="000000"/>
          <w:sz w:val="20"/>
          <w:lang w:val="en-US" w:eastAsia="en-US" w:bidi="ar-SA"/>
        </w:rPr>
        <w:t>  Several issues arise from the BNO Share Transaction. The issues include whether the BNT Trust Agreement contained a power of sale, whether Howard could enter into the BNO Share Transaction without the consent of his co-trustee, whether Howard made the sale in good faith and whether the sale was at an improvident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440</w:t>
      </w:r>
      <w:r>
        <w:rPr>
          <w:rFonts w:ascii="arial" w:eastAsia="arial" w:hAnsi="arial" w:cs="arial"/>
          <w:color w:val="000000"/>
          <w:sz w:val="20"/>
          <w:lang w:val="en-US" w:eastAsia="en-US" w:bidi="ar-SA"/>
        </w:rPr>
        <w:t>  The plaintiffs submit that Howard had no power to sell the Big Nine shares because the BNT Trust Agreement does not contain a power of sale. In the event there is a power of sale, the plaintiffs submit that the power could only be exercised by all of the trustees acting unanimously. They submit that Harold never renounced or waived his right to act as co-trustee, and absent such renunciation, any sale of the Big Nine shares absent Harold's agreement was a breach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441</w:t>
      </w:r>
      <w:r>
        <w:rPr>
          <w:rFonts w:ascii="arial" w:eastAsia="arial" w:hAnsi="arial" w:cs="arial"/>
          <w:color w:val="000000"/>
          <w:sz w:val="20"/>
          <w:lang w:val="en-US" w:eastAsia="en-US" w:bidi="ar-SA"/>
        </w:rPr>
        <w:t>  The defendants submit that the BNT Trust Agreement contains an implied power of sale. They say that because Harold never accepted or disclaimed his appointment as trustee, that Howard, by December 2003, was at law the sole trustee and able to sell the Big Nine shares. They submit that Howard's decision to sell the shares was reasonable in light of the BNT's interest in Big Nine and the information gathered prior to the sale. In any event, the defendants submit that the Big Nine shares were sold at fair market value and regardless of whether the sale was in breach of trust, the BNT suffered no loss from the sale.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ii. Power of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442</w:t>
      </w:r>
      <w:r>
        <w:rPr>
          <w:rFonts w:ascii="arial" w:eastAsia="arial" w:hAnsi="arial" w:cs="arial"/>
          <w:color w:val="000000"/>
          <w:sz w:val="20"/>
          <w:lang w:val="en-US" w:eastAsia="en-US" w:bidi="ar-SA"/>
        </w:rPr>
        <w:t>  The parties are in agreement that if there is a power of sale, it must be found in the BNT Trust Agreement. A trustee cannot exercise a power that is not conferred upon him or her by the trust instrument.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443</w:t>
      </w:r>
      <w:r>
        <w:rPr>
          <w:rFonts w:ascii="arial" w:eastAsia="arial" w:hAnsi="arial" w:cs="arial"/>
          <w:color w:val="000000"/>
          <w:sz w:val="20"/>
          <w:lang w:val="en-US" w:eastAsia="en-US" w:bidi="ar-SA"/>
        </w:rPr>
        <w:t xml:space="preserve">  The plaintiffs submit that the BNT Trust Agreement does not contain a power of sale. The defendants acknowledge that the BNT Trust Agreement does not contain an express power of sale. They submit, however, a power of sale need not be express and may be implied from the terms of the agreement: Donovan W.M. Waters, </w:t>
      </w:r>
      <w:r>
        <w:rPr>
          <w:rFonts w:ascii="arial" w:eastAsia="arial" w:hAnsi="arial" w:cs="arial"/>
          <w:i/>
          <w:color w:val="000000"/>
          <w:sz w:val="20"/>
          <w:lang w:val="en-US" w:eastAsia="en-US" w:bidi="ar-SA"/>
        </w:rPr>
        <w:t>Waters' Law of Trusts in Canada</w:t>
      </w:r>
      <w:r>
        <w:rPr>
          <w:rFonts w:ascii="arial" w:eastAsia="arial" w:hAnsi="arial" w:cs="arial"/>
          <w:color w:val="000000"/>
          <w:sz w:val="20"/>
          <w:lang w:val="en-US" w:eastAsia="en-US" w:bidi="ar-SA"/>
        </w:rPr>
        <w:t>, 3d ed. (Toronto: Thomson Carswell, 2005), at 1088 ("</w:t>
      </w:r>
      <w:r>
        <w:rPr>
          <w:rFonts w:ascii="arial" w:eastAsia="arial" w:hAnsi="arial" w:cs="arial"/>
          <w:i/>
          <w:color w:val="000000"/>
          <w:sz w:val="20"/>
          <w:lang w:val="en-US" w:eastAsia="en-US" w:bidi="ar-SA"/>
        </w:rPr>
        <w:t>Waters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444</w:t>
      </w:r>
      <w:r>
        <w:rPr>
          <w:rFonts w:ascii="arial" w:eastAsia="arial" w:hAnsi="arial" w:cs="arial"/>
          <w:color w:val="000000"/>
          <w:sz w:val="20"/>
          <w:lang w:val="en-US" w:eastAsia="en-US" w:bidi="ar-SA"/>
        </w:rPr>
        <w:t>  The defendants submit that in this case a power of sale arises by necessary implication from the terms of the BNT Trust Agreement, in particular from clauses 1, 2(A), 5 and 9. Those clauses read as follows:</w:t>
      </w:r>
      <w:r>
        <w:rPr>
          <w:rFonts w:ascii="arial" w:eastAsia="arial" w:hAnsi="arial" w:cs="arial"/>
          <w:sz w:val="20"/>
          <w:lang w:val="en-US" w:eastAsia="en-US" w:bidi="ar-SA"/>
        </w:rPr>
        <w:cr/>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Purpose of the Trust</w:t>
      </w:r>
      <w:r>
        <w:rPr>
          <w:rFonts w:ascii="arial" w:eastAsia="arial" w:hAnsi="arial" w:cs="arial"/>
          <w:color w:val="000000"/>
          <w:sz w:val="20"/>
          <w:lang w:val="en-US" w:eastAsia="en-US" w:bidi="ar-SA"/>
        </w:rPr>
        <w:t xml:space="preserve"> - The purpose of this Trust is to vest the title to the property listed in Schedule "A" in the Trustee hereunder and to vest in such Trustees the power to vote and take other actions with respect to such property as the Grantors might have otherwise done and to reserve the benefit of the property for the beneficiaries named hereunder.</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Distribution of Principal and Income</w:t>
      </w:r>
      <w:r>
        <w:rPr>
          <w:rFonts w:ascii="arial" w:eastAsia="arial" w:hAnsi="arial" w:cs="arial"/>
          <w:color w:val="000000"/>
          <w:sz w:val="20"/>
          <w:lang w:val="en-US" w:eastAsia="en-US" w:bidi="ar-SA"/>
        </w:rPr>
        <w:t xml:space="preserve"> - The principal herewith deposited and all future additions thereto shall be held by the Trustee for the benefit of the Grantors' children, in the case of Grantor, Harold D. Lewis, his children, Lee Lewis and Virginia Lewis, and in the case of Grantor A. Eugene Lewis, his children Jennifer Lewis and Julie Lewis. Each such child shall have an equal share in this Trust and be the beneficiaries hereto.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During the lifetimes of the Grantors Harold D. Lewis and A. Eugene Lewis, or the survivor of them, the Trustees, may in their discretion, distribute or accumulate to or for the benefit of Lee Lewis, Virginia Lewis, Jennifer Lewis and Julie Lewis, in equal shares, the income and principal of the Trust.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Duty of Inquiry</w:t>
      </w:r>
      <w:r>
        <w:rPr>
          <w:rFonts w:ascii="arial" w:eastAsia="arial" w:hAnsi="arial" w:cs="arial"/>
          <w:color w:val="000000"/>
          <w:sz w:val="20"/>
          <w:lang w:val="en-US" w:eastAsia="en-US" w:bidi="ar-SA"/>
        </w:rPr>
        <w:t xml:space="preserve"> - No person, firm, or corporation dealing with the Trustees with reference to any property in this Trust shall be required to ascertain the authority of the Trustee to make any sale, transfer, mortgage, pledge, assignment or other transfer or disposal of or transactions concerning the trust estate, nor shall any such person, firm, or corporation be permitted or required to inquire into any expediency, propriety, validity or necessity of any sale made by the Trustee, nor shall they be in any way responsible for the proper use or application of funds paid by them or any of them to the Trustee under the terms of this Trust. Such persons, firms or corporations so dealing with the Trustee shall be entitled to rely upon the delivery, transfer, assignment, or other instrument or acts disposing of or pledging the mortgage of such property by the Trustee as having been duly authorized and all particulars; and the receipt of the Trustee for any payment made to them for any assets added hereunder shall be a complete discharge and acquittance to the extent specified in such receipt.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Trustee's Powers</w:t>
      </w:r>
      <w:r>
        <w:rPr>
          <w:rFonts w:ascii="arial" w:eastAsia="arial" w:hAnsi="arial" w:cs="arial"/>
          <w:color w:val="000000"/>
          <w:sz w:val="20"/>
          <w:lang w:val="en-US" w:eastAsia="en-US" w:bidi="ar-SA"/>
        </w:rPr>
        <w:t xml:space="preserve"> - The Trustees are hereby vested with any and all powers now or hereafter conferred upon private trusts under the laws of British Columbia, not restricting the generality of the foregoing but specifically including that, at all meetings of the shareholders, and at all elections of directors during such meetings, the Trustee shall have the power and authority to vote all the shares listed in Schedule "A" attached hereto as though the Trustee was the absolute owner of the said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445</w:t>
      </w:r>
      <w:r>
        <w:rPr>
          <w:rFonts w:ascii="arial" w:eastAsia="arial" w:hAnsi="arial" w:cs="arial"/>
          <w:color w:val="000000"/>
          <w:sz w:val="20"/>
          <w:lang w:val="en-US" w:eastAsia="en-US" w:bidi="ar-SA"/>
        </w:rPr>
        <w:t xml:space="preserve">  Clause 1 of the BNT Trust Agreement gives the trustee all the powers of the grantor in respect of the trust property, which must include the power to sell the property. If the grantors intended to restrict the trustee's liability to sell the property, they could have placed restrictions on the trustee's powers. The clause gives the trustee the power to take such actions as the grantor might have done to reserve the benefit of the property. The use of the phrase "benefit of the property" instead of just "property" or "property </w:t>
      </w:r>
      <w:r>
        <w:rPr>
          <w:rFonts w:ascii="arial" w:eastAsia="arial" w:hAnsi="arial" w:cs="arial"/>
          <w:i/>
          <w:color w:val="000000"/>
          <w:sz w:val="20"/>
          <w:lang w:val="en-US" w:eastAsia="en-US" w:bidi="ar-SA"/>
        </w:rPr>
        <w:t>in specie</w:t>
      </w:r>
      <w:r>
        <w:rPr>
          <w:rFonts w:ascii="arial" w:eastAsia="arial" w:hAnsi="arial" w:cs="arial"/>
          <w:color w:val="000000"/>
          <w:sz w:val="20"/>
          <w:lang w:val="en-US" w:eastAsia="en-US" w:bidi="ar-SA"/>
        </w:rPr>
        <w:t>" strongly suggests that the grantors contemplated the property might assume a different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446</w:t>
      </w:r>
      <w:r>
        <w:rPr>
          <w:rFonts w:ascii="arial" w:eastAsia="arial" w:hAnsi="arial" w:cs="arial"/>
          <w:color w:val="000000"/>
          <w:sz w:val="20"/>
          <w:lang w:val="en-US" w:eastAsia="en-US" w:bidi="ar-SA"/>
        </w:rPr>
        <w:t>  Prior to the establishment of the trust, the grantors had the power to sell the shares. Pursuant to Clause 1, the trustees are given the power to do all that the grantors might have done. There is nothing in the BNT Trust Agreement to suggest that some, but not all powers were transferred.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447</w:t>
      </w:r>
      <w:r>
        <w:rPr>
          <w:rFonts w:ascii="arial" w:eastAsia="arial" w:hAnsi="arial" w:cs="arial"/>
          <w:color w:val="000000"/>
          <w:sz w:val="20"/>
          <w:lang w:val="en-US" w:eastAsia="en-US" w:bidi="ar-SA"/>
        </w:rPr>
        <w:t xml:space="preserve">  Clause 2(A) gives the trustee the power to accumulate or distribute the income or principal of the trust for the benefit of the beneficiaries. There is no reference to preserving the property </w:t>
      </w:r>
      <w:r>
        <w:rPr>
          <w:rFonts w:ascii="arial" w:eastAsia="arial" w:hAnsi="arial" w:cs="arial"/>
          <w:i/>
          <w:color w:val="000000"/>
          <w:sz w:val="20"/>
          <w:lang w:val="en-US" w:eastAsia="en-US" w:bidi="ar-SA"/>
        </w:rPr>
        <w:t>in specie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448</w:t>
      </w:r>
      <w:r>
        <w:rPr>
          <w:rFonts w:ascii="arial" w:eastAsia="arial" w:hAnsi="arial" w:cs="arial"/>
          <w:color w:val="000000"/>
          <w:sz w:val="20"/>
          <w:lang w:val="en-US" w:eastAsia="en-US" w:bidi="ar-SA"/>
        </w:rPr>
        <w:t xml:space="preserve">  Clause 5 assures parties dealing with the trust that the trustee has the power to sell the property. By necessary implication, the trustee must have the authority to sell the property as it would make little sense for the grantor to assure the outside world that the trustee has a power of sale if they did not intend to confer that power on the trustee. The document should be construed so that every word shall have effect: </w:t>
      </w:r>
      <w:r>
        <w:rPr>
          <w:rFonts w:ascii="arial" w:eastAsia="arial" w:hAnsi="arial" w:cs="arial"/>
          <w:i/>
          <w:color w:val="000000"/>
          <w:sz w:val="20"/>
          <w:lang w:val="en-US" w:eastAsia="en-US" w:bidi="ar-SA"/>
        </w:rPr>
        <w:t>Zackariuk Estate v. Chepsiuk</w:t>
      </w:r>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2005 BCSC 919</w:t>
        </w:r>
      </w:hyperlink>
      <w:r>
        <w:rPr>
          <w:rFonts w:ascii="arial" w:eastAsia="arial" w:hAnsi="arial" w:cs="arial"/>
          <w:color w:val="000000"/>
          <w:sz w:val="20"/>
          <w:lang w:val="en-US" w:eastAsia="en-US" w:bidi="ar-SA"/>
        </w:rPr>
        <w:t xml:space="preserve"> at para. 17, </w:t>
      </w:r>
      <w:hyperlink r:id="rId391" w:history="1">
        <w:r>
          <w:rPr>
            <w:rFonts w:ascii="arial" w:eastAsia="arial" w:hAnsi="arial" w:cs="arial"/>
            <w:i/>
            <w:color w:val="0077CC"/>
            <w:sz w:val="20"/>
            <w:u w:val="single"/>
            <w:shd w:val="clear" w:color="auto" w:fill="FFFFFF"/>
            <w:lang w:val="en-US" w:eastAsia="en-US" w:bidi="ar-SA"/>
          </w:rPr>
          <w:t>17 E.T.R. (3d) 100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 Kirk</w:t>
      </w:r>
      <w:r>
        <w:rPr>
          <w:rFonts w:ascii="arial" w:eastAsia="arial" w:hAnsi="arial" w:cs="arial"/>
          <w:color w:val="000000"/>
          <w:sz w:val="20"/>
          <w:lang w:val="en-US" w:eastAsia="en-US" w:bidi="ar-SA"/>
        </w:rPr>
        <w:t xml:space="preserve"> (1956), 2 D.L.R. (2d) 527 (Ont. H.C.) at 528. To find that the trustee does not have a power of sale would render meaningless the term "sale" in Clause 5 of the BNT Trust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449</w:t>
      </w:r>
      <w:r>
        <w:rPr>
          <w:rFonts w:ascii="arial" w:eastAsia="arial" w:hAnsi="arial" w:cs="arial"/>
          <w:color w:val="000000"/>
          <w:sz w:val="20"/>
          <w:lang w:val="en-US" w:eastAsia="en-US" w:bidi="ar-SA"/>
        </w:rPr>
        <w:t>  I find that the BNT Trust Agreement contains by implication a power of sale.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iii. Howard as Sole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450</w:t>
      </w:r>
      <w:r>
        <w:rPr>
          <w:rFonts w:ascii="arial" w:eastAsia="arial" w:hAnsi="arial" w:cs="arial"/>
          <w:color w:val="000000"/>
          <w:sz w:val="20"/>
          <w:lang w:val="en-US" w:eastAsia="en-US" w:bidi="ar-SA"/>
        </w:rPr>
        <w:t>  On the resignation of Audrey, the BNT Trust Agreement appointed Harold and Eugene as co-trustees. When Eugene renounced, Howard, pursuant to the Revocation Letter, stepped up as trustee in his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451</w:t>
      </w:r>
      <w:r>
        <w:rPr>
          <w:rFonts w:ascii="arial" w:eastAsia="arial" w:hAnsi="arial" w:cs="arial"/>
          <w:color w:val="000000"/>
          <w:sz w:val="20"/>
          <w:lang w:val="en-US" w:eastAsia="en-US" w:bidi="ar-SA"/>
        </w:rPr>
        <w:t>  On Audrey's resignation, Harold was entitled to serve as co-trustee unless he was "unable to serve as a successor trustee for any reason." I have rejected the defendants' submissions that Harold was unable to serve.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452</w:t>
      </w:r>
      <w:r>
        <w:rPr>
          <w:rFonts w:ascii="arial" w:eastAsia="arial" w:hAnsi="arial" w:cs="arial"/>
          <w:color w:val="000000"/>
          <w:sz w:val="20"/>
          <w:lang w:val="en-US" w:eastAsia="en-US" w:bidi="ar-SA"/>
        </w:rPr>
        <w:t xml:space="preserve">  Trustees must act jointly in the exercise of their office: </w:t>
      </w:r>
      <w:r>
        <w:rPr>
          <w:rFonts w:ascii="arial" w:eastAsia="arial" w:hAnsi="arial" w:cs="arial"/>
          <w:i/>
          <w:color w:val="000000"/>
          <w:sz w:val="20"/>
          <w:lang w:val="en-US" w:eastAsia="en-US" w:bidi="ar-SA"/>
        </w:rPr>
        <w:t>Gibb v. McMahon</w:t>
      </w:r>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(1905), 9 O.L.R. 522</w:t>
        </w:r>
      </w:hyperlink>
      <w:r>
        <w:rPr>
          <w:rFonts w:ascii="arial" w:eastAsia="arial" w:hAnsi="arial" w:cs="arial"/>
          <w:color w:val="000000"/>
          <w:sz w:val="20"/>
          <w:lang w:val="en-US" w:eastAsia="en-US" w:bidi="ar-SA"/>
        </w:rPr>
        <w:t xml:space="preserve"> at 525 (C.A.), aff'd </w:t>
      </w:r>
      <w:hyperlink r:id="rId393" w:history="1">
        <w:r>
          <w:rPr>
            <w:rFonts w:ascii="arial" w:eastAsia="arial" w:hAnsi="arial" w:cs="arial"/>
            <w:i/>
            <w:color w:val="0077CC"/>
            <w:sz w:val="20"/>
            <w:u w:val="single"/>
            <w:shd w:val="clear" w:color="auto" w:fill="FFFFFF"/>
            <w:lang w:val="en-US" w:eastAsia="en-US" w:bidi="ar-SA"/>
          </w:rPr>
          <w:t>(1906) 37 S.C.R. 362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Kordyban v. Kordyban</w:t>
      </w:r>
      <w:r>
        <w:rPr>
          <w:rFonts w:ascii="arial" w:eastAsia="arial" w:hAnsi="arial" w:cs="arial"/>
          <w:color w:val="000000"/>
          <w:sz w:val="20"/>
          <w:lang w:val="en-US" w:eastAsia="en-US" w:bidi="ar-SA"/>
        </w:rPr>
        <w:t xml:space="preserve">, </w:t>
      </w:r>
      <w:hyperlink r:id="rId394" w:history="1">
        <w:r>
          <w:rPr>
            <w:rFonts w:ascii="arial" w:eastAsia="arial" w:hAnsi="arial" w:cs="arial"/>
            <w:i/>
            <w:color w:val="0077CC"/>
            <w:sz w:val="20"/>
            <w:u w:val="single"/>
            <w:shd w:val="clear" w:color="auto" w:fill="FFFFFF"/>
            <w:lang w:val="en-US" w:eastAsia="en-US" w:bidi="ar-SA"/>
          </w:rPr>
          <w:t>2003 BCCA 216</w:t>
        </w:r>
      </w:hyperlink>
      <w:r>
        <w:rPr>
          <w:rFonts w:ascii="arial" w:eastAsia="arial" w:hAnsi="arial" w:cs="arial"/>
          <w:color w:val="000000"/>
          <w:sz w:val="20"/>
          <w:lang w:val="en-US" w:eastAsia="en-US" w:bidi="ar-SA"/>
        </w:rPr>
        <w:t xml:space="preserve"> at para. 40, </w:t>
      </w:r>
      <w:hyperlink r:id="rId394" w:history="1">
        <w:r>
          <w:rPr>
            <w:rFonts w:ascii="arial" w:eastAsia="arial" w:hAnsi="arial" w:cs="arial"/>
            <w:i/>
            <w:color w:val="0077CC"/>
            <w:sz w:val="20"/>
            <w:u w:val="single"/>
            <w:shd w:val="clear" w:color="auto" w:fill="FFFFFF"/>
            <w:lang w:val="en-US" w:eastAsia="en-US" w:bidi="ar-SA"/>
          </w:rPr>
          <w:t>13 B.C.L.R. (4th) 50</w:t>
        </w:r>
      </w:hyperlink>
      <w:r>
        <w:rPr>
          <w:rFonts w:ascii="arial" w:eastAsia="arial" w:hAnsi="arial" w:cs="arial"/>
          <w:color w:val="000000"/>
          <w:sz w:val="20"/>
          <w:lang w:val="en-US" w:eastAsia="en-US" w:bidi="ar-SA"/>
        </w:rPr>
        <w:t>. If Harold was, in fact, a trustee, then Howard could not act without his consent. The first issue to be resolved then is whether Harold was ever a co-trustee.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453</w:t>
      </w:r>
      <w:r>
        <w:rPr>
          <w:rFonts w:ascii="arial" w:eastAsia="arial" w:hAnsi="arial" w:cs="arial"/>
          <w:color w:val="000000"/>
          <w:sz w:val="20"/>
          <w:lang w:val="en-US" w:eastAsia="en-US" w:bidi="ar-SA"/>
        </w:rPr>
        <w:t xml:space="preserve">  In order to become co-trustee, Harold had to step up and accept the appointment. The office of trustee may be accepted expressly, constructively through the acts of the would be trustee or possibly through long acquiescence: </w:t>
      </w:r>
      <w:r>
        <w:rPr>
          <w:rFonts w:ascii="arial" w:eastAsia="arial" w:hAnsi="arial" w:cs="arial"/>
          <w:i/>
          <w:color w:val="000000"/>
          <w:sz w:val="20"/>
          <w:lang w:val="en-US" w:eastAsia="en-US" w:bidi="ar-SA"/>
        </w:rPr>
        <w:t>Waters</w:t>
      </w:r>
      <w:r>
        <w:rPr>
          <w:rFonts w:ascii="arial" w:eastAsia="arial" w:hAnsi="arial" w:cs="arial"/>
          <w:color w:val="000000"/>
          <w:sz w:val="20"/>
          <w:lang w:val="en-US" w:eastAsia="en-US" w:bidi="ar-SA"/>
        </w:rPr>
        <w:t xml:space="preserve"> at 832. The latter point has been a matter of considerable controversy and the subject of commentaries in the relevant texts. Unfortunately, there is little case authority on point. para452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454</w:t>
      </w:r>
      <w:r>
        <w:rPr>
          <w:rFonts w:ascii="arial" w:eastAsia="arial" w:hAnsi="arial" w:cs="arial"/>
          <w:color w:val="000000"/>
          <w:sz w:val="20"/>
          <w:lang w:val="en-US" w:eastAsia="en-US" w:bidi="ar-SA"/>
        </w:rPr>
        <w:t>  Harold did not expressly or constructively through his actions accept the appointment. Indeed, he says, and I have found, that he did not know of this appointment.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455</w:t>
      </w:r>
      <w:r>
        <w:rPr>
          <w:rFonts w:ascii="arial" w:eastAsia="arial" w:hAnsi="arial" w:cs="arial"/>
          <w:color w:val="000000"/>
          <w:sz w:val="20"/>
          <w:lang w:val="en-US" w:eastAsia="en-US" w:bidi="ar-SA"/>
        </w:rPr>
        <w:t xml:space="preserve">  There is some disagreement in the authorities on the effect of silence and inaction on the part of a designated trustee. Some older English authorities have held that absent an expressed disclaimer, acceptance is implied: </w:t>
      </w:r>
      <w:r>
        <w:rPr>
          <w:rFonts w:ascii="arial" w:eastAsia="arial" w:hAnsi="arial" w:cs="arial"/>
          <w:i/>
          <w:color w:val="000000"/>
          <w:sz w:val="20"/>
          <w:lang w:val="en-US" w:eastAsia="en-US" w:bidi="ar-SA"/>
        </w:rPr>
        <w:t>Re Uniacke</w:t>
      </w:r>
      <w:r>
        <w:rPr>
          <w:rFonts w:ascii="arial" w:eastAsia="arial" w:hAnsi="arial" w:cs="arial"/>
          <w:color w:val="000000"/>
          <w:sz w:val="20"/>
          <w:lang w:val="en-US" w:eastAsia="en-US" w:bidi="ar-SA"/>
        </w:rPr>
        <w:t xml:space="preserve"> (1844), 1 J.O. &amp; Lat 1; </w:t>
      </w:r>
      <w:r>
        <w:rPr>
          <w:rFonts w:ascii="arial" w:eastAsia="arial" w:hAnsi="arial" w:cs="arial"/>
          <w:i/>
          <w:color w:val="000000"/>
          <w:sz w:val="20"/>
          <w:lang w:val="en-US" w:eastAsia="en-US" w:bidi="ar-SA"/>
        </w:rPr>
        <w:t>Re Needham</w:t>
      </w:r>
      <w:r>
        <w:rPr>
          <w:rFonts w:ascii="arial" w:eastAsia="arial" w:hAnsi="arial" w:cs="arial"/>
          <w:color w:val="000000"/>
          <w:sz w:val="20"/>
          <w:lang w:val="en-US" w:eastAsia="en-US" w:bidi="ar-SA"/>
        </w:rPr>
        <w:t xml:space="preserve"> (1844) 1 J.O. &amp; Lat 34. In those cases, the court concluded that a long period of inaction raised the presumption that a trustee had accepted the office, the duties of which he had neglected to perform.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456</w:t>
      </w:r>
      <w:r>
        <w:rPr>
          <w:rFonts w:ascii="arial" w:eastAsia="arial" w:hAnsi="arial" w:cs="arial"/>
          <w:color w:val="000000"/>
          <w:sz w:val="20"/>
          <w:lang w:val="en-US" w:eastAsia="en-US" w:bidi="ar-SA"/>
        </w:rPr>
        <w:t xml:space="preserve">  A different conclusion was reached in </w:t>
      </w:r>
      <w:r>
        <w:rPr>
          <w:rFonts w:ascii="arial" w:eastAsia="arial" w:hAnsi="arial" w:cs="arial"/>
          <w:i/>
          <w:color w:val="000000"/>
          <w:sz w:val="20"/>
          <w:lang w:val="en-US" w:eastAsia="en-US" w:bidi="ar-SA"/>
        </w:rPr>
        <w:t>Re Clout and Frewer's Contract</w:t>
      </w:r>
      <w:r>
        <w:rPr>
          <w:rFonts w:ascii="arial" w:eastAsia="arial" w:hAnsi="arial" w:cs="arial"/>
          <w:color w:val="000000"/>
          <w:sz w:val="20"/>
          <w:lang w:val="en-US" w:eastAsia="en-US" w:bidi="ar-SA"/>
        </w:rPr>
        <w:t>, [1924] 2 Ch. 230. In that decision, the court considered the significance of 30 years of inaction by a trustee who had never formally renounced or disclaimed his office. The court concluded the failure over 30 years to act was sufficient evidence that the trustee had disclaimed.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 Sharman</w:t>
      </w:r>
      <w:r>
        <w:rPr>
          <w:rFonts w:ascii="arial" w:eastAsia="arial" w:hAnsi="arial" w:cs="arial"/>
          <w:color w:val="000000"/>
          <w:sz w:val="20"/>
          <w:lang w:val="en-US" w:eastAsia="en-US" w:bidi="ar-SA"/>
        </w:rPr>
        <w:t>, [1942] 2 All E.R. 74, [1942] Ch. 311, the court set out the competing viewpoints as to whether acceptance is presumed by long acquiescence. It did not, however, decide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458</w:t>
      </w:r>
      <w:r>
        <w:rPr>
          <w:rFonts w:ascii="arial" w:eastAsia="arial" w:hAnsi="arial" w:cs="arial"/>
          <w:color w:val="000000"/>
          <w:sz w:val="20"/>
          <w:lang w:val="en-US" w:eastAsia="en-US" w:bidi="ar-SA"/>
        </w:rPr>
        <w:t xml:space="preserve">  There are no Canadian authorities on the significance of a long period of inactivity. </w:t>
      </w:r>
      <w:r>
        <w:rPr>
          <w:rFonts w:ascii="arial" w:eastAsia="arial" w:hAnsi="arial" w:cs="arial"/>
          <w:i/>
          <w:color w:val="000000"/>
          <w:sz w:val="20"/>
          <w:lang w:val="en-US" w:eastAsia="en-US" w:bidi="ar-SA"/>
        </w:rPr>
        <w:t>Waters</w:t>
      </w:r>
      <w:r>
        <w:rPr>
          <w:rFonts w:ascii="arial" w:eastAsia="arial" w:hAnsi="arial" w:cs="arial"/>
          <w:color w:val="000000"/>
          <w:sz w:val="20"/>
          <w:lang w:val="en-US" w:eastAsia="en-US" w:bidi="ar-SA"/>
        </w:rPr>
        <w:t xml:space="preserve"> at p. 833 suggests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hard to believe that one who has sat aside while the other trustee or trustees carried out the trust duties could later assert his right to act when he finds himself in disagreement with what the other trustees have done, or he decides that he would now like to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459</w:t>
      </w:r>
      <w:r>
        <w:rPr>
          <w:rFonts w:ascii="arial" w:eastAsia="arial" w:hAnsi="arial" w:cs="arial"/>
          <w:color w:val="000000"/>
          <w:sz w:val="20"/>
          <w:lang w:val="en-US" w:eastAsia="en-US" w:bidi="ar-SA"/>
        </w:rPr>
        <w:t xml:space="preserve">  The defendants cite </w:t>
      </w:r>
      <w:r>
        <w:rPr>
          <w:rFonts w:ascii="arial" w:eastAsia="arial" w:hAnsi="arial" w:cs="arial"/>
          <w:i/>
          <w:color w:val="000000"/>
          <w:sz w:val="20"/>
          <w:lang w:val="en-US" w:eastAsia="en-US" w:bidi="ar-SA"/>
        </w:rPr>
        <w:t>Waters</w:t>
      </w:r>
      <w:r>
        <w:rPr>
          <w:rFonts w:ascii="arial" w:eastAsia="arial" w:hAnsi="arial" w:cs="arial"/>
          <w:color w:val="000000"/>
          <w:sz w:val="20"/>
          <w:lang w:val="en-US" w:eastAsia="en-US" w:bidi="ar-SA"/>
        </w:rPr>
        <w:t xml:space="preserve"> for the proposition that Harold's failure to assert his right to become co-trustee implies renunciation of his appointment. Their submission is based in part on their submission that Harold had, at a minimum, constructive knowledge of his right to become co-trustee upon the resignation of Audrey. They submit that Harold knew of his potential right and his inactivity was a deliberate choice. Alternatively, they submit that if Howard failed to recognize from his review of the Eugene Resignation Documents, which documents in the defendants' submission made it clear that Harold was entitled to act as co-trustee, his failure to act cannot be to the detriment of Howard.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460</w:t>
      </w:r>
      <w:r>
        <w:rPr>
          <w:rFonts w:ascii="arial" w:eastAsia="arial" w:hAnsi="arial" w:cs="arial"/>
          <w:color w:val="000000"/>
          <w:sz w:val="20"/>
          <w:lang w:val="en-US" w:eastAsia="en-US" w:bidi="ar-SA"/>
        </w:rPr>
        <w:t>  The difficulty with the defendants' submission is my finding that Harold did not know that he was entitled to act as trustee. In these circumstances, the law concerning acquiescence is of no import. If Harold did not know he could act, it cannot be said he became a trustee by virtue of his silence or acquiescence in taking up the post. Lack of knowledge must displace any presumption of acceptance.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461</w:t>
      </w:r>
      <w:r>
        <w:rPr>
          <w:rFonts w:ascii="arial" w:eastAsia="arial" w:hAnsi="arial" w:cs="arial"/>
          <w:color w:val="000000"/>
          <w:sz w:val="20"/>
          <w:lang w:val="en-US" w:eastAsia="en-US" w:bidi="ar-SA"/>
        </w:rPr>
        <w:t>  Accordingly, Harold never accepted the appointment and did not become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462</w:t>
      </w:r>
      <w:r>
        <w:rPr>
          <w:rFonts w:ascii="arial" w:eastAsia="arial" w:hAnsi="arial" w:cs="arial"/>
          <w:color w:val="000000"/>
          <w:sz w:val="20"/>
          <w:lang w:val="en-US" w:eastAsia="en-US" w:bidi="ar-SA"/>
        </w:rPr>
        <w:t xml:space="preserve">  That Harold did not ever accept his office, however, does not mean that Howard could act with impunity. As trustee, Howard's responsibility was to familiarize himself with the terms of the trust, the nature of the property involved, the range of objects within the contemplation of the trust, the identity of the other trustees and other information pertinent to the management of the trust: Alistair Hudson, </w:t>
      </w:r>
      <w:r>
        <w:rPr>
          <w:rFonts w:ascii="arial" w:eastAsia="arial" w:hAnsi="arial" w:cs="arial"/>
          <w:i/>
          <w:color w:val="000000"/>
          <w:sz w:val="20"/>
          <w:lang w:val="en-US" w:eastAsia="en-US" w:bidi="ar-SA"/>
        </w:rPr>
        <w:t>Equity and Trusts</w:t>
      </w:r>
      <w:r>
        <w:rPr>
          <w:rFonts w:ascii="arial" w:eastAsia="arial" w:hAnsi="arial" w:cs="arial"/>
          <w:color w:val="000000"/>
          <w:sz w:val="20"/>
          <w:lang w:val="en-US" w:eastAsia="en-US" w:bidi="ar-SA"/>
        </w:rPr>
        <w:t>, 6th ed. (London: Routledge Cavendish, 2010) at 322.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463</w:t>
      </w:r>
      <w:r>
        <w:rPr>
          <w:rFonts w:ascii="arial" w:eastAsia="arial" w:hAnsi="arial" w:cs="arial"/>
          <w:color w:val="000000"/>
          <w:sz w:val="20"/>
          <w:lang w:val="en-US" w:eastAsia="en-US" w:bidi="ar-SA"/>
        </w:rPr>
        <w:t>  Pursuant to the terms of the trust, Harold was a presumptive trustee on Audrey's resignation. Howard could not ignore Harold's existence or his right to become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464</w:t>
      </w:r>
      <w:r>
        <w:rPr>
          <w:rFonts w:ascii="arial" w:eastAsia="arial" w:hAnsi="arial" w:cs="arial"/>
          <w:color w:val="000000"/>
          <w:sz w:val="20"/>
          <w:lang w:val="en-US" w:eastAsia="en-US" w:bidi="ar-SA"/>
        </w:rPr>
        <w:t xml:space="preserve">  The BNT Trust Agreement, as amended by the Revocation Letters, called for two trustees. A trustee has a duty to keep a co-trustee as fully informed as possible: </w:t>
      </w:r>
      <w:r>
        <w:rPr>
          <w:rFonts w:ascii="arial" w:eastAsia="arial" w:hAnsi="arial" w:cs="arial"/>
          <w:i/>
          <w:color w:val="000000"/>
          <w:sz w:val="20"/>
          <w:lang w:val="en-US" w:eastAsia="en-US" w:bidi="ar-SA"/>
        </w:rPr>
        <w:t>Fales v. Wohlleben Estate</w:t>
      </w:r>
      <w:r>
        <w:rPr>
          <w:rFonts w:ascii="arial" w:eastAsia="arial" w:hAnsi="arial" w:cs="arial"/>
          <w:color w:val="000000"/>
          <w:sz w:val="20"/>
          <w:lang w:val="en-US" w:eastAsia="en-US" w:bidi="ar-SA"/>
        </w:rPr>
        <w:t xml:space="preserve">, </w:t>
      </w:r>
      <w:hyperlink r:id="rId395" w:history="1">
        <w:r>
          <w:rPr>
            <w:rFonts w:ascii="arial" w:eastAsia="arial" w:hAnsi="arial" w:cs="arial"/>
            <w:i/>
            <w:color w:val="0077CC"/>
            <w:sz w:val="20"/>
            <w:u w:val="single"/>
            <w:shd w:val="clear" w:color="auto" w:fill="FFFFFF"/>
            <w:lang w:val="en-US" w:eastAsia="en-US" w:bidi="ar-SA"/>
          </w:rPr>
          <w:t>[1977] 2 S.C.R. 302</w:t>
        </w:r>
      </w:hyperlink>
      <w:r>
        <w:rPr>
          <w:rFonts w:ascii="arial" w:eastAsia="arial" w:hAnsi="arial" w:cs="arial"/>
          <w:color w:val="000000"/>
          <w:sz w:val="20"/>
          <w:lang w:val="en-US" w:eastAsia="en-US" w:bidi="ar-SA"/>
        </w:rPr>
        <w:t xml:space="preserve"> at 317. That duty extends to a named trustee who has not yet declared his intention to take up his appointment. One trustee cannot act unilaterally until he determines whether the other trustee intends to takes up his appointment. Howard could not simply carry on as if Harold did not exist. Until he determined whether or not Harold intended to accept his appointment, Howard had a duty to involve Harold in the management of the trust. It was for Harold to decide whether he would accept his appointment. Howard could not remove that choice from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465</w:t>
      </w:r>
      <w:r>
        <w:rPr>
          <w:rFonts w:ascii="arial" w:eastAsia="arial" w:hAnsi="arial" w:cs="arial"/>
          <w:color w:val="000000"/>
          <w:sz w:val="20"/>
          <w:lang w:val="en-US" w:eastAsia="en-US" w:bidi="ar-SA"/>
        </w:rPr>
        <w:t>  Howard knew that Harold had not disclaimed his right to be trustee. Although Harold had not accepted the position, Howard could not assume that he would not. That is particularly so in the circumstances of this matter where Howard colluded with Eugene to keep the relevant information from Harold and the other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466</w:t>
      </w:r>
      <w:r>
        <w:rPr>
          <w:rFonts w:ascii="arial" w:eastAsia="arial" w:hAnsi="arial" w:cs="arial"/>
          <w:color w:val="000000"/>
          <w:sz w:val="20"/>
          <w:lang w:val="en-US" w:eastAsia="en-US" w:bidi="ar-SA"/>
        </w:rPr>
        <w:t>  I find Howard's duty to the trust was to first determine whether or not Harold was going to accept his appointment. Not only did Howard breach that duty, he participated in a course of conduct to keep Harold ignorant of his potential appointment.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467</w:t>
      </w:r>
      <w:r>
        <w:rPr>
          <w:rFonts w:ascii="arial" w:eastAsia="arial" w:hAnsi="arial" w:cs="arial"/>
          <w:color w:val="000000"/>
          <w:sz w:val="20"/>
          <w:lang w:val="en-US" w:eastAsia="en-US" w:bidi="ar-SA"/>
        </w:rPr>
        <w:t>  In these circumstances Howard did not have the right to act as sole trustee. He did not have the right to enter into the BNO Share Transaction and in doing so he committed a breach of trust.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iv. Reasonableness of the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468</w:t>
      </w:r>
      <w:r>
        <w:rPr>
          <w:rFonts w:ascii="arial" w:eastAsia="arial" w:hAnsi="arial" w:cs="arial"/>
          <w:color w:val="000000"/>
          <w:sz w:val="20"/>
          <w:lang w:val="en-US" w:eastAsia="en-US" w:bidi="ar-SA"/>
        </w:rPr>
        <w:t>  Having found that the sale was in breach of trust, it is not strictly necessary to determine whether the decision to sell the Big Nine shares was otherwise reasonable. That question may, however, be of importance with regard to whether or not Howard should be excused from his breach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469</w:t>
      </w:r>
      <w:r>
        <w:rPr>
          <w:rFonts w:ascii="arial" w:eastAsia="arial" w:hAnsi="arial" w:cs="arial"/>
          <w:color w:val="000000"/>
          <w:sz w:val="20"/>
          <w:lang w:val="en-US" w:eastAsia="en-US" w:bidi="ar-SA"/>
        </w:rPr>
        <w:t>  The reasonableness of the sale has two components. The first is the decision to sell the Big Nine shares. The second encompasses the manner in which that sale was carried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470</w:t>
      </w:r>
      <w:r>
        <w:rPr>
          <w:rFonts w:ascii="arial" w:eastAsia="arial" w:hAnsi="arial" w:cs="arial"/>
          <w:color w:val="000000"/>
          <w:sz w:val="20"/>
          <w:lang w:val="en-US" w:eastAsia="en-US" w:bidi="ar-SA"/>
        </w:rPr>
        <w:t>  Upon becoming trustee, Howard had to decide what to do with the Big Nine shares. His options included continuing to hold the shares and operate Big Nine, sell the BNT's interest in the shares, or distribute the shares to the beneficiaries and terminate the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471</w:t>
      </w:r>
      <w:r>
        <w:rPr>
          <w:rFonts w:ascii="arial" w:eastAsia="arial" w:hAnsi="arial" w:cs="arial"/>
          <w:color w:val="000000"/>
          <w:sz w:val="20"/>
          <w:lang w:val="en-US" w:eastAsia="en-US" w:bidi="ar-SA"/>
        </w:rPr>
        <w:t>  Howard denies that he had made any decision concerning the shares before becoming trustee. I accept Howard's evidence that he gave consideration to the various courses of action without any pre-judgment.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472</w:t>
      </w:r>
      <w:r>
        <w:rPr>
          <w:rFonts w:ascii="arial" w:eastAsia="arial" w:hAnsi="arial" w:cs="arial"/>
          <w:color w:val="000000"/>
          <w:sz w:val="20"/>
          <w:lang w:val="en-US" w:eastAsia="en-US" w:bidi="ar-SA"/>
        </w:rPr>
        <w:t>  Howard made appropriate inquiries in order to better understand the operations of Big Nine. He turned his mind actively and critically to the affairs of Big Nine. He knew about the general nature of Big Nine's business and that Barry had been operating Big Nine successfully since 1986. He was concerned, however, that the success or failure of Big Nine was so dependent on Barry. He knew of the disaster that had befallen Big Nine on Gary's death and worried that a similar debacle might follow if something happened to Barry.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473</w:t>
      </w:r>
      <w:r>
        <w:rPr>
          <w:rFonts w:ascii="arial" w:eastAsia="arial" w:hAnsi="arial" w:cs="arial"/>
          <w:color w:val="000000"/>
          <w:sz w:val="20"/>
          <w:lang w:val="en-US" w:eastAsia="en-US" w:bidi="ar-SA"/>
        </w:rPr>
        <w:t>  In the spring of 2003, Howard learned that Barry was somewhat discontent with his position as a minority shareholder. Barry had been given a free hand to run Big Nine for almost 20 years. Now Howard and Tommy, two successful and independent businessmen, were looking over his shoulder, and it caused Barry some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474</w:t>
      </w:r>
      <w:r>
        <w:rPr>
          <w:rFonts w:ascii="arial" w:eastAsia="arial" w:hAnsi="arial" w:cs="arial"/>
          <w:color w:val="000000"/>
          <w:sz w:val="20"/>
          <w:lang w:val="en-US" w:eastAsia="en-US" w:bidi="ar-SA"/>
        </w:rPr>
        <w:t>  Barry began to explore other job opportunities. He made it clear that he would not necessarily stay at Big Nine indefinitely. In the April Letter, Barry recommended that Big Nine be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475</w:t>
      </w:r>
      <w:r>
        <w:rPr>
          <w:rFonts w:ascii="arial" w:eastAsia="arial" w:hAnsi="arial" w:cs="arial"/>
          <w:color w:val="000000"/>
          <w:sz w:val="20"/>
          <w:lang w:val="en-US" w:eastAsia="en-US" w:bidi="ar-SA"/>
        </w:rPr>
        <w:t>  The question of a sale was briefly discussed when Howard, Eugene and Tommy met on March 10, 2003. During that meeting, Tommy advised he was planning a trip to Big Nine and offered to report to Howard on his findings when he returned. Howard recognized Tommy's business acumen and believed his views would be most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476</w:t>
      </w:r>
      <w:r>
        <w:rPr>
          <w:rFonts w:ascii="arial" w:eastAsia="arial" w:hAnsi="arial" w:cs="arial"/>
          <w:color w:val="000000"/>
          <w:sz w:val="20"/>
          <w:lang w:val="en-US" w:eastAsia="en-US" w:bidi="ar-SA"/>
        </w:rPr>
        <w:t xml:space="preserve">  At the March meeting, there was discussion about distributing the shares in </w:t>
      </w:r>
      <w:r>
        <w:rPr>
          <w:rFonts w:ascii="arial" w:eastAsia="arial" w:hAnsi="arial" w:cs="arial"/>
          <w:i/>
          <w:color w:val="000000"/>
          <w:sz w:val="20"/>
          <w:lang w:val="en-US" w:eastAsia="en-US" w:bidi="ar-SA"/>
        </w:rPr>
        <w:t>specie</w:t>
      </w:r>
      <w:r>
        <w:rPr>
          <w:rFonts w:ascii="arial" w:eastAsia="arial" w:hAnsi="arial" w:cs="arial"/>
          <w:color w:val="000000"/>
          <w:sz w:val="20"/>
          <w:lang w:val="en-US" w:eastAsia="en-US" w:bidi="ar-SA"/>
        </w:rPr>
        <w:t xml:space="preserve"> to the BNT beneficiaries. Howard was not in favour of that course of action because it would effectively result in multiple minority interests, which would further complicate decision making and might adversely affect Big Nine as a going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477</w:t>
      </w:r>
      <w:r>
        <w:rPr>
          <w:rFonts w:ascii="arial" w:eastAsia="arial" w:hAnsi="arial" w:cs="arial"/>
          <w:color w:val="000000"/>
          <w:sz w:val="20"/>
          <w:lang w:val="en-US" w:eastAsia="en-US" w:bidi="ar-SA"/>
        </w:rPr>
        <w:t>  Tommy visited Big Nine in June 2003. It was his first visit in 13 years. He toured the property and spent time with Barry discussing Big Nine's operations. He learned from Barry that Big Nine was marginally profitable. Its significant investment in eco-tourism had yet to produce any revenue and the outlook for it to do so in the future was unclear. Big Nine was operating near capacity, but was realizing little to no return on capital. The future promised an increasingly challenging regulatory environment. He did not think Barry a good promoter of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478</w:t>
      </w:r>
      <w:r>
        <w:rPr>
          <w:rFonts w:ascii="arial" w:eastAsia="arial" w:hAnsi="arial" w:cs="arial"/>
          <w:color w:val="000000"/>
          <w:sz w:val="20"/>
          <w:lang w:val="en-US" w:eastAsia="en-US" w:bidi="ar-SA"/>
        </w:rPr>
        <w:t>  In his discussions with Barry, Tommy learned of Barry's discontent as a minority shareholder. He wanted to own more or all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479</w:t>
      </w:r>
      <w:r>
        <w:rPr>
          <w:rFonts w:ascii="arial" w:eastAsia="arial" w:hAnsi="arial" w:cs="arial"/>
          <w:color w:val="000000"/>
          <w:sz w:val="20"/>
          <w:lang w:val="en-US" w:eastAsia="en-US" w:bidi="ar-SA"/>
        </w:rPr>
        <w:t>  At the August 15, 2003 meeting, Tommy reported to Howard and Eugene about his visit to Big Nine. During the meeting, they discussed a possible sale of Big Nine. I accept Tommy's evidence that during the meeting he discussed various ways of valuing a business, including cash flow, replacement cost and use of comparables. Tommy suggested that based on a multiple of cash flow basis Big Nine was worth more than $1 million and less than $2 million. Of the three individuals, Tommy was by far the most experienced in the buying and selling of businesses. He had sold over 60 businesses over the course of his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480</w:t>
      </w:r>
      <w:r>
        <w:rPr>
          <w:rFonts w:ascii="arial" w:eastAsia="arial" w:hAnsi="arial" w:cs="arial"/>
          <w:color w:val="000000"/>
          <w:sz w:val="20"/>
          <w:lang w:val="en-US" w:eastAsia="en-US" w:bidi="ar-SA"/>
        </w:rPr>
        <w:t>  At the meeting the parties discussed whether Barry would be prepared to buy Big Nine's shares. They had doubts whether Barry would be able to finance such a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481</w:t>
      </w:r>
      <w:r>
        <w:rPr>
          <w:rFonts w:ascii="arial" w:eastAsia="arial" w:hAnsi="arial" w:cs="arial"/>
          <w:color w:val="000000"/>
          <w:sz w:val="20"/>
          <w:lang w:val="en-US" w:eastAsia="en-US" w:bidi="ar-SA"/>
        </w:rPr>
        <w:t>  Prior to the August 15, 2003 meeting, Howard had spoken to an appraiser, Mr. Pomeroy. He hoped to retain Pomeroy to value the BNT's interest in Big Nine. Pomeroy advised him that guide outfitting businesses were difficult to appraise. He advised him the business could be valued based on the costs to replace assets or multiple of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482</w:t>
      </w:r>
      <w:r>
        <w:rPr>
          <w:rFonts w:ascii="arial" w:eastAsia="arial" w:hAnsi="arial" w:cs="arial"/>
          <w:color w:val="000000"/>
          <w:sz w:val="20"/>
          <w:lang w:val="en-US" w:eastAsia="en-US" w:bidi="ar-SA"/>
        </w:rPr>
        <w:t>  There is conflict in the evidence whether Howard told Tommy and Eugene about his communication with Pomeroy at the August meeting. Howard testified he did, while Tommy says there was no mention of any appraisals at that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483</w:t>
      </w:r>
      <w:r>
        <w:rPr>
          <w:rFonts w:ascii="arial" w:eastAsia="arial" w:hAnsi="arial" w:cs="arial"/>
          <w:color w:val="000000"/>
          <w:sz w:val="20"/>
          <w:lang w:val="en-US" w:eastAsia="en-US" w:bidi="ar-SA"/>
        </w:rPr>
        <w:t>  I accept Howard's evidence on this point. At the August meeting, the parties were actively discussing a possible sale. Part of the discussion concerned the value of the business. Howard's discussion with Pomeroy had taken place days prior to the meeting and was clearly material to the conversation. Pomeroy's comments on a cash flow value were similar to those Tommy expressed at the meeting. It is not probable that Howard would not have disclosed at the meeting what Pomeroy told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484</w:t>
      </w:r>
      <w:r>
        <w:rPr>
          <w:rFonts w:ascii="arial" w:eastAsia="arial" w:hAnsi="arial" w:cs="arial"/>
          <w:color w:val="000000"/>
          <w:sz w:val="20"/>
          <w:lang w:val="en-US" w:eastAsia="en-US" w:bidi="ar-SA"/>
        </w:rPr>
        <w:t>  By the time of the August meeting, Tommy believed that selling the BNT's interest in Big Nine was the right thing to do. Howard was also moving in the direction of selling the shares. Given the circumstances that then existed, I find that Howard's decision to move forward with a sale was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485</w:t>
      </w:r>
      <w:r>
        <w:rPr>
          <w:rFonts w:ascii="arial" w:eastAsia="arial" w:hAnsi="arial" w:cs="arial"/>
          <w:color w:val="000000"/>
          <w:sz w:val="20"/>
          <w:lang w:val="en-US" w:eastAsia="en-US" w:bidi="ar-SA"/>
        </w:rPr>
        <w:t>  The immediate difficulty was that there were no potential buyers. From his discussion with Pomeroy, Howard knew that guide outfitting businesses were difficult to appraise. Howard had also spoken to Barry concerning the possibility of an appraisal and asked him to put out feelers to see whether there was any interest in purchasing Big Nine.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486</w:t>
      </w:r>
      <w:r>
        <w:rPr>
          <w:rFonts w:ascii="arial" w:eastAsia="arial" w:hAnsi="arial" w:cs="arial"/>
          <w:color w:val="000000"/>
          <w:sz w:val="20"/>
          <w:lang w:val="en-US" w:eastAsia="en-US" w:bidi="ar-SA"/>
        </w:rPr>
        <w:t>  On November 1, 2003, Barry put forward an offer to purchase the Big Nine shares. Barry was the most likely purchaser. Guide outfitting businesses do not change hands regularly. To the best of Howard's knowledge, no other purchasers were available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487</w:t>
      </w:r>
      <w:r>
        <w:rPr>
          <w:rFonts w:ascii="arial" w:eastAsia="arial" w:hAnsi="arial" w:cs="arial"/>
          <w:color w:val="000000"/>
          <w:sz w:val="20"/>
          <w:lang w:val="en-US" w:eastAsia="en-US" w:bidi="ar-SA"/>
        </w:rPr>
        <w:t>  Barry's initial offer contemplated a purchase price of $888,899, based on a total enterprise value of $1.6 million prorated, without discount, to reflect the BNT's 55.55% interest in Big Nine. Terms of the proposed offer were a 10% down payment with 90% of the purchase price to be financed by the vendor over eight years at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488</w:t>
      </w:r>
      <w:r>
        <w:rPr>
          <w:rFonts w:ascii="arial" w:eastAsia="arial" w:hAnsi="arial" w:cs="arial"/>
          <w:color w:val="000000"/>
          <w:sz w:val="20"/>
          <w:lang w:val="en-US" w:eastAsia="en-US" w:bidi="ar-SA"/>
        </w:rPr>
        <w:t>  Howard, Tommy and Eugene met on December 2, 2003 to discuss the offer. There is some conflict in the evidence as to what occurred at the meeting. I generally accept Howard's evidence concerning that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489</w:t>
      </w:r>
      <w:r>
        <w:rPr>
          <w:rFonts w:ascii="arial" w:eastAsia="arial" w:hAnsi="arial" w:cs="arial"/>
          <w:color w:val="000000"/>
          <w:sz w:val="20"/>
          <w:lang w:val="en-US" w:eastAsia="en-US" w:bidi="ar-SA"/>
        </w:rPr>
        <w:t>  At the meeting, Howard, Tommy and Eugene agreed to reject the proposal contained in Barry's November 1, 2003 letter and make a counter offer. The counter offer would be for $1.6 million in cash or $2 million with vendor financing. The general expectation at the meeting was that Barry would not be able to pay cash.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490</w:t>
      </w:r>
      <w:r>
        <w:rPr>
          <w:rFonts w:ascii="arial" w:eastAsia="arial" w:hAnsi="arial" w:cs="arial"/>
          <w:color w:val="000000"/>
          <w:sz w:val="20"/>
          <w:lang w:val="en-US" w:eastAsia="en-US" w:bidi="ar-SA"/>
        </w:rPr>
        <w:t>  Tommy's memo of December 3, 2003, one day after the meeting, confirms that the parties intended to make a counter offer. I do not accept Tommy's evidence that the parties did not agree on December 2 to make such an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491</w:t>
      </w:r>
      <w:r>
        <w:rPr>
          <w:rFonts w:ascii="arial" w:eastAsia="arial" w:hAnsi="arial" w:cs="arial"/>
          <w:color w:val="000000"/>
          <w:sz w:val="20"/>
          <w:lang w:val="en-US" w:eastAsia="en-US" w:bidi="ar-SA"/>
        </w:rPr>
        <w:t>  In his memorandum, Tommy states that he is fully supportive of the first alternative - that being the cash sale at $1.6 million. While there may be some question as to whether all three gentlemen had agreed at their meeting as to the terms of a vendor financing offer, I find that they did agree on the cash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492</w:t>
      </w:r>
      <w:r>
        <w:rPr>
          <w:rFonts w:ascii="arial" w:eastAsia="arial" w:hAnsi="arial" w:cs="arial"/>
          <w:color w:val="000000"/>
          <w:sz w:val="20"/>
          <w:lang w:val="en-US" w:eastAsia="en-US" w:bidi="ar-SA"/>
        </w:rPr>
        <w:t>  Barry accepted the cash offer. If Tommy had not been agreeable to those terms, one would expect that he would have immediately made that position clear. He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493</w:t>
      </w:r>
      <w:r>
        <w:rPr>
          <w:rFonts w:ascii="arial" w:eastAsia="arial" w:hAnsi="arial" w:cs="arial"/>
          <w:color w:val="000000"/>
          <w:sz w:val="20"/>
          <w:lang w:val="en-US" w:eastAsia="en-US" w:bidi="ar-SA"/>
        </w:rPr>
        <w:t xml:space="preserve">  In his letters of January 9, 2004 to Harold, Tommy does not suggest he opposed the sale or that it was at an improvident price. He wrote "Barry made an offer and </w:t>
      </w:r>
      <w:r>
        <w:rPr>
          <w:rFonts w:ascii="arial" w:eastAsia="arial" w:hAnsi="arial" w:cs="arial"/>
          <w:color w:val="000000"/>
          <w:sz w:val="20"/>
          <w:u w:val="single"/>
          <w:lang w:val="en-US" w:eastAsia="en-US" w:bidi="ar-SA"/>
        </w:rPr>
        <w:t>we accepted</w:t>
      </w:r>
      <w:r>
        <w:rPr>
          <w:rFonts w:ascii="arial" w:eastAsia="arial" w:hAnsi="arial" w:cs="arial"/>
          <w:color w:val="000000"/>
          <w:sz w:val="20"/>
          <w:lang w:val="en-US" w:eastAsia="en-US" w:bidi="ar-SA"/>
        </w:rPr>
        <w:t>" (my emphasis). The letter suggests the business should be valued on a cash flow basis. Nowhere does Tommy suggest that the price is not 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494</w:t>
      </w:r>
      <w:r>
        <w:rPr>
          <w:rFonts w:ascii="arial" w:eastAsia="arial" w:hAnsi="arial" w:cs="arial"/>
          <w:color w:val="000000"/>
          <w:sz w:val="20"/>
          <w:lang w:val="en-US" w:eastAsia="en-US" w:bidi="ar-SA"/>
        </w:rPr>
        <w:t>  I find that Howard acted reasonably in deciding to sell the Big Nine shares. I find that Tommy agreed to the sale price. At this time, however, Tommy believed that Howard had the authority to sell. Tommy's agreement to the terms of the sale does not protect Howard from the consequences of his breach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495</w:t>
      </w:r>
      <w:r>
        <w:rPr>
          <w:rFonts w:ascii="arial" w:eastAsia="arial" w:hAnsi="arial" w:cs="arial"/>
          <w:color w:val="000000"/>
          <w:sz w:val="20"/>
          <w:lang w:val="en-US" w:eastAsia="en-US" w:bidi="ar-SA"/>
        </w:rPr>
        <w:t xml:space="preserve">  While Howard's decision to sell the shares may have been reasonable, the manner of sale was not. A trustee has a duty to determine the value of an asset before selling it: </w:t>
      </w:r>
      <w:r>
        <w:rPr>
          <w:rFonts w:ascii="arial" w:eastAsia="arial" w:hAnsi="arial" w:cs="arial"/>
          <w:i/>
          <w:color w:val="000000"/>
          <w:sz w:val="20"/>
          <w:lang w:val="en-US" w:eastAsia="en-US" w:bidi="ar-SA"/>
        </w:rPr>
        <w:t>Underhill</w:t>
      </w:r>
      <w:r>
        <w:rPr>
          <w:rFonts w:ascii="arial" w:eastAsia="arial" w:hAnsi="arial" w:cs="arial"/>
          <w:color w:val="000000"/>
          <w:sz w:val="20"/>
          <w:lang w:val="en-US" w:eastAsia="en-US" w:bidi="ar-SA"/>
        </w:rPr>
        <w:t xml:space="preserve"> at 715.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496</w:t>
      </w:r>
      <w:r>
        <w:rPr>
          <w:rFonts w:ascii="arial" w:eastAsia="arial" w:hAnsi="arial" w:cs="arial"/>
          <w:color w:val="000000"/>
          <w:sz w:val="20"/>
          <w:lang w:val="en-US" w:eastAsia="en-US" w:bidi="ar-SA"/>
        </w:rPr>
        <w:t>  Having decided to sell the shares, Howard made minimal efforts to determine the value of Big Nine before agreeing to sell the shares to Barry. He did speak to Mr. Pomeroy, but ignored his suggestion that the costs of replacing the assets was a basis to determine value. He gave no weight to Barry's comments in the letter that Big Nine's assets were valued in excess of $2.7 million or that Big Nine's infrastructure and support were "far better than any in our industry" or that Big Nine was the "best in the business". He contacted no realtors or others who might have experience in selling such properties to seek advice as to how to best sell the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497</w:t>
      </w:r>
      <w:r>
        <w:rPr>
          <w:rFonts w:ascii="arial" w:eastAsia="arial" w:hAnsi="arial" w:cs="arial"/>
          <w:color w:val="000000"/>
          <w:sz w:val="20"/>
          <w:lang w:val="en-US" w:eastAsia="en-US" w:bidi="ar-SA"/>
        </w:rPr>
        <w:t>  Opinion evidence at trial indicates that to maximize value, a property like Big Nine needs exposure in the market place. No attempt was made to expose Big Nine to the market place. Nor were any enquiries made as to the price at which similar businesses had sold. As will be developed when I consider the evidence on valuation, the closest comparable to Big Nine was Muskwa Prophet. That business had sold in 1999 for $2.7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 Knowingly Assisting in Breach of Trust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498</w:t>
      </w:r>
      <w:r>
        <w:rPr>
          <w:rFonts w:ascii="arial" w:eastAsia="arial" w:hAnsi="arial" w:cs="arial"/>
          <w:color w:val="000000"/>
          <w:sz w:val="20"/>
          <w:lang w:val="en-US" w:eastAsia="en-US" w:bidi="ar-SA"/>
        </w:rPr>
        <w:t xml:space="preserve">  I have found that the sale of the Big Nine shares was a breach of trust. The plaintiffs submit that Eugene and Mason both knowingly assisted in that breach. The leading authority is </w:t>
      </w:r>
      <w:r>
        <w:rPr>
          <w:rFonts w:ascii="arial" w:eastAsia="arial" w:hAnsi="arial" w:cs="arial"/>
          <w:i/>
          <w:color w:val="000000"/>
          <w:sz w:val="20"/>
          <w:lang w:val="en-US" w:eastAsia="en-US" w:bidi="ar-SA"/>
        </w:rPr>
        <w:t>Air Canada v. M &amp; L Travel Ltd.</w:t>
      </w:r>
      <w:r>
        <w:rPr>
          <w:rFonts w:ascii="arial" w:eastAsia="arial" w:hAnsi="arial" w:cs="arial"/>
          <w:color w:val="000000"/>
          <w:sz w:val="20"/>
          <w:lang w:val="en-US" w:eastAsia="en-US" w:bidi="ar-SA"/>
        </w:rPr>
        <w:t xml:space="preserve">, </w:t>
      </w:r>
      <w:hyperlink r:id="rId396" w:history="1">
        <w:r>
          <w:rPr>
            <w:rFonts w:ascii="arial" w:eastAsia="arial" w:hAnsi="arial" w:cs="arial"/>
            <w:i/>
            <w:color w:val="0077CC"/>
            <w:sz w:val="20"/>
            <w:u w:val="single"/>
            <w:shd w:val="clear" w:color="auto" w:fill="FFFFFF"/>
            <w:lang w:val="en-US" w:eastAsia="en-US" w:bidi="ar-SA"/>
          </w:rPr>
          <w:t>[1993] 3 S.C.R. 787</w:t>
        </w:r>
      </w:hyperlink>
      <w:r>
        <w:rPr>
          <w:rFonts w:ascii="arial" w:eastAsia="arial" w:hAnsi="arial" w:cs="arial"/>
          <w:color w:val="000000"/>
          <w:sz w:val="20"/>
          <w:lang w:val="en-US" w:eastAsia="en-US" w:bidi="ar-SA"/>
        </w:rPr>
        <w:t xml:space="preserve">. Pursuant to </w:t>
      </w:r>
      <w:r>
        <w:rPr>
          <w:rFonts w:ascii="arial" w:eastAsia="arial" w:hAnsi="arial" w:cs="arial"/>
          <w:i/>
          <w:color w:val="000000"/>
          <w:sz w:val="20"/>
          <w:lang w:val="en-US" w:eastAsia="en-US" w:bidi="ar-SA"/>
        </w:rPr>
        <w:t>Air Canada</w:t>
      </w:r>
      <w:r>
        <w:rPr>
          <w:rFonts w:ascii="arial" w:eastAsia="arial" w:hAnsi="arial" w:cs="arial"/>
          <w:color w:val="000000"/>
          <w:sz w:val="20"/>
          <w:lang w:val="en-US" w:eastAsia="en-US" w:bidi="ar-SA"/>
        </w:rPr>
        <w:t>, strangers to the trust can be personally liable for breach of trust if they knowingly participate in the breach. To be liable, the stranger must have actual knowledge that what is being done is a breach of trust. Recklessness or wilful blindness will also suffice. Constructive knowledge, however, is insufficient to give rise to personal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499</w:t>
      </w:r>
      <w:r>
        <w:rPr>
          <w:rFonts w:ascii="arial" w:eastAsia="arial" w:hAnsi="arial" w:cs="arial"/>
          <w:color w:val="000000"/>
          <w:sz w:val="20"/>
          <w:lang w:val="en-US" w:eastAsia="en-US" w:bidi="ar-SA"/>
        </w:rPr>
        <w:t xml:space="preserve">  To establish liability, it is necessary to determine that Howard's alleged breach of trust was fraudulent and dishonest. With regard to knowing assistance, the notion of fraud is meant in the extended sense of "the taking of a risk to the prejudice of another's rights, which risk is known to be one which there is no right to take": </w:t>
      </w:r>
      <w:r>
        <w:rPr>
          <w:rFonts w:ascii="arial" w:eastAsia="arial" w:hAnsi="arial" w:cs="arial"/>
          <w:i/>
          <w:color w:val="000000"/>
          <w:sz w:val="20"/>
          <w:lang w:val="en-US" w:eastAsia="en-US" w:bidi="ar-SA"/>
        </w:rPr>
        <w:t>Air Canada</w:t>
      </w:r>
      <w:r>
        <w:rPr>
          <w:rFonts w:ascii="arial" w:eastAsia="arial" w:hAnsi="arial" w:cs="arial"/>
          <w:color w:val="000000"/>
          <w:sz w:val="20"/>
          <w:lang w:val="en-US" w:eastAsia="en-US" w:bidi="ar-SA"/>
        </w:rPr>
        <w:t xml:space="preserve"> at 826. Those words aptly described Howard's actions in entering into the BNO Share Transaction. He took a risk to the prejudice of the beneficiaries' rights, which risk he knew he had no right to 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500</w:t>
      </w:r>
      <w:r>
        <w:rPr>
          <w:rFonts w:ascii="arial" w:eastAsia="arial" w:hAnsi="arial" w:cs="arial"/>
          <w:color w:val="000000"/>
          <w:sz w:val="20"/>
          <w:lang w:val="en-US" w:eastAsia="en-US" w:bidi="ar-SA"/>
        </w:rPr>
        <w:t xml:space="preserve">  Liability for knowing assistance is an exception to the normal causation rule. In a claim for knowing assistance, it is not necessary to show a precise causal link between the assistance and the loss: </w:t>
      </w:r>
      <w:r>
        <w:rPr>
          <w:rFonts w:ascii="arial" w:eastAsia="arial" w:hAnsi="arial" w:cs="arial"/>
          <w:i/>
          <w:color w:val="000000"/>
          <w:sz w:val="20"/>
          <w:lang w:val="en-US" w:eastAsia="en-US" w:bidi="ar-SA"/>
        </w:rPr>
        <w:t>Casio Computer Ltd. v.</w:t>
      </w:r>
      <w:r>
        <w:rPr>
          <w:rFonts w:ascii="arial" w:eastAsia="arial" w:hAnsi="arial" w:cs="arial"/>
          <w:color w:val="000000"/>
          <w:sz w:val="20"/>
          <w:lang w:val="en-US" w:eastAsia="en-US" w:bidi="ar-SA"/>
        </w:rPr>
        <w:t xml:space="preserve"> Sayo, 2001 EWCA Civ. 661. The burden upon a plaintiff is discussed in </w:t>
      </w:r>
      <w:r>
        <w:rPr>
          <w:rFonts w:ascii="arial" w:eastAsia="arial" w:hAnsi="arial" w:cs="arial"/>
          <w:i/>
          <w:color w:val="000000"/>
          <w:sz w:val="20"/>
          <w:lang w:val="en-US" w:eastAsia="en-US" w:bidi="ar-SA"/>
        </w:rPr>
        <w:t>Underhill</w:t>
      </w:r>
      <w:r>
        <w:rPr>
          <w:rFonts w:ascii="arial" w:eastAsia="arial" w:hAnsi="arial" w:cs="arial"/>
          <w:color w:val="000000"/>
          <w:sz w:val="20"/>
          <w:lang w:val="en-US" w:eastAsia="en-US" w:bidi="ar-SA"/>
        </w:rPr>
        <w:t xml:space="preserve"> at p. 1177: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100.25 Hence a claimant must at least show that the defendant's actions have made the fiduciary's breach of duty easier than it would otherwise have been. But the causation requirement for dishonest assistance is no stronger than this, and it is no answer to a claim, for example, that the claimant's loss would have occurred anyway, because the wrongdoing fiduciary would have committed the breach even if the defendant had not assisted him.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100.26 The requirement that a defendant must have assisted the breach of duty reflects the foregoing principle that the defendant's action must have </w:t>
      </w:r>
      <w:r>
        <w:rPr>
          <w:rFonts w:ascii="arial" w:eastAsia="arial" w:hAnsi="arial" w:cs="arial"/>
          <w:i/>
          <w:color w:val="000000"/>
          <w:sz w:val="20"/>
          <w:lang w:val="en-US" w:eastAsia="en-US" w:bidi="ar-SA"/>
        </w:rPr>
        <w:t>some</w:t>
      </w:r>
      <w:r>
        <w:rPr>
          <w:rFonts w:ascii="arial" w:eastAsia="arial" w:hAnsi="arial" w:cs="arial"/>
          <w:color w:val="000000"/>
          <w:sz w:val="20"/>
          <w:lang w:val="en-US" w:eastAsia="en-US" w:bidi="ar-SA"/>
        </w:rPr>
        <w:t xml:space="preserve"> causative impact, in the sense that he cannot relevantly have assisted in a breach if his actions or omissions have either hampered the trustee or fiduciary, or have been of 'minimal importance' to him. There is no need for the claimant to show that the dishonest assistance 'inevitably [had] the consequence that a loss [was suffered ]', nor is it an answer to a claim that a dishonest assistant 'only participated in a part of a chain of events all of which led to [the breach], or to assert that the [breach] would probably have occurred without his assistance'... [Emphasis in original. Footnotes omitted].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 Eugene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501</w:t>
      </w:r>
      <w:r>
        <w:rPr>
          <w:rFonts w:ascii="arial" w:eastAsia="arial" w:hAnsi="arial" w:cs="arial"/>
          <w:color w:val="000000"/>
          <w:sz w:val="20"/>
          <w:lang w:val="en-US" w:eastAsia="en-US" w:bidi="ar-SA"/>
        </w:rPr>
        <w:t>  Eugene knew that Harold was entitled to act as trustee. From the outset he deliberately kept that information from the plaintiffs. He continued the deception right through to the sale, when he convinced Barry that he did not need a solicitor's opinion that Howard was authorized to sell the shares. Eugene had actual knowledge that Howard was acting in breach of trust. I find he knowingly assisted in the breach.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iii. Mason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502</w:t>
      </w:r>
      <w:r>
        <w:rPr>
          <w:rFonts w:ascii="arial" w:eastAsia="arial" w:hAnsi="arial" w:cs="arial"/>
          <w:color w:val="000000"/>
          <w:sz w:val="20"/>
          <w:lang w:val="en-US" w:eastAsia="en-US" w:bidi="ar-SA"/>
        </w:rPr>
        <w:t>  The claim against Mason is more nuanced. I am satisfied that she did not have actual knowledge of the breach of trust. Whether she was reckless or wilfully blind is a more difficult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503</w:t>
      </w:r>
      <w:r>
        <w:rPr>
          <w:rFonts w:ascii="arial" w:eastAsia="arial" w:hAnsi="arial" w:cs="arial"/>
          <w:color w:val="000000"/>
          <w:sz w:val="20"/>
          <w:lang w:val="en-US" w:eastAsia="en-US" w:bidi="ar-SA"/>
        </w:rPr>
        <w:t>  In 2002, Eugene had consulted her with regard to Audrey's successor. Eugene emphasized to her at that time that he did not want Harold to become a trustee. Mason knew that Eugene did not like, and did not trust, Harold.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504</w:t>
      </w:r>
      <w:r>
        <w:rPr>
          <w:rFonts w:ascii="arial" w:eastAsia="arial" w:hAnsi="arial" w:cs="arial"/>
          <w:color w:val="000000"/>
          <w:sz w:val="20"/>
          <w:lang w:val="en-US" w:eastAsia="en-US" w:bidi="ar-SA"/>
        </w:rPr>
        <w:t>  In 2002, Mason reviewed the trust documents and quite correctly concluded that Harold had the right to be co-trustee upon Audrey's resignation. She so advised Eugene.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505</w:t>
      </w:r>
      <w:r>
        <w:rPr>
          <w:rFonts w:ascii="arial" w:eastAsia="arial" w:hAnsi="arial" w:cs="arial"/>
          <w:color w:val="000000"/>
          <w:sz w:val="20"/>
          <w:lang w:val="en-US" w:eastAsia="en-US" w:bidi="ar-SA"/>
        </w:rPr>
        <w:t>  Mason then prepared documents to effect Audrey's resignation, Eugene's renunciation and Howard's appointment. Notably, she was not asked to prepare a renunciation for Harold. She understood that upon Audrey's resignation, Howard and Harold would become co-trustees.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506</w:t>
      </w:r>
      <w:r>
        <w:rPr>
          <w:rFonts w:ascii="arial" w:eastAsia="arial" w:hAnsi="arial" w:cs="arial"/>
          <w:color w:val="000000"/>
          <w:sz w:val="20"/>
          <w:lang w:val="en-US" w:eastAsia="en-US" w:bidi="ar-SA"/>
        </w:rPr>
        <w:t>  In January 2004, Eugene retained Mason to act for Howard in regard to the BNO Share Transaction. Eugene's email of January 5, 2004 contains a copy of her August 2, 2002 email in which she sets out Harold's right to be co-trustee. In his January 5, 2004 email, Eugene advises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issue of Harold being a co-trustee has not arisen to this point and Howard has conducted all affairs for the trust since September 30, 2002. We have had little or no contact with Harold (who is living at Crying Girl - Graham River) but Howard has attempted to keep Tommy Bronson and Lee Lewis informed.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507</w:t>
      </w:r>
      <w:r>
        <w:rPr>
          <w:rFonts w:ascii="arial" w:eastAsia="arial" w:hAnsi="arial" w:cs="arial"/>
          <w:color w:val="000000"/>
          <w:sz w:val="20"/>
          <w:lang w:val="en-US" w:eastAsia="en-US" w:bidi="ar-SA"/>
        </w:rPr>
        <w:t>  Almost immediately upon being retained Mason received an email from Long in which he enquired as to how Howard became trustee and whether the beneficiaries were prepared to provide a direction to the trustee to sell the shares. Not surprisingly, she could not immediately respond to this email without first reviewing her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508</w:t>
      </w:r>
      <w:r>
        <w:rPr>
          <w:rFonts w:ascii="arial" w:eastAsia="arial" w:hAnsi="arial" w:cs="arial"/>
          <w:color w:val="000000"/>
          <w:sz w:val="20"/>
          <w:lang w:val="en-US" w:eastAsia="en-US" w:bidi="ar-SA"/>
        </w:rPr>
        <w:t>  On January 7, 2004, Mason wrote a fairly detailed email to Long setting out the history of the trusteeship. Before writing the email she had clearly reviewed her file and the trust documents. Inexplicably, she told Long that Howard became trustee in September 2002 upon Harold and Eugene renouncing their appointments.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509</w:t>
      </w:r>
      <w:r>
        <w:rPr>
          <w:rFonts w:ascii="arial" w:eastAsia="arial" w:hAnsi="arial" w:cs="arial"/>
          <w:color w:val="000000"/>
          <w:sz w:val="20"/>
          <w:lang w:val="en-US" w:eastAsia="en-US" w:bidi="ar-SA"/>
        </w:rPr>
        <w:t>  This is clearly wrong. At the time she made this statement, Mason had no information that Harold had renounced his position. Indeed, Eugene's email of January 5, 2004 said quite the contrary. Further, Mason knew and expected in September 2002 when she forwarded the documents to Eugene that Harold would become co-trustee.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510</w:t>
      </w:r>
      <w:r>
        <w:rPr>
          <w:rFonts w:ascii="arial" w:eastAsia="arial" w:hAnsi="arial" w:cs="arial"/>
          <w:color w:val="000000"/>
          <w:sz w:val="20"/>
          <w:lang w:val="en-US" w:eastAsia="en-US" w:bidi="ar-SA"/>
        </w:rPr>
        <w:t>  Mason cannot now say why she wrote what she did. She suggests it was an initial response that she expected to revisit in the course of this transaction. She said that if she had been required at closing to give an opinion on Howard's ability to sell the shares, she would have made further inquiries to determine whether Harold knew he had the right to be co-trustee and whether he had done anything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511</w:t>
      </w:r>
      <w:r>
        <w:rPr>
          <w:rFonts w:ascii="arial" w:eastAsia="arial" w:hAnsi="arial" w:cs="arial"/>
          <w:color w:val="000000"/>
          <w:sz w:val="20"/>
          <w:lang w:val="en-US" w:eastAsia="en-US" w:bidi="ar-SA"/>
        </w:rPr>
        <w:t>  Mason emphatically denied suggestions that she did not raise the co-trustee issue in January 2004 because of concerns that it would jeopardize the sale or cause a review of Howard's handling of the trust to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512</w:t>
      </w:r>
      <w:r>
        <w:rPr>
          <w:rFonts w:ascii="arial" w:eastAsia="arial" w:hAnsi="arial" w:cs="arial"/>
          <w:color w:val="000000"/>
          <w:sz w:val="20"/>
          <w:lang w:val="en-US" w:eastAsia="en-US" w:bidi="ar-SA"/>
        </w:rPr>
        <w:t>  On January 8, 2004, Mason learned from Eugene that Harold's side of the family was opposed to the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513</w:t>
      </w:r>
      <w:r>
        <w:rPr>
          <w:rFonts w:ascii="arial" w:eastAsia="arial" w:hAnsi="arial" w:cs="arial"/>
          <w:color w:val="000000"/>
          <w:sz w:val="20"/>
          <w:lang w:val="en-US" w:eastAsia="en-US" w:bidi="ar-SA"/>
        </w:rPr>
        <w:t>  On January 9, 2004, Long advised that he would require a solicitor's opinion that Howard had the legal authority, power and capacity to sell the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514</w:t>
      </w:r>
      <w:r>
        <w:rPr>
          <w:rFonts w:ascii="arial" w:eastAsia="arial" w:hAnsi="arial" w:cs="arial"/>
          <w:color w:val="000000"/>
          <w:sz w:val="20"/>
          <w:lang w:val="en-US" w:eastAsia="en-US" w:bidi="ar-SA"/>
        </w:rPr>
        <w:t>  The initial draft agreements echoed Long's email and contained a provision requiring a solicitor's opinion at closing that Howard had the legal authority, power and capacity to sell the shares. Although the sale was to close on February 15, 2004, Mason did not, subsequent to her January 7, 2004 email, again give consideration to the question of Howard's authority to sell the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515</w:t>
      </w:r>
      <w:r>
        <w:rPr>
          <w:rFonts w:ascii="arial" w:eastAsia="arial" w:hAnsi="arial" w:cs="arial"/>
          <w:color w:val="000000"/>
          <w:sz w:val="20"/>
          <w:lang w:val="en-US" w:eastAsia="en-US" w:bidi="ar-SA"/>
        </w:rPr>
        <w:t>  On February 11, 2004, Mason received Eugene's February 9, 2004 draft agreement. That draft deletes the requirement for a solicitor's opinion concerning Howard's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516</w:t>
      </w:r>
      <w:r>
        <w:rPr>
          <w:rFonts w:ascii="arial" w:eastAsia="arial" w:hAnsi="arial" w:cs="arial"/>
          <w:color w:val="000000"/>
          <w:sz w:val="20"/>
          <w:lang w:val="en-US" w:eastAsia="en-US" w:bidi="ar-SA"/>
        </w:rPr>
        <w:t>  Throughout this entire period, Mason remained apparently oblivious to the question of Howard's authority to sell the shares. The question for determination is whether her conduct reaches the level of recklessness or wilful blindness.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517</w:t>
      </w:r>
      <w:r>
        <w:rPr>
          <w:rFonts w:ascii="arial" w:eastAsia="arial" w:hAnsi="arial" w:cs="arial"/>
          <w:color w:val="000000"/>
          <w:sz w:val="20"/>
          <w:lang w:val="en-US" w:eastAsia="en-US" w:bidi="ar-SA"/>
        </w:rPr>
        <w:t>  In considering this question, it is first useful to consider the standard of care of a solicitor advising a trustee. Ms. Fiona Hunter, a leading practitioner of trust law, testified concerning the degree of skill, knowledge and care that a reasonably competent solicitor practicing primarily in the area of trust law must exercise. Subject to any specific limitation of instructions from a trustee, she testified that a solicitor should:</w:t>
      </w:r>
      <w:r>
        <w:rPr>
          <w:rFonts w:ascii="arial" w:eastAsia="arial" w:hAnsi="arial" w:cs="arial"/>
          <w:sz w:val="20"/>
          <w:lang w:val="en-US" w:eastAsia="en-US" w:bidi="ar-SA"/>
        </w:rPr>
        <w:cr/>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accurately advise the trustee on the powers and duties of a trustee at law;</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accurately advise the trustee on how such powers and duties are affected by the specific provisions of the trustee; and</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 that the trustee is protected against claims by beneficiaries and others when assuming, carrying out or resigning from the duties of a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518</w:t>
      </w:r>
      <w:r>
        <w:rPr>
          <w:rFonts w:ascii="arial" w:eastAsia="arial" w:hAnsi="arial" w:cs="arial"/>
          <w:color w:val="000000"/>
          <w:sz w:val="20"/>
          <w:lang w:val="en-US" w:eastAsia="en-US" w:bidi="ar-SA"/>
        </w:rPr>
        <w:t>  Applying the standard of care to the circumstances of the BNO Share Transaction, Ms. Hunter opined that Mason had a duty when advising Howard about the sales transaction to ensure that he had the authority to sell the trust property. Having previously advised that both Howard and Harold were the successor trustees upon Audrey's resignation and Eugene's renunciation, Mason should have advised Howard that the law required co-trustees to act unanimously, and sought instructions from Howard about Harold's position on the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519</w:t>
      </w:r>
      <w:r>
        <w:rPr>
          <w:rFonts w:ascii="arial" w:eastAsia="arial" w:hAnsi="arial" w:cs="arial"/>
          <w:color w:val="000000"/>
          <w:sz w:val="20"/>
          <w:lang w:val="en-US" w:eastAsia="en-US" w:bidi="ar-SA"/>
        </w:rPr>
        <w:t>  Ms. Hunter opined that once Mason was informed by Eugene in January 2004 that Howard had conducted all of the affairs of the BNT since September 30, 2002, she should have sought confirmation that Harold had formally renounced. She should not have informed Long that both Harold and Eugene had irrevocably renounced their appointments as trustees in September 2002 without confirming that Harold, in fact, had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520</w:t>
      </w:r>
      <w:r>
        <w:rPr>
          <w:rFonts w:ascii="arial" w:eastAsia="arial" w:hAnsi="arial" w:cs="arial"/>
          <w:color w:val="000000"/>
          <w:sz w:val="20"/>
          <w:lang w:val="en-US" w:eastAsia="en-US" w:bidi="ar-SA"/>
        </w:rPr>
        <w:t>  In Ms. Hunter's opinion, Mason failed to meet the standard of care of a solicitor advising a trustee by failing to ascertain whether Howard had the authority to sell the trust property absent Harold's agreement or renunciation.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521</w:t>
      </w:r>
      <w:r>
        <w:rPr>
          <w:rFonts w:ascii="arial" w:eastAsia="arial" w:hAnsi="arial" w:cs="arial"/>
          <w:color w:val="000000"/>
          <w:sz w:val="20"/>
          <w:lang w:val="en-US" w:eastAsia="en-US" w:bidi="ar-SA"/>
        </w:rPr>
        <w:t>  On cross-examination, Ms. Hunter testified that Eugene's advice in January 2004 that Howard had conducted all of the affairs for the trust should have immediately raised a red flag and Mason should have immediately verified whether, in fact, Howard was the sole trustee and could undertake the sale. She further testified the fact that an opinion might be required concerning Howard's authority as part of the contractual obligations did not affect the solicitor's obligation to make sure the trustee had the power to carry out the agreement. She said that the fact that Mason did not explore with her client whether he, in fact, had the authority to sell this property, knowing that in 2002 she had given advice that there were two trustees was a very fundamental error made at the outset of the retainer and she would be very surprised if any other trust lawyers came to a different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522</w:t>
      </w:r>
      <w:r>
        <w:rPr>
          <w:rFonts w:ascii="arial" w:eastAsia="arial" w:hAnsi="arial" w:cs="arial"/>
          <w:color w:val="000000"/>
          <w:sz w:val="20"/>
          <w:lang w:val="en-US" w:eastAsia="en-US" w:bidi="ar-SA"/>
        </w:rPr>
        <w:t xml:space="preserve">  I am in agreement with Ms. Hunter's opinion that Mason's conduct failed to meet the standard of care. This is, however, not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While Mason had constructive knowledge, liability cannot be imposed against Mason on that basis. Liability for knowingly assisting in a breach of trust only follows if she was reckless or wilfully blind.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523</w:t>
      </w:r>
      <w:r>
        <w:rPr>
          <w:rFonts w:ascii="arial" w:eastAsia="arial" w:hAnsi="arial" w:cs="arial"/>
          <w:color w:val="000000"/>
          <w:sz w:val="20"/>
          <w:lang w:val="en-US" w:eastAsia="en-US" w:bidi="ar-SA"/>
        </w:rPr>
        <w:t xml:space="preserve">  The reason for excluding constructive knowledge was set out in </w:t>
      </w:r>
      <w:r>
        <w:rPr>
          <w:rFonts w:ascii="arial" w:eastAsia="arial" w:hAnsi="arial" w:cs="arial"/>
          <w:i/>
          <w:color w:val="000000"/>
          <w:sz w:val="20"/>
          <w:lang w:val="en-US" w:eastAsia="en-US" w:bidi="ar-SA"/>
        </w:rPr>
        <w:t>Air Canada</w:t>
      </w:r>
      <w:r>
        <w:rPr>
          <w:rFonts w:ascii="arial" w:eastAsia="arial" w:hAnsi="arial" w:cs="arial"/>
          <w:color w:val="000000"/>
          <w:sz w:val="20"/>
          <w:lang w:val="en-US" w:eastAsia="en-US" w:bidi="ar-SA"/>
        </w:rPr>
        <w:t xml:space="preserve"> at 812-13: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reason for excluding constructive knowledge (that is, knowledge of circumstances which would indicate the facts to an honest person, or knowledge of facts which would put an honest person on inquiry) was discussed in </w:t>
      </w:r>
      <w:r>
        <w:rPr>
          <w:rFonts w:ascii="arial" w:eastAsia="arial" w:hAnsi="arial" w:cs="arial"/>
          <w:i/>
          <w:color w:val="000000"/>
          <w:sz w:val="20"/>
          <w:lang w:val="en-US" w:eastAsia="en-US" w:bidi="ar-SA"/>
        </w:rPr>
        <w:t>In re Montagu's Settlement Trusts, supra</w:t>
      </w:r>
      <w:r>
        <w:rPr>
          <w:rFonts w:ascii="arial" w:eastAsia="arial" w:hAnsi="arial" w:cs="arial"/>
          <w:color w:val="000000"/>
          <w:sz w:val="20"/>
          <w:lang w:val="en-US" w:eastAsia="en-US" w:bidi="ar-SA"/>
        </w:rPr>
        <w:t xml:space="preserve">, at pp. 271-73, 275-85. Megarry V.-C. held, at p. 285, that constructive notice was insufficient to bind the stranger's conscience so as to give rise to personal liability. While cases involving recklessness or wilful blindness indicate a "want of probity which justifies imposing a constructive trust", Megarry V.-C., at p. 285, held that the carelessness involved in constructive knowledge cases will not normally amount to a want of probity, and will therefore be insufficient to bind the stranger's conscience. See [also, </w:t>
      </w:r>
      <w:r>
        <w:rPr>
          <w:rFonts w:ascii="arial" w:eastAsia="arial" w:hAnsi="arial" w:cs="arial"/>
          <w:i/>
          <w:color w:val="000000"/>
          <w:sz w:val="20"/>
          <w:lang w:val="en-US" w:eastAsia="en-US" w:bidi="ar-SA"/>
        </w:rPr>
        <w:t>Lipkin Gorman v. Karpnale Ltd.,</w:t>
      </w:r>
      <w:r>
        <w:rPr>
          <w:rFonts w:ascii="arial" w:eastAsia="arial" w:hAnsi="arial" w:cs="arial"/>
          <w:color w:val="000000"/>
          <w:sz w:val="20"/>
          <w:lang w:val="en-US" w:eastAsia="en-US" w:bidi="ar-SA"/>
        </w:rPr>
        <w:t xml:space="preserve"> [1992] 4 All E.R. 331 (Q.B.), at pp. 341-49, 351-57, rev'd in part, [1992] 4 All E.R. 409 (C.A.), at pp. 416-18, rev'd in part on other grounds, [1992] 4 All E.R. 512 (H.L.).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524</w:t>
      </w:r>
      <w:r>
        <w:rPr>
          <w:rFonts w:ascii="arial" w:eastAsia="arial" w:hAnsi="arial" w:cs="arial"/>
          <w:color w:val="000000"/>
          <w:sz w:val="20"/>
          <w:lang w:val="en-US" w:eastAsia="en-US" w:bidi="ar-SA"/>
        </w:rPr>
        <w:t xml:space="preserve">  Recklessness and wilful blindness are concepts that arise more often in criminal rather than civil proceedings. The two concepts were defined and distinguished in </w:t>
      </w:r>
      <w:r>
        <w:rPr>
          <w:rFonts w:ascii="arial" w:eastAsia="arial" w:hAnsi="arial" w:cs="arial"/>
          <w:i/>
          <w:color w:val="000000"/>
          <w:sz w:val="20"/>
          <w:lang w:val="en-US" w:eastAsia="en-US" w:bidi="ar-SA"/>
        </w:rPr>
        <w:t>Sansregret v. The Queen</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[1985] 1 S.C.R. 570</w:t>
        </w:r>
      </w:hyperlink>
      <w:r>
        <w:rPr>
          <w:rFonts w:ascii="arial" w:eastAsia="arial" w:hAnsi="arial" w:cs="arial"/>
          <w:color w:val="000000"/>
          <w:sz w:val="20"/>
          <w:lang w:val="en-US" w:eastAsia="en-US" w:bidi="ar-SA"/>
        </w:rPr>
        <w:t xml:space="preserve"> at para.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Wilful blindness is distinct from recklessness because, while recklessness involves knowledge of a danger or risk and persistence in a course of conduct which creates a risk that the prohibited result will occur, wilful blindness arises where a person who has become aware of the need for some inquiry declines to make the inquiry because he does not wish to know the truth. He would prefer to remain ignorant. The culpability in recklessness is justified by consciousness of the risk and by proceeding in the face of it, while in wilful blindness it is justified by the accused's fault in deliberately failing to inquire when he knows there is reason for inquiry.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525</w:t>
      </w:r>
      <w:r>
        <w:rPr>
          <w:rFonts w:ascii="arial" w:eastAsia="arial" w:hAnsi="arial" w:cs="arial"/>
          <w:color w:val="000000"/>
          <w:sz w:val="20"/>
          <w:lang w:val="en-US" w:eastAsia="en-US" w:bidi="ar-SA"/>
        </w:rPr>
        <w:t xml:space="preserve">  Recklessness and wilful blindness both have a subjective element. Recklessness is the conduct of one who sees the risk and who takes the chance: </w:t>
      </w:r>
      <w:r>
        <w:rPr>
          <w:rFonts w:ascii="arial" w:eastAsia="arial" w:hAnsi="arial" w:cs="arial"/>
          <w:i/>
          <w:color w:val="000000"/>
          <w:sz w:val="20"/>
          <w:lang w:val="en-US" w:eastAsia="en-US" w:bidi="ar-SA"/>
        </w:rPr>
        <w:t>Sansregret</w:t>
      </w:r>
      <w:r>
        <w:rPr>
          <w:rFonts w:ascii="arial" w:eastAsia="arial" w:hAnsi="arial" w:cs="arial"/>
          <w:color w:val="000000"/>
          <w:sz w:val="20"/>
          <w:lang w:val="en-US" w:eastAsia="en-US" w:bidi="ar-SA"/>
        </w:rPr>
        <w:t xml:space="preserve"> at para. 16. The wilfully blind choose not to know the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526</w:t>
      </w:r>
      <w:r>
        <w:rPr>
          <w:rFonts w:ascii="arial" w:eastAsia="arial" w:hAnsi="arial" w:cs="arial"/>
          <w:color w:val="000000"/>
          <w:sz w:val="20"/>
          <w:lang w:val="en-US" w:eastAsia="en-US" w:bidi="ar-SA"/>
        </w:rPr>
        <w:t>  In this case, Mason failed to recognize what she should have recognized - that there was a real risk that Howard did not have the authority to sell the shares. I cannot find, however, that in doing so she was reckless in the sense that she was aware of the danger and nevertheless persisted despite the risk. Nor can I find that she failed to make inquiry because she did not want to know the truth and preferred to remain ignorant.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527</w:t>
      </w:r>
      <w:r>
        <w:rPr>
          <w:rFonts w:ascii="arial" w:eastAsia="arial" w:hAnsi="arial" w:cs="arial"/>
          <w:color w:val="000000"/>
          <w:sz w:val="20"/>
          <w:lang w:val="en-US" w:eastAsia="en-US" w:bidi="ar-SA"/>
        </w:rPr>
        <w:t>  Such findings would be inconsistent with other steps Mason took in both 2002 and 2004. In 2002, Eugene made clear that he did not want Harold to be co-trustee. Mason reviewed the documents and told him that Harold had the right. In 2004, when the withholding tax issue arose, she again gave advice contrary to Eugene's expectations. She had initially advised Long in her January 7 email that the trust was a BC resident so non-resident withholdings should not be an issue. When she subsequently came to recognize that that information was wrong, she took immediate steps to correct it and advised Howard, Eugene and Long that the trust was non-resident and subject to withholding. When Eugene questioned whether tax was payable, she did not change her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528</w:t>
      </w:r>
      <w:r>
        <w:rPr>
          <w:rFonts w:ascii="arial" w:eastAsia="arial" w:hAnsi="arial" w:cs="arial"/>
          <w:color w:val="000000"/>
          <w:sz w:val="20"/>
          <w:lang w:val="en-US" w:eastAsia="en-US" w:bidi="ar-SA"/>
        </w:rPr>
        <w:t>  I accept Mason's evidence that if she had recognized the co-trustee problem she would have taken steps to properly advise Howard as to his obligations, regardless of whether such advice might have caused the sale to abort.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529</w:t>
      </w:r>
      <w:r>
        <w:rPr>
          <w:rFonts w:ascii="arial" w:eastAsia="arial" w:hAnsi="arial" w:cs="arial"/>
          <w:color w:val="000000"/>
          <w:sz w:val="20"/>
          <w:lang w:val="en-US" w:eastAsia="en-US" w:bidi="ar-SA"/>
        </w:rPr>
        <w:t>  Mason likely did not recognize the co-trustee problem because the file was of such minor importance that she never critically considered the matter. Although she had over the course 13 years given advice to Audrey and Eugene on the file, all of the advice was by telephone or letter. She never met Audrey or Eugene. In 2002, when Eugene sought assistance concerning Audrey's resignation, it had been seven years since her last involvement. She testified that she regularly bills between 1,700 and 2,100 hours a year. In 2002, she spent 5.5 hours on this file. In 2004, but 3.1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530</w:t>
      </w:r>
      <w:r>
        <w:rPr>
          <w:rFonts w:ascii="arial" w:eastAsia="arial" w:hAnsi="arial" w:cs="arial"/>
          <w:color w:val="000000"/>
          <w:sz w:val="20"/>
          <w:lang w:val="en-US" w:eastAsia="en-US" w:bidi="ar-SA"/>
        </w:rPr>
        <w:t>  In 2002, after preparing the resignation documents, Mason failed to follow up with regard to their execution. She failed to contact Audrey or take any steps to make certain that Audrey was protected and the Audrey Indemnity had been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531</w:t>
      </w:r>
      <w:r>
        <w:rPr>
          <w:rFonts w:ascii="arial" w:eastAsia="arial" w:hAnsi="arial" w:cs="arial"/>
          <w:color w:val="000000"/>
          <w:sz w:val="20"/>
          <w:lang w:val="en-US" w:eastAsia="en-US" w:bidi="ar-SA"/>
        </w:rPr>
        <w:t xml:space="preserve">  This </w:t>
      </w:r>
      <w:r>
        <w:rPr>
          <w:rFonts w:ascii="arial" w:eastAsia="arial" w:hAnsi="arial" w:cs="arial"/>
          <w:i/>
          <w:color w:val="000000"/>
          <w:sz w:val="20"/>
          <w:lang w:val="en-US" w:eastAsia="en-US" w:bidi="ar-SA"/>
        </w:rPr>
        <w:t>laissez-faire</w:t>
      </w:r>
      <w:r>
        <w:rPr>
          <w:rFonts w:ascii="arial" w:eastAsia="arial" w:hAnsi="arial" w:cs="arial"/>
          <w:color w:val="000000"/>
          <w:sz w:val="20"/>
          <w:lang w:val="en-US" w:eastAsia="en-US" w:bidi="ar-SA"/>
        </w:rPr>
        <w:t xml:space="preserve"> attitude towards the file continued in 2004. Mason remained oblivious to the most obvious question concerning Howard's authority to sell the shares. Even when faced with Mr. Long's specific question with regard to Howard's authority, she failed to recognize a possible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532</w:t>
      </w:r>
      <w:r>
        <w:rPr>
          <w:rFonts w:ascii="arial" w:eastAsia="arial" w:hAnsi="arial" w:cs="arial"/>
          <w:color w:val="000000"/>
          <w:sz w:val="20"/>
          <w:lang w:val="en-US" w:eastAsia="en-US" w:bidi="ar-SA"/>
        </w:rPr>
        <w:t>  In this case, the facts known to Mason called out for inquiry. Her failure to meet the standard of care, however, does not make her liable for knowingly assisting in a breach of trust. That requires a finding that she acted with actual knowledge, recklessness or wilful blindness. For the reasons set out above I cannot find that she acted with a "want of probity" that would make her personally liable for knowingly assisting in a breach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533</w:t>
      </w:r>
      <w:r>
        <w:rPr>
          <w:rFonts w:ascii="arial" w:eastAsia="arial" w:hAnsi="arial" w:cs="arial"/>
          <w:color w:val="000000"/>
          <w:sz w:val="20"/>
          <w:lang w:val="en-US" w:eastAsia="en-US" w:bidi="ar-SA"/>
        </w:rPr>
        <w:t>  The claims against Mason and BHT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 Measure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534</w:t>
      </w:r>
      <w:r>
        <w:rPr>
          <w:rFonts w:ascii="arial" w:eastAsia="arial" w:hAnsi="arial" w:cs="arial"/>
          <w:color w:val="000000"/>
          <w:sz w:val="20"/>
          <w:lang w:val="en-US" w:eastAsia="en-US" w:bidi="ar-SA"/>
        </w:rPr>
        <w:t xml:space="preserve">  The basic principle of compensation for breach of trust is that a beneficiary is entitled to be compensated for the loss caused by the trustee's breach and that the measure of damages is the actual loss to the estate. The trust should be put in the position it would have been had the breach not occurred: </w:t>
      </w:r>
      <w:r>
        <w:rPr>
          <w:rFonts w:ascii="arial" w:eastAsia="arial" w:hAnsi="arial" w:cs="arial"/>
          <w:i/>
          <w:color w:val="000000"/>
          <w:sz w:val="20"/>
          <w:lang w:val="en-US" w:eastAsia="en-US" w:bidi="ar-SA"/>
        </w:rPr>
        <w:t>Waters</w:t>
      </w:r>
      <w:r>
        <w:rPr>
          <w:rFonts w:ascii="arial" w:eastAsia="arial" w:hAnsi="arial" w:cs="arial"/>
          <w:color w:val="000000"/>
          <w:sz w:val="20"/>
          <w:lang w:val="en-US" w:eastAsia="en-US" w:bidi="ar-SA"/>
        </w:rPr>
        <w:t xml:space="preserve"> at 1215; </w:t>
      </w:r>
      <w:r>
        <w:rPr>
          <w:rFonts w:ascii="arial" w:eastAsia="arial" w:hAnsi="arial" w:cs="arial"/>
          <w:i/>
          <w:color w:val="000000"/>
          <w:sz w:val="20"/>
          <w:lang w:val="en-US" w:eastAsia="en-US" w:bidi="ar-SA"/>
        </w:rPr>
        <w:t>Smith Estate (Trustee of) v. Smith Estate</w:t>
      </w:r>
      <w:r>
        <w:rPr>
          <w:rFonts w:ascii="arial" w:eastAsia="arial" w:hAnsi="arial" w:cs="arial"/>
          <w:color w:val="000000"/>
          <w:sz w:val="20"/>
          <w:lang w:val="en-US" w:eastAsia="en-US" w:bidi="ar-SA"/>
        </w:rPr>
        <w:t xml:space="preserve">, </w:t>
      </w:r>
      <w:hyperlink r:id="rId398" w:history="1">
        <w:r>
          <w:rPr>
            <w:rFonts w:ascii="arial" w:eastAsia="arial" w:hAnsi="arial" w:cs="arial"/>
            <w:i/>
            <w:color w:val="0077CC"/>
            <w:sz w:val="20"/>
            <w:u w:val="single"/>
            <w:shd w:val="clear" w:color="auto" w:fill="FFFFFF"/>
            <w:lang w:val="en-US" w:eastAsia="en-US" w:bidi="ar-SA"/>
          </w:rPr>
          <w:t>2000 BCSC 1842</w:t>
        </w:r>
      </w:hyperlink>
      <w:r>
        <w:rPr>
          <w:rFonts w:ascii="arial" w:eastAsia="arial" w:hAnsi="arial" w:cs="arial"/>
          <w:color w:val="000000"/>
          <w:sz w:val="20"/>
          <w:lang w:val="en-US" w:eastAsia="en-US" w:bidi="ar-SA"/>
        </w:rPr>
        <w:t xml:space="preserve">, </w:t>
      </w:r>
      <w:hyperlink r:id="rId398" w:history="1">
        <w:r>
          <w:rPr>
            <w:rFonts w:ascii="arial" w:eastAsia="arial" w:hAnsi="arial" w:cs="arial"/>
            <w:i/>
            <w:color w:val="0077CC"/>
            <w:sz w:val="20"/>
            <w:u w:val="single"/>
            <w:shd w:val="clear" w:color="auto" w:fill="FFFFFF"/>
            <w:lang w:val="en-US" w:eastAsia="en-US" w:bidi="ar-SA"/>
          </w:rPr>
          <w:t>37 E.T.R. (2d) 151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535</w:t>
      </w:r>
      <w:r>
        <w:rPr>
          <w:rFonts w:ascii="arial" w:eastAsia="arial" w:hAnsi="arial" w:cs="arial"/>
          <w:color w:val="000000"/>
          <w:sz w:val="20"/>
          <w:lang w:val="en-US" w:eastAsia="en-US" w:bidi="ar-SA"/>
        </w:rPr>
        <w:t xml:space="preserve">  I have found that the BNO Share Transaction was a breach of trust because Howard did not have the authority to sell the shares without first having determined whether Harold was prepared to accept his appointment. The plaintiff beneficiaries are entitled to be placed in the same position so far as possible as if there had been no breach of trust. The beneficiaries' actual loss as a consequence of the breach is to be assessed with the full benefit of hindsight: </w:t>
      </w:r>
      <w:r>
        <w:rPr>
          <w:rFonts w:ascii="arial" w:eastAsia="arial" w:hAnsi="arial" w:cs="arial"/>
          <w:i/>
          <w:color w:val="000000"/>
          <w:sz w:val="20"/>
          <w:lang w:val="en-US" w:eastAsia="en-US" w:bidi="ar-SA"/>
        </w:rPr>
        <w:t>Canson Enterprises v. Boughton &amp; Co.</w:t>
      </w:r>
      <w:r>
        <w:rPr>
          <w:rFonts w:ascii="arial" w:eastAsia="arial" w:hAnsi="arial" w:cs="arial"/>
          <w:color w:val="000000"/>
          <w:sz w:val="20"/>
          <w:lang w:val="en-US" w:eastAsia="en-US" w:bidi="ar-SA"/>
        </w:rPr>
        <w:t xml:space="preserve">, </w:t>
      </w:r>
      <w:hyperlink r:id="rId399" w:history="1">
        <w:r>
          <w:rPr>
            <w:rFonts w:ascii="arial" w:eastAsia="arial" w:hAnsi="arial" w:cs="arial"/>
            <w:i/>
            <w:color w:val="0077CC"/>
            <w:sz w:val="20"/>
            <w:u w:val="single"/>
            <w:shd w:val="clear" w:color="auto" w:fill="FFFFFF"/>
            <w:lang w:val="en-US" w:eastAsia="en-US" w:bidi="ar-SA"/>
          </w:rPr>
          <w:t>[1991] 3 S.C.R. 534</w:t>
        </w:r>
      </w:hyperlink>
      <w:r>
        <w:rPr>
          <w:rFonts w:ascii="arial" w:eastAsia="arial" w:hAnsi="arial" w:cs="arial"/>
          <w:color w:val="000000"/>
          <w:sz w:val="20"/>
          <w:lang w:val="en-US" w:eastAsia="en-US" w:bidi="ar-SA"/>
        </w:rPr>
        <w:t xml:space="preserve"> at 555. In determining the proper measure of damages, evidence as to changes in the value of the property after the sale is properly taken into account: </w:t>
      </w:r>
      <w:r>
        <w:rPr>
          <w:rFonts w:ascii="arial" w:eastAsia="arial" w:hAnsi="arial" w:cs="arial"/>
          <w:i/>
          <w:color w:val="000000"/>
          <w:sz w:val="20"/>
          <w:lang w:val="en-US" w:eastAsia="en-US" w:bidi="ar-SA"/>
        </w:rPr>
        <w:t>Toronto Dominion Bank v. Uhren</w:t>
      </w:r>
      <w:r>
        <w:rPr>
          <w:rFonts w:ascii="arial" w:eastAsia="arial" w:hAnsi="arial" w:cs="arial"/>
          <w:color w:val="000000"/>
          <w:sz w:val="20"/>
          <w:lang w:val="en-US" w:eastAsia="en-US" w:bidi="ar-SA"/>
        </w:rPr>
        <w:t xml:space="preserve"> (1960), 32 W.W.R. 61, </w:t>
      </w:r>
      <w:hyperlink r:id="rId400" w:history="1">
        <w:r>
          <w:rPr>
            <w:rFonts w:ascii="arial" w:eastAsia="arial" w:hAnsi="arial" w:cs="arial"/>
            <w:i/>
            <w:color w:val="0077CC"/>
            <w:sz w:val="20"/>
            <w:u w:val="single"/>
            <w:shd w:val="clear" w:color="auto" w:fill="FFFFFF"/>
            <w:lang w:val="en-US" w:eastAsia="en-US" w:bidi="ar-SA"/>
          </w:rPr>
          <w:t>24 D.L.R. (2d) 203</w:t>
        </w:r>
      </w:hyperlink>
      <w:r>
        <w:rPr>
          <w:rFonts w:ascii="arial" w:eastAsia="arial" w:hAnsi="arial" w:cs="arial"/>
          <w:color w:val="000000"/>
          <w:sz w:val="20"/>
          <w:lang w:val="en-US" w:eastAsia="en-US" w:bidi="ar-SA"/>
        </w:rPr>
        <w:t xml:space="preserve"> (Sask.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 Evidence on Damages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536</w:t>
      </w:r>
      <w:r>
        <w:rPr>
          <w:rFonts w:ascii="arial" w:eastAsia="arial" w:hAnsi="arial" w:cs="arial"/>
          <w:color w:val="000000"/>
          <w:sz w:val="20"/>
          <w:lang w:val="en-US" w:eastAsia="en-US" w:bidi="ar-SA"/>
        </w:rPr>
        <w:t>  Both sides led opinion evidence concerning the value of Big Nine. The plaintiffs called Mr. McCowan, who gave opinion evidence as to the fair market value of a guide and outfitting business in British Columbia and also in relation to the practices, customs and usages in the guide and outfitting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537</w:t>
      </w:r>
      <w:r>
        <w:rPr>
          <w:rFonts w:ascii="arial" w:eastAsia="arial" w:hAnsi="arial" w:cs="arial"/>
          <w:color w:val="000000"/>
          <w:sz w:val="20"/>
          <w:lang w:val="en-US" w:eastAsia="en-US" w:bidi="ar-SA"/>
        </w:rPr>
        <w:t>  Mr. McCowan has been a hunting guide since 1970. He has been a guide outfitter since 1978. Commencing in 1991, his real estate practice has specialized in marketing guide territories, concessions, allocations and fishing lodges throughout Western Canada. Barry had contacted Mr. McCowan in the summer of 2003 concerning a possible sale of Big Nine.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538</w:t>
      </w:r>
      <w:r>
        <w:rPr>
          <w:rFonts w:ascii="arial" w:eastAsia="arial" w:hAnsi="arial" w:cs="arial"/>
          <w:color w:val="000000"/>
          <w:sz w:val="20"/>
          <w:lang w:val="en-US" w:eastAsia="en-US" w:bidi="ar-SA"/>
        </w:rPr>
        <w:t>  The defendants called Mr. Crosson and Ms. Clayton. Mr. Crosson is a Chartered Accountant and Chartered Business Valuator. He has been the primary author of hundreds of business valuations. Prior to this assignment, he had no prior experience in regard to the valuation of a guide outfitting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539</w:t>
      </w:r>
      <w:r>
        <w:rPr>
          <w:rFonts w:ascii="arial" w:eastAsia="arial" w:hAnsi="arial" w:cs="arial"/>
          <w:color w:val="000000"/>
          <w:sz w:val="20"/>
          <w:lang w:val="en-US" w:eastAsia="en-US" w:bidi="ar-SA"/>
        </w:rPr>
        <w:t>  Ms. Clayton is a qualified and experienced property appraiser. She belongs to the Appraisal Institute of Canada and holds the Accredited Appraiser Canadian Institute Professional Appraiser designation. She has been practicing as a property appraiser since 1972 and has conducted numerous and varied appraisals over her career. She had not previously valued a guide outfitting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540</w:t>
      </w:r>
      <w:r>
        <w:rPr>
          <w:rFonts w:ascii="arial" w:eastAsia="arial" w:hAnsi="arial" w:cs="arial"/>
          <w:color w:val="000000"/>
          <w:sz w:val="20"/>
          <w:lang w:val="en-US" w:eastAsia="en-US" w:bidi="ar-SA"/>
        </w:rPr>
        <w:t>  I will review in turn the evidence of each of the experts.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b. Evidence of Mr. McCowan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541</w:t>
      </w:r>
      <w:r>
        <w:rPr>
          <w:rFonts w:ascii="arial" w:eastAsia="arial" w:hAnsi="arial" w:cs="arial"/>
          <w:color w:val="000000"/>
          <w:sz w:val="20"/>
          <w:lang w:val="en-US" w:eastAsia="en-US" w:bidi="ar-SA"/>
        </w:rPr>
        <w:t>  Mr. McCowan filed two reports. In his initial report dated February 15, 2008, he opined that, assuming normal exposure, the market value of Big Nine as of February 2004 was between $3 million and $3.2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542</w:t>
      </w:r>
      <w:r>
        <w:rPr>
          <w:rFonts w:ascii="arial" w:eastAsia="arial" w:hAnsi="arial" w:cs="arial"/>
          <w:color w:val="000000"/>
          <w:sz w:val="20"/>
          <w:lang w:val="en-US" w:eastAsia="en-US" w:bidi="ar-SA"/>
        </w:rPr>
        <w:t>  Before coming to his final conclusion, Mr. McCowan first valued the business using the cost, direct comparison and income approaches. On a cost basis, he valued Big Nine at $3,200,000. On a direct comparison approach, he valued it at $3 million, while using the income approach he valued the business at $3,350,000.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543</w:t>
      </w:r>
      <w:r>
        <w:rPr>
          <w:rFonts w:ascii="arial" w:eastAsia="arial" w:hAnsi="arial" w:cs="arial"/>
          <w:color w:val="000000"/>
          <w:sz w:val="20"/>
          <w:lang w:val="en-US" w:eastAsia="en-US" w:bidi="ar-SA"/>
        </w:rPr>
        <w:t>  In his February 2008 report, Mr. McCowan valued the infrastructure and equipment at $1.1 million. When he prepared that report, he was not aware of the April Letter in which Barry had valued the infrastructure at $2,795,000 and the additional assets at $1,595,000. In his supplemental report of April 25, 2009, Mr. McCowan indicated that in light of the April Letter it would be necessary to amend his initial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544</w:t>
      </w:r>
      <w:r>
        <w:rPr>
          <w:rFonts w:ascii="arial" w:eastAsia="arial" w:hAnsi="arial" w:cs="arial"/>
          <w:color w:val="000000"/>
          <w:sz w:val="20"/>
          <w:lang w:val="en-US" w:eastAsia="en-US" w:bidi="ar-SA"/>
        </w:rPr>
        <w:t>  In his supplemental report,Mr. McCowan opined that pursuant to the cost approach, the value would be $4,150,000, while the direct comparison approach would indicate a value of $3,900,000. The April Letter did not affect Mr. McCowan's income approach. In the end result, he amended his opinion to indicate a value of Big Nine as of February 2004 of $3,800,000.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545</w:t>
      </w:r>
      <w:r>
        <w:rPr>
          <w:rFonts w:ascii="arial" w:eastAsia="arial" w:hAnsi="arial" w:cs="arial"/>
          <w:color w:val="000000"/>
          <w:sz w:val="20"/>
          <w:lang w:val="en-US" w:eastAsia="en-US" w:bidi="ar-SA"/>
        </w:rPr>
        <w:t>  The defendants submit that Mr. McCowan's methodology is flawed and unreliable. They submit that his direct comparison approach is based on arbitrary, unsupported and erroneous values which seriously undermine its reliability as a predictor of Big Nine's value either standing alone or in relation to the comparables. For example, they note that Mr. McCowan assigned an extra $100,000 value to Big Nine for its park use permit in comparison with the guide outfitting businesses who did not have such permits. The defendants say Mr. McCowan has no explanation as to why he chose $100,000 and, indeed, in his evidence in chief, acknowledges that it was arbitrary. A second example is with regard to the deeded land. Mr. McCowan adds $400,000 to the value of Big Nine as compared to the comparables without deeded land. The defendants submit that Mr. McCowan's decision to increase Big Nine's value by $400,000 as compared with each comparable is unsupported, essentially arbitrary and contributes to a flawed and unreliable view of Big Nine's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546</w:t>
      </w:r>
      <w:r>
        <w:rPr>
          <w:rFonts w:ascii="arial" w:eastAsia="arial" w:hAnsi="arial" w:cs="arial"/>
          <w:color w:val="000000"/>
          <w:sz w:val="20"/>
          <w:lang w:val="en-US" w:eastAsia="en-US" w:bidi="ar-SA"/>
        </w:rPr>
        <w:t>  The defendants also note that Mr. McCowan assumes that Big Nine had a 14-sheep quota at the time of the sale. This does not accord with the evidence, as it was clear by late 2003 that the sheep quota would be reduced to 12 for the 2004 season.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547</w:t>
      </w:r>
      <w:r>
        <w:rPr>
          <w:rFonts w:ascii="arial" w:eastAsia="arial" w:hAnsi="arial" w:cs="arial"/>
          <w:color w:val="000000"/>
          <w:sz w:val="20"/>
          <w:lang w:val="en-US" w:eastAsia="en-US" w:bidi="ar-SA"/>
        </w:rPr>
        <w:t>  Another criticism of Mr. McCowan's report is that his analysis implies that Big Nine's intangible value is dramatically greater than the intangible values of the various comparables. The defence submits that it does not stand to reason that a prospective purchaser would be prepared to pay so much more for Big Nine's intangible assets than other purchasers likely actually paid for intangible assets associated with other guide outfitting businesses.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548</w:t>
      </w:r>
      <w:r>
        <w:rPr>
          <w:rFonts w:ascii="arial" w:eastAsia="arial" w:hAnsi="arial" w:cs="arial"/>
          <w:color w:val="000000"/>
          <w:sz w:val="20"/>
          <w:lang w:val="en-US" w:eastAsia="en-US" w:bidi="ar-SA"/>
        </w:rPr>
        <w:t>  A further criticism of Mr. McCowan's methodology is that he includes in his comparable three transactions that took place subsequent to February 2004. The inclusion of these comparisons results in a value for Big Nine that is approximately $200,000 greater than the values indicated if the hindsight transactions are excluded.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549</w:t>
      </w:r>
      <w:r>
        <w:rPr>
          <w:rFonts w:ascii="arial" w:eastAsia="arial" w:hAnsi="arial" w:cs="arial"/>
          <w:color w:val="000000"/>
          <w:sz w:val="20"/>
          <w:lang w:val="en-US" w:eastAsia="en-US" w:bidi="ar-SA"/>
        </w:rPr>
        <w:t xml:space="preserve">  The defence also criticizes Mr. McCowan's approach in that he has valued Big Nine on the basis that it would be sold </w:t>
      </w:r>
      <w:r>
        <w:rPr>
          <w:rFonts w:ascii="arial" w:eastAsia="arial" w:hAnsi="arial" w:cs="arial"/>
          <w:i/>
          <w:color w:val="000000"/>
          <w:sz w:val="20"/>
          <w:lang w:val="en-US" w:eastAsia="en-US" w:bidi="ar-SA"/>
        </w:rPr>
        <w:t>en bloc</w:t>
      </w:r>
      <w:r>
        <w:rPr>
          <w:rFonts w:ascii="arial" w:eastAsia="arial" w:hAnsi="arial" w:cs="arial"/>
          <w:color w:val="000000"/>
          <w:sz w:val="20"/>
          <w:lang w:val="en-US" w:eastAsia="en-US" w:bidi="ar-SA"/>
        </w:rPr>
        <w:t xml:space="preserve">. An </w:t>
      </w:r>
      <w:r>
        <w:rPr>
          <w:rFonts w:ascii="arial" w:eastAsia="arial" w:hAnsi="arial" w:cs="arial"/>
          <w:i/>
          <w:color w:val="000000"/>
          <w:sz w:val="20"/>
          <w:lang w:val="en-US" w:eastAsia="en-US" w:bidi="ar-SA"/>
        </w:rPr>
        <w:t>en bloc</w:t>
      </w:r>
      <w:r>
        <w:rPr>
          <w:rFonts w:ascii="arial" w:eastAsia="arial" w:hAnsi="arial" w:cs="arial"/>
          <w:color w:val="000000"/>
          <w:sz w:val="20"/>
          <w:lang w:val="en-US" w:eastAsia="en-US" w:bidi="ar-SA"/>
        </w:rPr>
        <w:t xml:space="preserve"> sale would require Barry agreeing to sell the TRL and King shares and likely require Barry to enter into a non-compete or non-solicitation agreement. Failure to take this into account, in the defence's submission, undermines the validity of Mr. McCowan's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550</w:t>
      </w:r>
      <w:r>
        <w:rPr>
          <w:rFonts w:ascii="arial" w:eastAsia="arial" w:hAnsi="arial" w:cs="arial"/>
          <w:color w:val="000000"/>
          <w:sz w:val="20"/>
          <w:lang w:val="en-US" w:eastAsia="en-US" w:bidi="ar-SA"/>
        </w:rPr>
        <w:t>  The defence further says that Mr. McCowan's use of the April Letter is unreasonable and further diminishes the overall reliability of his views. They submit that the way Mr. McCowan uses the figures in the April Letter undermines his overall reliability and that his opinion of value based on the April Letter does not accord with the market or common sense.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c. Evidence of Ms. Clayton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551</w:t>
      </w:r>
      <w:r>
        <w:rPr>
          <w:rFonts w:ascii="arial" w:eastAsia="arial" w:hAnsi="arial" w:cs="arial"/>
          <w:color w:val="000000"/>
          <w:sz w:val="20"/>
          <w:lang w:val="en-US" w:eastAsia="en-US" w:bidi="ar-SA"/>
        </w:rPr>
        <w:t>  Ms. Clayton is a property appraiser. She valued the property rights controlled by Big Nine. These included the deeded land, land held under license or permit, buildings and certain other assets. She valued the property rights using each of the cost, direct comparison and income approaches. She concluded that the direct comparison approach was the most reliable indicator of value and indicated the market value of the subject property to be $1,700,000.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552</w:t>
      </w:r>
      <w:r>
        <w:rPr>
          <w:rFonts w:ascii="arial" w:eastAsia="arial" w:hAnsi="arial" w:cs="arial"/>
          <w:color w:val="000000"/>
          <w:sz w:val="20"/>
          <w:lang w:val="en-US" w:eastAsia="en-US" w:bidi="ar-SA"/>
        </w:rPr>
        <w:t>  Ms. Clayton's market value assumed adequate exposure to the market. She noted that, as with any type of real estate, adequate exposure was needed to ensure that the maximum selling price was achieved. She opined that adequate exposure time for a guide territory would be upwards of a year, possibly as long as two. She noted that in 2005, when the Terminus property was sold, two separate buyers came forward as soon as word was out the property was for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553</w:t>
      </w:r>
      <w:r>
        <w:rPr>
          <w:rFonts w:ascii="arial" w:eastAsia="arial" w:hAnsi="arial" w:cs="arial"/>
          <w:color w:val="000000"/>
          <w:sz w:val="20"/>
          <w:lang w:val="en-US" w:eastAsia="en-US" w:bidi="ar-SA"/>
        </w:rPr>
        <w:t>  In her report, Ms. Clayton valued the building and infrastructure at $927,300. She did not alter her report after receiving a copy of the April Letter. She did note in her report that the cost approach was particularly challenging because of the remote nature of the business. She noted that the value between buildings and land was skewed heavily in favour of buildings. She placed the least weight on her cost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554</w:t>
      </w:r>
      <w:r>
        <w:rPr>
          <w:rFonts w:ascii="arial" w:eastAsia="arial" w:hAnsi="arial" w:cs="arial"/>
          <w:color w:val="000000"/>
          <w:sz w:val="20"/>
          <w:lang w:val="en-US" w:eastAsia="en-US" w:bidi="ar-SA"/>
        </w:rPr>
        <w:t>  The plaintiffs note that Ms. Clayton has no experience of valuing anything related to the guide and outfitting business. She had not previously done any cost analysis concerning the construction of the infrastructure for a guide and outfitting business. They submit her retainer was limited to preparing an appraisal of the property interests of Big Nine, not its value as a going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555</w:t>
      </w:r>
      <w:r>
        <w:rPr>
          <w:rFonts w:ascii="arial" w:eastAsia="arial" w:hAnsi="arial" w:cs="arial"/>
          <w:color w:val="000000"/>
          <w:sz w:val="20"/>
          <w:lang w:val="en-US" w:eastAsia="en-US" w:bidi="ar-SA"/>
        </w:rPr>
        <w:t>  In final submissions, the defendants did not rely on Ms. Clayton's opinions concerning the value of Big Nine. Rather, they used her report, and in particular her valuation of the buildings and deeded land, to provide the evidentiary basis for Mr. Crosson's report. Mr. Crosson was instructed to accept Ms. Clayton's conclusions as to the value of Big Nine's tangible assets.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d. Evidence of Mr. Crosson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556</w:t>
      </w:r>
      <w:r>
        <w:rPr>
          <w:rFonts w:ascii="arial" w:eastAsia="arial" w:hAnsi="arial" w:cs="arial"/>
          <w:color w:val="000000"/>
          <w:sz w:val="20"/>
          <w:lang w:val="en-US" w:eastAsia="en-US" w:bidi="ar-SA"/>
        </w:rPr>
        <w:t>  Mr. Crosson adopted an adjusted net asset approach as his primary valuation methodology. This methodology distinguishes between the value associated with tangible net assets, comprising cash, accounts receivable and hard assets (horses and tack, infrastructure, land and equipment) on the one hand, and the value associated with the intangible net assets comprising licenses, user rights, customer contracts and relationships, special purchaser premiums and good will on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557</w:t>
      </w:r>
      <w:r>
        <w:rPr>
          <w:rFonts w:ascii="arial" w:eastAsia="arial" w:hAnsi="arial" w:cs="arial"/>
          <w:color w:val="000000"/>
          <w:sz w:val="20"/>
          <w:lang w:val="en-US" w:eastAsia="en-US" w:bidi="ar-SA"/>
        </w:rPr>
        <w:t xml:space="preserve">  Mr. Crosson relies largely on Ms. Clayton's report to determine the value of Big Nine's infrastructure, land and equipment. Her report valued those tangible assets at $1,124,100. With regard to intangible net assets, Mr. Crosson concludes the value of Big Nine's intangible assets would be in the range of $0.6 to $0.9 million. He concludes that the </w:t>
      </w:r>
      <w:r>
        <w:rPr>
          <w:rFonts w:ascii="arial" w:eastAsia="arial" w:hAnsi="arial" w:cs="arial"/>
          <w:i/>
          <w:color w:val="000000"/>
          <w:sz w:val="20"/>
          <w:lang w:val="en-US" w:eastAsia="en-US" w:bidi="ar-SA"/>
        </w:rPr>
        <w:t>en bloc</w:t>
      </w:r>
      <w:r>
        <w:rPr>
          <w:rFonts w:ascii="arial" w:eastAsia="arial" w:hAnsi="arial" w:cs="arial"/>
          <w:color w:val="000000"/>
          <w:sz w:val="20"/>
          <w:lang w:val="en-US" w:eastAsia="en-US" w:bidi="ar-SA"/>
        </w:rPr>
        <w:t xml:space="preserve"> fair market value of the Big Nine shares at or around December 15, 2003 was between $1.6 and $1.9 million. If viewed on a pro rata basis, the </w:t>
      </w:r>
      <w:r>
        <w:rPr>
          <w:rFonts w:ascii="arial" w:eastAsia="arial" w:hAnsi="arial" w:cs="arial"/>
          <w:i/>
          <w:color w:val="000000"/>
          <w:sz w:val="20"/>
          <w:lang w:val="en-US" w:eastAsia="en-US" w:bidi="ar-SA"/>
        </w:rPr>
        <w:t>en bloc</w:t>
      </w:r>
      <w:r>
        <w:rPr>
          <w:rFonts w:ascii="arial" w:eastAsia="arial" w:hAnsi="arial" w:cs="arial"/>
          <w:color w:val="000000"/>
          <w:sz w:val="20"/>
          <w:lang w:val="en-US" w:eastAsia="en-US" w:bidi="ar-SA"/>
        </w:rPr>
        <w:t xml:space="preserve"> values would equate to a range of "rateable values" for the subject shares of $0.8 million to $1.06 million, being 55.56% of the </w:t>
      </w:r>
      <w:r>
        <w:rPr>
          <w:rFonts w:ascii="arial" w:eastAsia="arial" w:hAnsi="arial" w:cs="arial"/>
          <w:i/>
          <w:color w:val="000000"/>
          <w:sz w:val="20"/>
          <w:lang w:val="en-US" w:eastAsia="en-US" w:bidi="ar-SA"/>
        </w:rPr>
        <w:t>en bloc</w:t>
      </w:r>
      <w:r>
        <w:rPr>
          <w:rFonts w:ascii="arial" w:eastAsia="arial" w:hAnsi="arial" w:cs="arial"/>
          <w:color w:val="000000"/>
          <w:sz w:val="20"/>
          <w:lang w:val="en-US" w:eastAsia="en-US" w:bidi="ar-SA"/>
        </w:rPr>
        <w:t xml:space="preserve"> value of the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558</w:t>
      </w:r>
      <w:r>
        <w:rPr>
          <w:rFonts w:ascii="arial" w:eastAsia="arial" w:hAnsi="arial" w:cs="arial"/>
          <w:color w:val="000000"/>
          <w:sz w:val="20"/>
          <w:lang w:val="en-US" w:eastAsia="en-US" w:bidi="ar-SA"/>
        </w:rPr>
        <w:t>  Mr. Crosson also opined that the range of "rateable values" may not be indicative of the fair market value of the subject shares. He suggests that a significant discount should be applied to take into account that the BNT had but a fractional interest in the subject shares. In this regard, he makes mention of uncertainty concerning the legal and business issues relating to the ownership rights of the licenses held in Barry's name and the costs of obtaining Barry's agreement to facilitate transfers. He also notes that it is difficult to determine the adverse impact on the business if Barry ceased employment or would not agree to be bound by a non-compete or a non-solicitation agreement with the buyer of the Big Nine shares. Mr. Crosson opines that a significant discount would need to be applied to the rateable share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559</w:t>
      </w:r>
      <w:r>
        <w:rPr>
          <w:rFonts w:ascii="arial" w:eastAsia="arial" w:hAnsi="arial" w:cs="arial"/>
          <w:color w:val="000000"/>
          <w:sz w:val="20"/>
          <w:lang w:val="en-US" w:eastAsia="en-US" w:bidi="ar-SA"/>
        </w:rPr>
        <w:t>  In the course of his report, Mr. Crosson considered and rejected a multiple of earnings approach, which he defined as the most common approach applied in the valuing of small businesses. He found, however, that with regard to Big Nine, the approach implied that Big Nine's overall value was less than the value of its tangible assets. He concluded that a value based on an earnings approach would undervalue the subject business because the approach did not capture intangible values associated with the guide outfitting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560</w:t>
      </w:r>
      <w:r>
        <w:rPr>
          <w:rFonts w:ascii="arial" w:eastAsia="arial" w:hAnsi="arial" w:cs="arial"/>
          <w:color w:val="000000"/>
          <w:sz w:val="20"/>
          <w:lang w:val="en-US" w:eastAsia="en-US" w:bidi="ar-SA"/>
        </w:rPr>
        <w:t>  In reaching this decision, Mr. Crosson discounted Big Nine's gross revenue. He was of the opinion that a substantial amount of Big Nine's revenue was derived from unprofitable or marginally profitable activities such as resident hunting or management hunts. In his opinion, it was unlikely that a prospective purchaser would operate Big Nine in the same way that Barry had and would not value each dollar of Big Nine's gross revenue equally. He thought it unlikely that a prospective purchaser would be prepared to pay a price for Big Nine based on the way in which Barry had been operating. In the result, Mr. Crosson reduced Big Nine's gross revenue to an amount that, in his view, more closely approximates the gross revenue that would be generated if Big Nine was operated in a more typical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561</w:t>
      </w:r>
      <w:r>
        <w:rPr>
          <w:rFonts w:ascii="arial" w:eastAsia="arial" w:hAnsi="arial" w:cs="arial"/>
          <w:color w:val="000000"/>
          <w:sz w:val="20"/>
          <w:lang w:val="en-US" w:eastAsia="en-US" w:bidi="ar-SA"/>
        </w:rPr>
        <w:t>  The plaintiffs have numerous criticisms of Mr. Crosson's report. They note his lack of any prior experience in valuing guide outfitting businesses. They submit that Mr. Crosson's assertion that a buyer of Big Nine would be unlikely to operate the business in a similar way is unsupported by any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562</w:t>
      </w:r>
      <w:r>
        <w:rPr>
          <w:rFonts w:ascii="arial" w:eastAsia="arial" w:hAnsi="arial" w:cs="arial"/>
          <w:color w:val="000000"/>
          <w:sz w:val="20"/>
          <w:lang w:val="en-US" w:eastAsia="en-US" w:bidi="ar-SA"/>
        </w:rPr>
        <w:t>  The plaintiffs further submit that Mr. Crosson's decision not to accept hindsight information ignores legal principles that have been developed concerning damages for breach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563</w:t>
      </w:r>
      <w:r>
        <w:rPr>
          <w:rFonts w:ascii="arial" w:eastAsia="arial" w:hAnsi="arial" w:cs="arial"/>
          <w:color w:val="000000"/>
          <w:sz w:val="20"/>
          <w:lang w:val="en-US" w:eastAsia="en-US" w:bidi="ar-SA"/>
        </w:rPr>
        <w:t>  The plaintiffs are critical of Mr. Crosson's opinion that there should be a significant discount to the rateable value applied to the 55% shares held by the BNT. They note that no evidence has been proffered that would support the assertion of a discount to Mr. Crosson's rateable values. Further, they submit that the calculation of a discount assumes that Barry would not have willingly joined in the sale and done what was necessary to facilitate it. They submit that this is inconsistent with Barry's evidence and point to the April Letter when he urged the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564</w:t>
      </w:r>
      <w:r>
        <w:rPr>
          <w:rFonts w:ascii="arial" w:eastAsia="arial" w:hAnsi="arial" w:cs="arial"/>
          <w:color w:val="000000"/>
          <w:sz w:val="20"/>
          <w:lang w:val="en-US" w:eastAsia="en-US" w:bidi="ar-SA"/>
        </w:rPr>
        <w:t>  The plaintiffs' strongest criticism of Mr. Crosson's opinion is his reliance on Ms. Clayton's numbers in relation to the value of the infrastructure and land. They submit that Ms. Clayton's findings are flawed and Mr. Crosson's reliance on those numbers fatally undermines his conclusions on value.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iii. Discussion re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565</w:t>
      </w:r>
      <w:r>
        <w:rPr>
          <w:rFonts w:ascii="arial" w:eastAsia="arial" w:hAnsi="arial" w:cs="arial"/>
          <w:color w:val="000000"/>
          <w:sz w:val="20"/>
          <w:lang w:val="en-US" w:eastAsia="en-US" w:bidi="ar-SA"/>
        </w:rPr>
        <w:t>  Mr. Crosson and Mr. McCowan are in agreement that the value of a guide outfitting business is driven by certain key factors, including the guide outfitter, the availability of species, particularly sheep, the availability of "trophy" or lifestyle purchasers and the actual or potential gross revenue. Both recognize that Big Nine's overall value is in part a function of the value of its hard assets, including building and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566</w:t>
      </w:r>
      <w:r>
        <w:rPr>
          <w:rFonts w:ascii="arial" w:eastAsia="arial" w:hAnsi="arial" w:cs="arial"/>
          <w:color w:val="000000"/>
          <w:sz w:val="20"/>
          <w:lang w:val="en-US" w:eastAsia="en-US" w:bidi="ar-SA"/>
        </w:rPr>
        <w:t>  The experts were in general agreement that a multiple of net earnings or income approach was not a reliable way of determining Big Nine's value. This is so because value is driven in some measure by lifestyle and trophy motivations. Rather, assessing value is principally to be determined as a function of comparing Big Nine to other guide outfitting businesses that have been bought and sold. In particular, the experts generally agree that the preferred way to estimate Big Nine's value is to identify the sale of other guide outfitting businesses, evaluate similarities and differences in relation to Big Nine and draw inferences about the likely value of Big Nine based on the similarities and differences on the transaction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567</w:t>
      </w:r>
      <w:r>
        <w:rPr>
          <w:rFonts w:ascii="arial" w:eastAsia="arial" w:hAnsi="arial" w:cs="arial"/>
          <w:color w:val="000000"/>
          <w:sz w:val="20"/>
          <w:lang w:val="en-US" w:eastAsia="en-US" w:bidi="ar-SA"/>
        </w:rPr>
        <w:t>  All of the experts referenced the same comparable transactions. Subject to a few small exceptions, there is general agreement on the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568</w:t>
      </w:r>
      <w:r>
        <w:rPr>
          <w:rFonts w:ascii="arial" w:eastAsia="arial" w:hAnsi="arial" w:cs="arial"/>
          <w:color w:val="000000"/>
          <w:sz w:val="20"/>
          <w:lang w:val="en-US" w:eastAsia="en-US" w:bidi="ar-SA"/>
        </w:rPr>
        <w:t>  A matter of disagreement between the parties is the use of hindsight evidence in support of a point in time appraisal. This is of particular import in this case because two of the closest comparables, Terminus and Stone Mountain, sold subsequent to completion of the BNO Share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569</w:t>
      </w:r>
      <w:r>
        <w:rPr>
          <w:rFonts w:ascii="arial" w:eastAsia="arial" w:hAnsi="arial" w:cs="arial"/>
          <w:color w:val="000000"/>
          <w:sz w:val="20"/>
          <w:lang w:val="en-US" w:eastAsia="en-US" w:bidi="ar-SA"/>
        </w:rPr>
        <w:t xml:space="preserve">  Generally speaking, events which occur after the valuation date, such as the sale of comparable properties, advice of which may be affected by market forces not necessarily operating at the valuation date, are considered inadmissible: </w:t>
      </w:r>
      <w:r>
        <w:rPr>
          <w:rFonts w:ascii="arial" w:eastAsia="arial" w:hAnsi="arial" w:cs="arial"/>
          <w:i/>
          <w:color w:val="000000"/>
          <w:sz w:val="20"/>
          <w:lang w:val="en-US" w:eastAsia="en-US" w:bidi="ar-SA"/>
        </w:rPr>
        <w:t>Cypress Anvil Mining Corporation v. Dickson</w:t>
      </w:r>
      <w:r>
        <w:rPr>
          <w:rFonts w:ascii="arial" w:eastAsia="arial" w:hAnsi="arial" w:cs="arial"/>
          <w:color w:val="000000"/>
          <w:sz w:val="20"/>
          <w:lang w:val="en-US" w:eastAsia="en-US" w:bidi="ar-SA"/>
        </w:rPr>
        <w:t xml:space="preserve"> </w:t>
      </w:r>
      <w:hyperlink r:id="rId401" w:history="1">
        <w:r>
          <w:rPr>
            <w:rFonts w:ascii="arial" w:eastAsia="arial" w:hAnsi="arial" w:cs="arial"/>
            <w:i/>
            <w:color w:val="0077CC"/>
            <w:sz w:val="20"/>
            <w:u w:val="single"/>
            <w:shd w:val="clear" w:color="auto" w:fill="FFFFFF"/>
            <w:lang w:val="en-US" w:eastAsia="en-US" w:bidi="ar-SA"/>
          </w:rPr>
          <w:t>(1983), 40 B.C.L.R. 180</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570</w:t>
      </w:r>
      <w:r>
        <w:rPr>
          <w:rFonts w:ascii="arial" w:eastAsia="arial" w:hAnsi="arial" w:cs="arial"/>
          <w:color w:val="000000"/>
          <w:sz w:val="20"/>
          <w:lang w:val="en-US" w:eastAsia="en-US" w:bidi="ar-SA"/>
        </w:rPr>
        <w:t xml:space="preserve">  That rule, in my opinion, does not apply in assessing damages for breach of trust when the breach is the unauthorized sale of trust property. As noted in </w:t>
      </w:r>
      <w:r>
        <w:rPr>
          <w:rFonts w:ascii="arial" w:eastAsia="arial" w:hAnsi="arial" w:cs="arial"/>
          <w:i/>
          <w:color w:val="000000"/>
          <w:sz w:val="20"/>
          <w:lang w:val="en-US" w:eastAsia="en-US" w:bidi="ar-SA"/>
        </w:rPr>
        <w:t>Uhren</w:t>
      </w:r>
      <w:r>
        <w:rPr>
          <w:rFonts w:ascii="arial" w:eastAsia="arial" w:hAnsi="arial" w:cs="arial"/>
          <w:color w:val="000000"/>
          <w:sz w:val="20"/>
          <w:lang w:val="en-US" w:eastAsia="en-US" w:bidi="ar-SA"/>
        </w:rPr>
        <w:t xml:space="preserve">, the court's determination of damages in such circumstances is not limited to the value at the date of the breach. </w:t>
      </w:r>
      <w:r>
        <w:rPr>
          <w:rFonts w:ascii="arial" w:eastAsia="arial" w:hAnsi="arial" w:cs="arial"/>
          <w:i/>
          <w:color w:val="000000"/>
          <w:sz w:val="20"/>
          <w:lang w:val="en-US" w:eastAsia="en-US" w:bidi="ar-SA"/>
        </w:rPr>
        <w:t>Uhren</w:t>
      </w:r>
      <w:r>
        <w:rPr>
          <w:rFonts w:ascii="arial" w:eastAsia="arial" w:hAnsi="arial" w:cs="arial"/>
          <w:color w:val="000000"/>
          <w:sz w:val="20"/>
          <w:lang w:val="en-US" w:eastAsia="en-US" w:bidi="ar-SA"/>
        </w:rPr>
        <w:t xml:space="preserve"> concerned the wrongful sale of mining leases. The value of those leases did not become clear until sometime subsequent to the sale. The court considered such evidence in determining compensation for the breach of trust in order to put that plaintiff in the position he would have been in if the breach had not occurred. Changes in the value of the rights after the sale were properly taken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571</w:t>
      </w:r>
      <w:r>
        <w:rPr>
          <w:rFonts w:ascii="arial" w:eastAsia="arial" w:hAnsi="arial" w:cs="arial"/>
          <w:color w:val="000000"/>
          <w:sz w:val="20"/>
          <w:lang w:val="en-US" w:eastAsia="en-US" w:bidi="ar-SA"/>
        </w:rPr>
        <w:t>  In this case, the hindsight transactions took place in 2004 and 2005. Ms. Clayton and Mr. McCowan both testified that to properly market a guide outfitting business can take up to two years. If the Big Nine shares had been sold in the normal course, the sale would have taken place at or around the time of the hindsight transactions. In those circumstances it is appropriate to consider the hindsight transaction in determining the value of the Big Nine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572</w:t>
      </w:r>
      <w:r>
        <w:rPr>
          <w:rFonts w:ascii="arial" w:eastAsia="arial" w:hAnsi="arial" w:cs="arial"/>
          <w:color w:val="000000"/>
          <w:sz w:val="20"/>
          <w:lang w:val="en-US" w:eastAsia="en-US" w:bidi="ar-SA"/>
        </w:rPr>
        <w:t>  The evidence of Mr. McCowan and Mr. Crosson made clear that attempting to value a guide outfitting business is more art than science. Both were forced to make a series of judgments about the value of several components of each comparable and make judgments as to their impact on the value of Big Nine.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573</w:t>
      </w:r>
      <w:r>
        <w:rPr>
          <w:rFonts w:ascii="arial" w:eastAsia="arial" w:hAnsi="arial" w:cs="arial"/>
          <w:color w:val="000000"/>
          <w:sz w:val="20"/>
          <w:lang w:val="en-US" w:eastAsia="en-US" w:bidi="ar-SA"/>
        </w:rPr>
        <w:t>  It is clear from the evidence that there is no gold standard in determining how to estimate the value of a guide outfitting business. They are undoubtedly unique businesses. Non-economic factors often drive the purchase of such a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574</w:t>
      </w:r>
      <w:r>
        <w:rPr>
          <w:rFonts w:ascii="arial" w:eastAsia="arial" w:hAnsi="arial" w:cs="arial"/>
          <w:color w:val="000000"/>
          <w:sz w:val="20"/>
          <w:lang w:val="en-US" w:eastAsia="en-US" w:bidi="ar-SA"/>
        </w:rPr>
        <w:t>  Both Mr. McCowan and Mr. Crosson had the difficult task of attempting to determine the fair market value of the business in circumstances in which normal business indicators are not the driving force in a purchase. Mr. Crosson attempted to capture these factors by basing his value on both tangible and intangible assets. With regard to the tangible assets, he relied almost exclusively on Ms. Clayton's analysis, while he applied his business judgment in giving value to certain intangible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575</w:t>
      </w:r>
      <w:r>
        <w:rPr>
          <w:rFonts w:ascii="arial" w:eastAsia="arial" w:hAnsi="arial" w:cs="arial"/>
          <w:color w:val="000000"/>
          <w:sz w:val="20"/>
          <w:lang w:val="en-US" w:eastAsia="en-US" w:bidi="ar-SA"/>
        </w:rPr>
        <w:t>  Mr. McCowan's report was driven to a large extent by his extensive knowledge as to how the sale of such businesses in fact operates. Based on his experience, he has a somewhat innate sense concerning the evaluation of such businesses, albeit he cannot provide any satisfactory documentation to backup certain of his judgments.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576</w:t>
      </w:r>
      <w:r>
        <w:rPr>
          <w:rFonts w:ascii="arial" w:eastAsia="arial" w:hAnsi="arial" w:cs="arial"/>
          <w:color w:val="000000"/>
          <w:sz w:val="20"/>
          <w:lang w:val="en-US" w:eastAsia="en-US" w:bidi="ar-SA"/>
        </w:rPr>
        <w:t>  Upon reflection and consideration, I find that Mr. Crosson's methodology is to be preferred. It provides a more objective model that allows a fuller and more complete comparison of the various sales. His approach is based on the premise that the transaction prices reflect market value for the entire business, comprised of both tangible and intangible assets. This is preferable to Mr. McCowan's analysis, which makes a series of judgments about the relative value of discrete components of each comparable as compared with the same component for Big Nine.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577</w:t>
      </w:r>
      <w:r>
        <w:rPr>
          <w:rFonts w:ascii="arial" w:eastAsia="arial" w:hAnsi="arial" w:cs="arial"/>
          <w:color w:val="000000"/>
          <w:sz w:val="20"/>
          <w:lang w:val="en-US" w:eastAsia="en-US" w:bidi="ar-SA"/>
        </w:rPr>
        <w:t>  Mr. Crosson's valuation is based on an adjusted net asset approach. While I accept his methodology, for the reasons that follow I have concluded that I cannot agree with the values he has assigned to either the tangible or intangible assets. In the result, I find that the shares of Big Nine were worth considerably more than the price Barry paid and that the sale of the BNT's Big Nine shares was improvident.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578</w:t>
      </w:r>
      <w:r>
        <w:rPr>
          <w:rFonts w:ascii="arial" w:eastAsia="arial" w:hAnsi="arial" w:cs="arial"/>
          <w:color w:val="000000"/>
          <w:sz w:val="20"/>
          <w:lang w:val="en-US" w:eastAsia="en-US" w:bidi="ar-SA"/>
        </w:rPr>
        <w:t>  Mr. Crosson did not independently value the tangible assets. He was instructed to accept Ms. Clayton's conclusions concerning the costs of the deeded land, buildings and infrastructure. Ms. Clayton herself acknowledged that her cost approach was problematic.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579</w:t>
      </w:r>
      <w:r>
        <w:rPr>
          <w:rFonts w:ascii="arial" w:eastAsia="arial" w:hAnsi="arial" w:cs="arial"/>
          <w:color w:val="000000"/>
          <w:sz w:val="20"/>
          <w:lang w:val="en-US" w:eastAsia="en-US" w:bidi="ar-SA"/>
        </w:rPr>
        <w:t>  A prime example concerns the 136 acres of deeded land which Ms. Clayton valued at $46,000. Such land does not trade independently but makes a guide outfitting business more attractive because of the security of tenure that comes with ownership. The deeded land is in an integral part of the guide outfitting area. It has been used continuously as the main camp and operation headquarters for the guiding territory.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580</w:t>
      </w:r>
      <w:r>
        <w:rPr>
          <w:rFonts w:ascii="arial" w:eastAsia="arial" w:hAnsi="arial" w:cs="arial"/>
          <w:color w:val="000000"/>
          <w:sz w:val="20"/>
          <w:lang w:val="en-US" w:eastAsia="en-US" w:bidi="ar-SA"/>
        </w:rPr>
        <w:t>  Comparable sales of deeded land within northern Rocky Mountain parks are non-existent and sales of deeded land with only fly-in access in northeast British Columbia were also non-existent. Ms. Clayton did find two sales of vacant land that at the date of purchase the land had no specific use. Both were purchased for the purpose of establishing a base camp for back country recreational purposes, not guide outfitting businesses. The first comparable was sold in November 2006 for $344 an acre, while the second comparable was sold in December 1999 for $623 per acre. Because the second comparable had more development potential, Ms. Clayton determined that the first comparable was the better indicator of value, and based on that comparable, Ms. Clayton then valued the deeded land at $46,800, being 136 acres at $344. Mr. Crosson used that value as part of his tangible asset calculation.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581</w:t>
      </w:r>
      <w:r>
        <w:rPr>
          <w:rFonts w:ascii="arial" w:eastAsia="arial" w:hAnsi="arial" w:cs="arial"/>
          <w:color w:val="000000"/>
          <w:sz w:val="20"/>
          <w:lang w:val="en-US" w:eastAsia="en-US" w:bidi="ar-SA"/>
        </w:rPr>
        <w:t>  Ms. Clayton's valuation of the deeded land is, in my opinion, of no assistance. The comparable she has used is located in another part of the province and its use has no relationship to the deeded land. While the comparable she selected may be qualitatively closest to the deeded land, I can give no weight to Ms. Clayton's land value. It is in no real sense comparable to Big Nine's deeded land. To rely on it to determine the value of the deeded land would be like relying on the value of a Honda Civic to determine the value of a Porsche. Both have four wheels and an engine, but the value of one in no way assists in valuing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582</w:t>
      </w:r>
      <w:r>
        <w:rPr>
          <w:rFonts w:ascii="arial" w:eastAsia="arial" w:hAnsi="arial" w:cs="arial"/>
          <w:color w:val="000000"/>
          <w:sz w:val="20"/>
          <w:lang w:val="en-US" w:eastAsia="en-US" w:bidi="ar-SA"/>
        </w:rPr>
        <w:t>  The deeded land is an integral part of this operation. Mr. McCowan values it at $400,000. Although that value is in some sense arbitrary, it is based on his experience in dealing with transactions concerning such properties. In my opinion, considerable weight must be given to his expertise in these matters. Mr. McCowan's value finds support in the April Letter, in which Barry values the deeded land at $500,000. I find the value of the deeded land value is far in excess of that attributed to it by Ms. Clayton. I accept Mr. McCowan's opinion that the deeded land has a value of $400,000.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583</w:t>
      </w:r>
      <w:r>
        <w:rPr>
          <w:rFonts w:ascii="arial" w:eastAsia="arial" w:hAnsi="arial" w:cs="arial"/>
          <w:color w:val="000000"/>
          <w:sz w:val="20"/>
          <w:lang w:val="en-US" w:eastAsia="en-US" w:bidi="ar-SA"/>
        </w:rPr>
        <w:t>  With regard to the building and infrastructure, Ms. Clayton concludes they have a present value of $927,300. In reaching this conclusion, she first determined what it would cost to construct the improvements new and then reduced that amount by physical and external depreciation.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584</w:t>
      </w:r>
      <w:r>
        <w:rPr>
          <w:rFonts w:ascii="arial" w:eastAsia="arial" w:hAnsi="arial" w:cs="arial"/>
          <w:color w:val="000000"/>
          <w:sz w:val="20"/>
          <w:lang w:val="en-US" w:eastAsia="en-US" w:bidi="ar-SA"/>
        </w:rPr>
        <w:t>  Physical depreciation was applied based on an expected economic life of 50 years for buildings. External depreciation reflects a loss of value caused by external influences to the property. In this regard, Ms. Clayton referenced several matters, including the fact that buildings included in the Park Use Permit Area cannot be maintained or upgraded without permission, pressure from encroaching oil and gas operations in the non-park portion of Big Nine's lands and resident hunter pressure which decreases the utility of certain camps. Ms. Clayton opines that because the freehold, licence and permit area are integrated parts of a whole operation, external depreciation affecting one affects all. In the result, after applying physical depreciation to the improvements, she then depreciated all improvements by a further 30% to reflect external depreciation.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585</w:t>
      </w:r>
      <w:r>
        <w:rPr>
          <w:rFonts w:ascii="arial" w:eastAsia="arial" w:hAnsi="arial" w:cs="arial"/>
          <w:color w:val="000000"/>
          <w:sz w:val="20"/>
          <w:lang w:val="en-US" w:eastAsia="en-US" w:bidi="ar-SA"/>
        </w:rPr>
        <w:t>  Ms. Clayton reached her conclusions without the benefit of the April Letter, which only surfaced after her report was completed. At trial, she testified that the April Letter did not change her views. She suggested that the values in the April Letter did not make sense and that the letter had been prepared for other purposes. She did not, however, ever discuss the April Letter with Barry.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586</w:t>
      </w:r>
      <w:r>
        <w:rPr>
          <w:rFonts w:ascii="arial" w:eastAsia="arial" w:hAnsi="arial" w:cs="arial"/>
          <w:color w:val="000000"/>
          <w:sz w:val="20"/>
          <w:lang w:val="en-US" w:eastAsia="en-US" w:bidi="ar-SA"/>
        </w:rPr>
        <w:t>  In the April Letter, Barry indicated that infrastructure capital expenditures since 1986 totalled $2,465,000 and estimated the cost of replacing the infrastructure at $2,795,000. At trial, Barry attempted to resile from the values set out in the letter. He suggested that they were done in haste and may not be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587</w:t>
      </w:r>
      <w:r>
        <w:rPr>
          <w:rFonts w:ascii="arial" w:eastAsia="arial" w:hAnsi="arial" w:cs="arial"/>
          <w:color w:val="000000"/>
          <w:sz w:val="20"/>
          <w:lang w:val="en-US" w:eastAsia="en-US" w:bidi="ar-SA"/>
        </w:rPr>
        <w:t>  I do not accept Barry's evidence that he prepared the letter in haste. The letter was of crucial import to him. The purposes of the letter were to explain to the new trustee what had occurred at Big Nine since 1986, the present situation and to urge that the business now be sold. The letter sets out with some precision the amounts spent over the past 10 years improving the infrastructure and support system. He notes that he had built in 10 years what should have been spread out over 25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588</w:t>
      </w:r>
      <w:r>
        <w:rPr>
          <w:rFonts w:ascii="arial" w:eastAsia="arial" w:hAnsi="arial" w:cs="arial"/>
          <w:color w:val="000000"/>
          <w:sz w:val="20"/>
          <w:lang w:val="en-US" w:eastAsia="en-US" w:bidi="ar-SA"/>
        </w:rPr>
        <w:t>  Barry wrote the April Letter long before any litigation was contemplated. He testified that this was his best estimate of the cost to rebuild the infrastructure assets. Barry had run Big Nine since 1986. He knew what the company had spent and where. He knew the costs to replace the existing structures. He acknowledged in his testimony that the Big Nine's books did not accurately reflect what had been spent on capital expenditures, because to the extent possible those expenditures were treated as expenses in the year they were incurred in order to reduce income and taxes. Such accounting practises help explain why Big Nine failed to return any monies to its shareholders between 1991 and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589</w:t>
      </w:r>
      <w:r>
        <w:rPr>
          <w:rFonts w:ascii="arial" w:eastAsia="arial" w:hAnsi="arial" w:cs="arial"/>
          <w:color w:val="000000"/>
          <w:sz w:val="20"/>
          <w:lang w:val="en-US" w:eastAsia="en-US" w:bidi="ar-SA"/>
        </w:rPr>
        <w:t>  I find the values set out in the April Letter reflect Barry's best estimate of the cost to reproduce the assets. Barry's views as set out in the April Letter are strong evidence of the value of Big Nine's tangible assets and must be considered in valuing those assets. Ms. Clayton's failure to consider those views compromises her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590</w:t>
      </w:r>
      <w:r>
        <w:rPr>
          <w:rFonts w:ascii="arial" w:eastAsia="arial" w:hAnsi="arial" w:cs="arial"/>
          <w:color w:val="000000"/>
          <w:sz w:val="20"/>
          <w:lang w:val="en-US" w:eastAsia="en-US" w:bidi="ar-SA"/>
        </w:rPr>
        <w:t>  The views of Barry and Ms. Clayton are not completely dissimilar. Ms. Clayton calculated the reproduction costs of the improvements at $2,321,300. Barry's estimate of $2,795,000 is approximately 20% higher. Both are estimates. They compare favourably with Barry's evidence of actual capital expenditures since 1986 of $2,465,000. I find the replacement cost of the infrastructure to be approximately $2,500,000.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591</w:t>
      </w:r>
      <w:r>
        <w:rPr>
          <w:rFonts w:ascii="arial" w:eastAsia="arial" w:hAnsi="arial" w:cs="arial"/>
          <w:color w:val="000000"/>
          <w:sz w:val="20"/>
          <w:lang w:val="en-US" w:eastAsia="en-US" w:bidi="ar-SA"/>
        </w:rPr>
        <w:t>  The question then becomes one of depreciation. In concluding that the improvements were worth $927,300, Ms. Clayton applied both physical and external depreciation. Total depreciation was approximately 60%. In his cost analysis Mr. McCowan applied a depreciation factor of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592</w:t>
      </w:r>
      <w:r>
        <w:rPr>
          <w:rFonts w:ascii="arial" w:eastAsia="arial" w:hAnsi="arial" w:cs="arial"/>
          <w:color w:val="000000"/>
          <w:sz w:val="20"/>
          <w:lang w:val="en-US" w:eastAsia="en-US" w:bidi="ar-SA"/>
        </w:rPr>
        <w:t>  The evidence does not support Ms. Clayton's blanket external depreciation of 30%. To support that deduction, she relied on the fact that buildings included in the Park Use Permit Area cannot be maintained or upgraded without permission, pressure from encroaching oil and gas operations in the non-park portion of Big Nine's lands and resident hunter pressure, which decreases the utility of certain camps. The evidence indicated that resident hunts have, in fact, fallen in recent years. The great majority of Big Nine's property is in protected parkland and not impacted by oil and gas exploration. A 30% across the board deduction for external depreciation is not warranted. Based on the evidence, I find that an appropriate factor for all depreciation would be 50%. Applying that depreciation factor to the replacement cost value of $2,500,000, I find that the buildings and improvements are valued at $1,250,000.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593</w:t>
      </w:r>
      <w:r>
        <w:rPr>
          <w:rFonts w:ascii="arial" w:eastAsia="arial" w:hAnsi="arial" w:cs="arial"/>
          <w:color w:val="000000"/>
          <w:sz w:val="20"/>
          <w:lang w:val="en-US" w:eastAsia="en-US" w:bidi="ar-SA"/>
        </w:rPr>
        <w:t>  Mr. Crosson valued Big Nine's intangible assets in a range between $600,000 and $850,000. The intangible assets included the guide outfitter's certificate, other license and land use rights, customer contracts and relationships, trade names, assembled work force, supplier relationships and good will. In determining the value of the intangible assets, Mr. Crosson considered data in the Clayton and McCowan reports concerning transactions involving other guide outfitting businesses. He concluded that their reports contained sufficient data to estimate the values of the tangible assets included in the sale transactions. With that information, it was then possible for him to estimate that portion of the transaction price that related to intangible value by subtracting the tangible values from the transaction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594</w:t>
      </w:r>
      <w:r>
        <w:rPr>
          <w:rFonts w:ascii="arial" w:eastAsia="arial" w:hAnsi="arial" w:cs="arial"/>
          <w:color w:val="000000"/>
          <w:sz w:val="20"/>
          <w:lang w:val="en-US" w:eastAsia="en-US" w:bidi="ar-SA"/>
        </w:rPr>
        <w:t>  Mr. Crosson noted that while the comparable transactions were in similar businesses, the comparables varied from Big Nine in size, location, quota, quality and other respects. Given the significant variance in the intangible values observed in the comparable transactions, it was necessary for him to apply judgment in determining the appropriate range of intangible values to adopt.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595</w:t>
      </w:r>
      <w:r>
        <w:rPr>
          <w:rFonts w:ascii="arial" w:eastAsia="arial" w:hAnsi="arial" w:cs="arial"/>
          <w:color w:val="000000"/>
          <w:sz w:val="20"/>
          <w:lang w:val="en-US" w:eastAsia="en-US" w:bidi="ar-SA"/>
        </w:rPr>
        <w:t>  In reaching his conclusions, Mr. Crosson did not consider four transactions which took place subsequent to February 15, 2004. He did, however, provide details of those transactions and his report sets out what would be the effect if those transactions were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596</w:t>
      </w:r>
      <w:r>
        <w:rPr>
          <w:rFonts w:ascii="arial" w:eastAsia="arial" w:hAnsi="arial" w:cs="arial"/>
          <w:color w:val="000000"/>
          <w:sz w:val="20"/>
          <w:lang w:val="en-US" w:eastAsia="en-US" w:bidi="ar-SA"/>
        </w:rPr>
        <w:t>  Mr. Crosson acknowledges that the appropriate range of intangible asset value is a matter of judgment. He viewed the transaction data from three perspectives:</w:t>
      </w:r>
      <w:r>
        <w:rPr>
          <w:rFonts w:ascii="arial" w:eastAsia="arial" w:hAnsi="arial" w:cs="arial"/>
          <w:sz w:val="20"/>
          <w:lang w:val="en-US" w:eastAsia="en-US" w:bidi="ar-SA"/>
        </w:rPr>
        <w:cr/>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the indicated transaction value of the intangible assets;</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considering indicated intangible asset values in relation to the sheep quota; and</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considering indicated intangible asset values in relation to revenue.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597</w:t>
      </w:r>
      <w:r>
        <w:rPr>
          <w:rFonts w:ascii="arial" w:eastAsia="arial" w:hAnsi="arial" w:cs="arial"/>
          <w:color w:val="000000"/>
          <w:sz w:val="20"/>
          <w:lang w:val="en-US" w:eastAsia="en-US" w:bidi="ar-SA"/>
        </w:rPr>
        <w:t>  Mr. Crosson concluded that the indicated intangible asset value was in the following ranges:</w:t>
      </w:r>
      <w:r>
        <w:rPr>
          <w:rFonts w:ascii="arial" w:eastAsia="arial" w:hAnsi="arial" w:cs="arial"/>
          <w:sz w:val="20"/>
          <w:lang w:val="en-US" w:eastAsia="en-US" w:bidi="ar-SA"/>
        </w:rPr>
        <w:cr/>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absolute value: $600,000 to $850,000</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sheep quota: $540,000 to $600,000</w:t>
      </w:r>
    </w:p>
    <w:p>
      <w:pPr>
        <w:numPr>
          <w:numId w:val="4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revenue multiple: $990,000 to $1,125,000.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598</w:t>
      </w:r>
      <w:r>
        <w:rPr>
          <w:rFonts w:ascii="arial" w:eastAsia="arial" w:hAnsi="arial" w:cs="arial"/>
          <w:color w:val="000000"/>
          <w:sz w:val="20"/>
          <w:lang w:val="en-US" w:eastAsia="en-US" w:bidi="ar-SA"/>
        </w:rPr>
        <w:t>  Taking all factors into account, he concluded that the indicated range of the intangible asset value would be $600,000 to $850,000.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599</w:t>
      </w:r>
      <w:r>
        <w:rPr>
          <w:rFonts w:ascii="arial" w:eastAsia="arial" w:hAnsi="arial" w:cs="arial"/>
          <w:color w:val="000000"/>
          <w:sz w:val="20"/>
          <w:lang w:val="en-US" w:eastAsia="en-US" w:bidi="ar-SA"/>
        </w:rPr>
        <w:t>  The most controversial aspects of Mr. Crosson's intangible asset approach concerns his handling of adjusted revenues and hindsight transactions. With regard to revenues, Big Nine's reported revenue was approximately $1.2 million. Mr. Crosson adjusted that revenue downward on the basis that it included a higher level of customer disbursements being included in revenue, intensive hunting in the Big Nine area and revenues from resident hunters which results in higher revenues without corresponding profits. He justified using reduced revenue numbers on the supposition that a potential purchaser would likely not operate Big Nine in the same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600</w:t>
      </w:r>
      <w:r>
        <w:rPr>
          <w:rFonts w:ascii="arial" w:eastAsia="arial" w:hAnsi="arial" w:cs="arial"/>
          <w:color w:val="000000"/>
          <w:sz w:val="20"/>
          <w:lang w:val="en-US" w:eastAsia="en-US" w:bidi="ar-SA"/>
        </w:rPr>
        <w:t>  Those revenue adjustments are problematic. They do not reflect how Big Nine in fact operated. Even with adjusted revenues, Big Nine's sheep multiple is between $57,000 and $64,000 per sheep, an amount in excess of the comparable's average.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601</w:t>
      </w:r>
      <w:r>
        <w:rPr>
          <w:rFonts w:ascii="arial" w:eastAsia="arial" w:hAnsi="arial" w:cs="arial"/>
          <w:color w:val="000000"/>
          <w:sz w:val="20"/>
          <w:lang w:val="en-US" w:eastAsia="en-US" w:bidi="ar-SA"/>
        </w:rPr>
        <w:t>  By removing the hindsight transactions, Mr. Crosson further reduced the value of Big Nine's intangible assets. I note that the intangible value arising from the 2004 Stone Mountain sale was $1,380,000 while the intangible value assigned to the Terminus sale was $1,250,000. If the hindsight transactions are taken into account, the values attributed to the intangible assets increase in all categories. While Mr. Crosson did provide the statistical analysis of the hindsight transactions, his evidence did not include his opinion as to the range of intangible asset value if the hindsight transactions were included.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602</w:t>
      </w:r>
      <w:r>
        <w:rPr>
          <w:rFonts w:ascii="arial" w:eastAsia="arial" w:hAnsi="arial" w:cs="arial"/>
          <w:color w:val="000000"/>
          <w:sz w:val="20"/>
          <w:lang w:val="en-US" w:eastAsia="en-US" w:bidi="ar-SA"/>
        </w:rPr>
        <w:t>  I think it is clear that if Mr. Crosson had considered the hindsight transactions, the value of intangible assets would have increased by at least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603</w:t>
      </w:r>
      <w:r>
        <w:rPr>
          <w:rFonts w:ascii="arial" w:eastAsia="arial" w:hAnsi="arial" w:cs="arial"/>
          <w:color w:val="000000"/>
          <w:sz w:val="20"/>
          <w:lang w:val="en-US" w:eastAsia="en-US" w:bidi="ar-SA"/>
        </w:rPr>
        <w:t xml:space="preserve">  Mr. Crosson's conclusion was that the </w:t>
      </w:r>
      <w:r>
        <w:rPr>
          <w:rFonts w:ascii="arial" w:eastAsia="arial" w:hAnsi="arial" w:cs="arial"/>
          <w:i/>
          <w:color w:val="000000"/>
          <w:sz w:val="20"/>
          <w:lang w:val="en-US" w:eastAsia="en-US" w:bidi="ar-SA"/>
        </w:rPr>
        <w:t>en bloc</w:t>
      </w:r>
      <w:r>
        <w:rPr>
          <w:rFonts w:ascii="arial" w:eastAsia="arial" w:hAnsi="arial" w:cs="arial"/>
          <w:color w:val="000000"/>
          <w:sz w:val="20"/>
          <w:lang w:val="en-US" w:eastAsia="en-US" w:bidi="ar-SA"/>
        </w:rPr>
        <w:t xml:space="preserve"> fair market value of the Big Nine shares was between $1.6 million and $1.9 million. In reaching those numbers, he accepted Ms. Clayton's deeded land calculation of $47,000 and her building and infrastructure calculation of $927,000. For the reasons set out above, I find that the deeded land should be valued at $400,000 while the building and infrastructure should be valued at $1,250,000. Taking those items into account and together with a $200,000 increase in Mr. Crosson's calculated intangible assets, the adjusted net asset value increases by $876,000, leading to a determination that the </w:t>
      </w:r>
      <w:r>
        <w:rPr>
          <w:rFonts w:ascii="arial" w:eastAsia="arial" w:hAnsi="arial" w:cs="arial"/>
          <w:i/>
          <w:color w:val="000000"/>
          <w:sz w:val="20"/>
          <w:lang w:val="en-US" w:eastAsia="en-US" w:bidi="ar-SA"/>
        </w:rPr>
        <w:t>en bloc</w:t>
      </w:r>
      <w:r>
        <w:rPr>
          <w:rFonts w:ascii="arial" w:eastAsia="arial" w:hAnsi="arial" w:cs="arial"/>
          <w:color w:val="000000"/>
          <w:sz w:val="20"/>
          <w:lang w:val="en-US" w:eastAsia="en-US" w:bidi="ar-SA"/>
        </w:rPr>
        <w:t xml:space="preserve"> fair market value of the shares was between $2,476,000 and $2,776,000.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604</w:t>
      </w:r>
      <w:r>
        <w:rPr>
          <w:rFonts w:ascii="arial" w:eastAsia="arial" w:hAnsi="arial" w:cs="arial"/>
          <w:color w:val="000000"/>
          <w:sz w:val="20"/>
          <w:lang w:val="en-US" w:eastAsia="en-US" w:bidi="ar-SA"/>
        </w:rPr>
        <w:t>  This conclusion is consistent with the sale price of the three closest comparables, being Muskwa, Stone Mountain and Terminus. The evidence discloses that Muskwa sold in 1999 for $2.7 million, Stone Mountain in 2004 for $4.1 million and Terminus in 2005 for $2.5 million. Mr. McCowan, the expert most familiar with the properties, opined that Muskwa and Big Nine were very similar. He believed Big Nine to be superior to Terminus, while Stone Mountain, in turn, was superior to Big Nine.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605</w:t>
      </w:r>
      <w:r>
        <w:rPr>
          <w:rFonts w:ascii="arial" w:eastAsia="arial" w:hAnsi="arial" w:cs="arial"/>
          <w:color w:val="000000"/>
          <w:sz w:val="20"/>
          <w:lang w:val="en-US" w:eastAsia="en-US" w:bidi="ar-SA"/>
        </w:rPr>
        <w:t>  Viewed on a pro rata basis, the</w:t>
      </w:r>
      <w:r>
        <w:rPr>
          <w:rFonts w:ascii="arial" w:eastAsia="arial" w:hAnsi="arial" w:cs="arial"/>
          <w:i/>
          <w:color w:val="000000"/>
          <w:sz w:val="20"/>
          <w:lang w:val="en-US" w:eastAsia="en-US" w:bidi="ar-SA"/>
        </w:rPr>
        <w:t xml:space="preserve"> en bloc</w:t>
      </w:r>
      <w:r>
        <w:rPr>
          <w:rFonts w:ascii="arial" w:eastAsia="arial" w:hAnsi="arial" w:cs="arial"/>
          <w:color w:val="000000"/>
          <w:sz w:val="20"/>
          <w:lang w:val="en-US" w:eastAsia="en-US" w:bidi="ar-SA"/>
        </w:rPr>
        <w:t xml:space="preserve"> values outlined above would equate to a range of rateable value for the subject shares of between $1,375,665 and $1,542,345.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606</w:t>
      </w:r>
      <w:r>
        <w:rPr>
          <w:rFonts w:ascii="arial" w:eastAsia="arial" w:hAnsi="arial" w:cs="arial"/>
          <w:color w:val="000000"/>
          <w:sz w:val="20"/>
          <w:lang w:val="en-US" w:eastAsia="en-US" w:bidi="ar-SA"/>
        </w:rPr>
        <w:t>  Mr. Crosson, in his report, suggested that a discount should be applied to his rateable values to take into account that the BNT only controls 55.56% of the shares. In addition, Mr. Crosson postulates that a discount is also warranted because of possible uncertainty given Barry's role as a key employee of Big Nine and the suggestion that he would not agree to be bound by a non-compete or non-solicitation agreement with a buyer of the Big Nine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607</w:t>
      </w:r>
      <w:r>
        <w:rPr>
          <w:rFonts w:ascii="arial" w:eastAsia="arial" w:hAnsi="arial" w:cs="arial"/>
          <w:color w:val="000000"/>
          <w:sz w:val="20"/>
          <w:lang w:val="en-US" w:eastAsia="en-US" w:bidi="ar-SA"/>
        </w:rPr>
        <w:t>  The circumstances of this case do not warrant any discount. In the spring of 2003, Barry himself had suggested that the owners join together to sell Big Nine. It was a company in which he held a significant financial interest and it would be in his interest to maximize the sale price. Further, Barry, as trustee of the King shares, had a duty and obligation to the King family to maximize their investment. I find it inherently improbable that Barry would have been a roadblock to a possible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608</w:t>
      </w:r>
      <w:r>
        <w:rPr>
          <w:rFonts w:ascii="arial" w:eastAsia="arial" w:hAnsi="arial" w:cs="arial"/>
          <w:color w:val="000000"/>
          <w:sz w:val="20"/>
          <w:lang w:val="en-US" w:eastAsia="en-US" w:bidi="ar-SA"/>
        </w:rPr>
        <w:t>  I have found that the Big Nine shares had a value of between $1,375,665 and $1,542,345. The Big Nine shares were sold for $888,889, leaving a shortfall of between $486,776 and $653,456. The plaintiffs held 60% of the beneficial interest. On the basis of these calculations, their loss is somewhere between $292,605 and $392,073.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609</w:t>
      </w:r>
      <w:r>
        <w:rPr>
          <w:rFonts w:ascii="arial" w:eastAsia="arial" w:hAnsi="arial" w:cs="arial"/>
          <w:color w:val="000000"/>
          <w:sz w:val="20"/>
          <w:lang w:val="en-US" w:eastAsia="en-US" w:bidi="ar-SA"/>
        </w:rPr>
        <w:t>  The court's task is to assess damages. Howard sold the Big Nine shares without authority and at an improvident price. If the shares had been properly marketed, the sales price would have been well in excess of what Barry paid. Damages are to be assessed, not calculated. It is impossible to know now what the sales price would have been. I assess the plaintiffs' damages for breach of trust arising from the Big Nine Share Transaction at $350,000.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610</w:t>
      </w:r>
      <w:r>
        <w:rPr>
          <w:rFonts w:ascii="arial" w:eastAsia="arial" w:hAnsi="arial" w:cs="arial"/>
          <w:color w:val="000000"/>
          <w:sz w:val="20"/>
          <w:lang w:val="en-US" w:eastAsia="en-US" w:bidi="ar-SA"/>
        </w:rPr>
        <w:t>  I have found that Eugene assisted in the breach of trust. Howard and Eugene are jointly and severally liable for the assessed damages, subject to consideration of Howard's submissions that he should be excused from any breach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611</w:t>
      </w:r>
      <w:r>
        <w:rPr>
          <w:rFonts w:ascii="arial" w:eastAsia="arial" w:hAnsi="arial" w:cs="arial"/>
          <w:color w:val="000000"/>
          <w:sz w:val="20"/>
          <w:lang w:val="en-US" w:eastAsia="en-US" w:bidi="ar-SA"/>
        </w:rPr>
        <w:t>  Pre-judgment interest on the assessed damages will run from January 1, 2006. That reflects the likely date of sale if the shares had been properly marketed.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 GRO/GRT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612</w:t>
      </w:r>
      <w:r>
        <w:rPr>
          <w:rFonts w:ascii="arial" w:eastAsia="arial" w:hAnsi="arial" w:cs="arial"/>
          <w:color w:val="000000"/>
          <w:sz w:val="20"/>
          <w:lang w:val="en-US" w:eastAsia="en-US" w:bidi="ar-SA"/>
        </w:rPr>
        <w:t>  The shares of GRO have been held in trust since its incorporation. Consecutive trustees signed declarations that the shares were held in trust for Harold, Eugene and Tommy, or their nominees. Pursuant to the declaration signed on February 24, 2004, legal title to the shares presently resides with William. The issues that arise include determination of the terms upon which William holds the shares and who were and presently are the beneficial owners of the GRO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613</w:t>
      </w:r>
      <w:r>
        <w:rPr>
          <w:rFonts w:ascii="arial" w:eastAsia="arial" w:hAnsi="arial" w:cs="arial"/>
          <w:color w:val="000000"/>
          <w:sz w:val="20"/>
          <w:lang w:val="en-US" w:eastAsia="en-US" w:bidi="ar-SA"/>
        </w:rPr>
        <w:t>  To resolve the issues concerning the nature of the trust and to determine the initial beneficial shareholders requires a review of the events that took place in 1982 when GRO was incorporated. The question concerning who presently holds the beneficial interest turns on the terms of the Distribution Letter.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 Background to Creation of GRO/ GRT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614</w:t>
      </w:r>
      <w:r>
        <w:rPr>
          <w:rFonts w:ascii="arial" w:eastAsia="arial" w:hAnsi="arial" w:cs="arial"/>
          <w:color w:val="000000"/>
          <w:sz w:val="20"/>
          <w:lang w:val="en-US" w:eastAsia="en-US" w:bidi="ar-SA"/>
        </w:rPr>
        <w:t>  On December 31, 1981, Harold, Eugene and Stocks entered into the Beattie Purchase. Harold and Eugene intended to finance their share of the purchase from funds they were going to borrow from Stocks.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615</w:t>
      </w:r>
      <w:r>
        <w:rPr>
          <w:rFonts w:ascii="arial" w:eastAsia="arial" w:hAnsi="arial" w:cs="arial"/>
          <w:color w:val="000000"/>
          <w:sz w:val="20"/>
          <w:lang w:val="en-US" w:eastAsia="en-US" w:bidi="ar-SA"/>
        </w:rPr>
        <w:t>  GRO was incorporated on May 13, 1982 to complete the Beattie Purchase. Four common shares were issued to Gary, who signed a declaration of trust declaring that he held the shares as a bare trustee in trust for Harold, Eugene, Stocks and Tommy, or their respective nominees.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616</w:t>
      </w:r>
      <w:r>
        <w:rPr>
          <w:rFonts w:ascii="arial" w:eastAsia="arial" w:hAnsi="arial" w:cs="arial"/>
          <w:color w:val="000000"/>
          <w:sz w:val="20"/>
          <w:lang w:val="en-US" w:eastAsia="en-US" w:bidi="ar-SA"/>
        </w:rPr>
        <w:t>  Harold and Eugene contemplated that their interest in GRO would be held by a Canadian-controlled trust similar to the BNT. Harold wanted the interest held in a separate trust because Davis was not a beneficiary of the BNT.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617</w:t>
      </w:r>
      <w:r>
        <w:rPr>
          <w:rFonts w:ascii="arial" w:eastAsia="arial" w:hAnsi="arial" w:cs="arial"/>
          <w:color w:val="000000"/>
          <w:sz w:val="20"/>
          <w:lang w:val="en-US" w:eastAsia="en-US" w:bidi="ar-SA"/>
        </w:rPr>
        <w:t>  On May 17, 1982, a Master Trust Agreement was signed by Harold, Eugene and Stocks as grantors naming Gary as trustee. The agreement stated the grantors were transferring to the trustee the property set out on Schedule "A". Schedule "A" was blank. The beneficiaries were Harold, Eugene, Stocks and Tommy, or their assigns. The agreement set out that the beneficiaries could assign their interest to another trust. Gary never executed the Master Trust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618</w:t>
      </w:r>
      <w:r>
        <w:rPr>
          <w:rFonts w:ascii="arial" w:eastAsia="arial" w:hAnsi="arial" w:cs="arial"/>
          <w:color w:val="000000"/>
          <w:sz w:val="20"/>
          <w:lang w:val="en-US" w:eastAsia="en-US" w:bidi="ar-SA"/>
        </w:rPr>
        <w:t>  When Stocks was unable to provide the funds necessary to close the Beattie Purchase, Harold and Eugene turned to the BNT. Sometime in 1982, Big Nine declared a dividend of $300,000, $100,000 of which was paid to Gary for his own account, with the balance of $200,000 being paid to the BNT. At Harold and Eugene's request, Gary used that money to pay Harold and Eugene's share of the Beattie Purchase. BNT money was subsequently used to pay Harold and Eugene's share of the Stocks Note and the Lindley Property acquisition.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619</w:t>
      </w:r>
      <w:r>
        <w:rPr>
          <w:rFonts w:ascii="arial" w:eastAsia="arial" w:hAnsi="arial" w:cs="arial"/>
          <w:color w:val="000000"/>
          <w:sz w:val="20"/>
          <w:lang w:val="en-US" w:eastAsia="en-US" w:bidi="ar-SA"/>
        </w:rPr>
        <w:t>  Tommy advanced his own funds to purchase his GRO interest. He left the mechanics of the transaction to Harold and Eugene.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620</w:t>
      </w:r>
      <w:r>
        <w:rPr>
          <w:rFonts w:ascii="arial" w:eastAsia="arial" w:hAnsi="arial" w:cs="arial"/>
          <w:color w:val="000000"/>
          <w:sz w:val="20"/>
          <w:lang w:val="en-US" w:eastAsia="en-US" w:bidi="ar-SA"/>
        </w:rPr>
        <w:t>  The December 31, 1982 unaudited financial statements of the BNT record a $200,000 investment in GRO. The unaudited GRO financial statements indicate that all its shares are held by the GRT.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621</w:t>
      </w:r>
      <w:r>
        <w:rPr>
          <w:rFonts w:ascii="arial" w:eastAsia="arial" w:hAnsi="arial" w:cs="arial"/>
          <w:color w:val="000000"/>
          <w:sz w:val="20"/>
          <w:lang w:val="en-US" w:eastAsia="en-US" w:bidi="ar-SA"/>
        </w:rPr>
        <w:t>  In the years subsequent to the incorporation of GRO, both Harold and Eugene have purported to nominate their children as their nominees pursuant to the declaration of trust of May 13, 1982. The shares, however, were never transferred and continued to be held in trust, first by Gary, then Audrey, and subsequently William, in whose name the shares are presently registered.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622</w:t>
      </w:r>
      <w:r>
        <w:rPr>
          <w:rFonts w:ascii="arial" w:eastAsia="arial" w:hAnsi="arial" w:cs="arial"/>
          <w:color w:val="000000"/>
          <w:sz w:val="20"/>
          <w:lang w:val="en-US" w:eastAsia="en-US" w:bidi="ar-SA"/>
        </w:rPr>
        <w:t>  In 2004, Tommy and Harold demanded William transfer the shares into their names. When William refused, they filed the initial petition in this litigation.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iii. Initial Beneficial Ownership of GRO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623</w:t>
      </w:r>
      <w:r>
        <w:rPr>
          <w:rFonts w:ascii="arial" w:eastAsia="arial" w:hAnsi="arial" w:cs="arial"/>
          <w:color w:val="000000"/>
          <w:sz w:val="20"/>
          <w:lang w:val="en-US" w:eastAsia="en-US" w:bidi="ar-SA"/>
        </w:rPr>
        <w:t>  At the commencement of the litigation, Harold and Tommy took the position that the GRT was a bare trust of which they were each the beneficiary. They submitted that William, as a bare trustee, had a duty to transfer the shares to them on demand.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624</w:t>
      </w:r>
      <w:r>
        <w:rPr>
          <w:rFonts w:ascii="arial" w:eastAsia="arial" w:hAnsi="arial" w:cs="arial"/>
          <w:color w:val="000000"/>
          <w:sz w:val="20"/>
          <w:lang w:val="en-US" w:eastAsia="en-US" w:bidi="ar-SA"/>
        </w:rPr>
        <w:t>  Eugene and Howard submitted that the GRT was more than a bare trust. They submitted that the purpose of the GRT was to make the GRO a Canadian-controlled corporation for tax purposes. They submit this intent would be defeated if the GRT was a bare trust. They further submit that the BNT is the beneficial owner of two-thirds of the GRO stock, consistent with the manner in which the matter was recorded in the BNT financial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625</w:t>
      </w:r>
      <w:r>
        <w:rPr>
          <w:rFonts w:ascii="arial" w:eastAsia="arial" w:hAnsi="arial" w:cs="arial"/>
          <w:color w:val="000000"/>
          <w:sz w:val="20"/>
          <w:lang w:val="en-US" w:eastAsia="en-US" w:bidi="ar-SA"/>
        </w:rPr>
        <w:t>  After the evidence unfolded concerning the BNT funding of the purchase of the GRO's assets, the plaintiffs modified their position insofar as Harold was concerned. They conceded that Harold and Eugene could not hold a beneficial interest in the GRO shares. They submit instead that Gary, in May 1982, pursuant to the distribution provisions of the BNT Trust Agreement, distributed $200,000 to the beneficiaries and the beneficiaries, in turn, used those funds to personally invest in GRO. In their submission, the beneficial interest in Eugene's GRO shares are held by Jennifer and Julie, while the interest in Harold's shares are held by Lee and Virginia. The plaintiffs concede that if the funds were distributed then Davis can have no interest in the GRO shares because he was not a beneficiary of the BNT at the time of the distribution.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626</w:t>
      </w:r>
      <w:r>
        <w:rPr>
          <w:rFonts w:ascii="arial" w:eastAsia="arial" w:hAnsi="arial" w:cs="arial"/>
          <w:color w:val="000000"/>
          <w:sz w:val="20"/>
          <w:lang w:val="en-US" w:eastAsia="en-US" w:bidi="ar-SA"/>
        </w:rPr>
        <w:t>  In support of their submission, the plaintiffs submit that the BNT Trust Agreement did not contain a power to invest in another corporation. They submit that Gary would have been in breach of trust if he had invested BNT funds in GRO, but there would be no breach if the funds had been first distributed to the beneficiaries who, in turn, then made the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627</w:t>
      </w:r>
      <w:r>
        <w:rPr>
          <w:rFonts w:ascii="arial" w:eastAsia="arial" w:hAnsi="arial" w:cs="arial"/>
          <w:color w:val="000000"/>
          <w:sz w:val="20"/>
          <w:lang w:val="en-US" w:eastAsia="en-US" w:bidi="ar-SA"/>
        </w:rPr>
        <w:t xml:space="preserve">  The plaintiffs submit that if the terms of a transaction are ambiguous the court should avoid an interpretation which would involve illegal conduct: </w:t>
      </w:r>
      <w:r>
        <w:rPr>
          <w:rFonts w:ascii="arial" w:eastAsia="arial" w:hAnsi="arial" w:cs="arial"/>
          <w:i/>
          <w:color w:val="000000"/>
          <w:sz w:val="20"/>
          <w:lang w:val="en-US" w:eastAsia="en-US" w:bidi="ar-SA"/>
        </w:rPr>
        <w:t>Perry v. Brandon</w:t>
      </w:r>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shd w:val="clear" w:color="auto" w:fill="FFFFFF"/>
            <w:lang w:val="en-US" w:eastAsia="en-US" w:bidi="ar-SA"/>
          </w:rPr>
          <w:t>(1914), 32 O.L.R. 94</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Parrish &amp; Heimbecker Ltd. v. All Peace Auctions Ltd.</w:t>
      </w:r>
      <w:r>
        <w:rPr>
          <w:rFonts w:ascii="arial" w:eastAsia="arial" w:hAnsi="arial" w:cs="arial"/>
          <w:color w:val="000000"/>
          <w:sz w:val="20"/>
          <w:lang w:val="en-US" w:eastAsia="en-US" w:bidi="ar-SA"/>
        </w:rPr>
        <w:t xml:space="preserve">, </w:t>
      </w:r>
      <w:hyperlink r:id="rId403" w:history="1">
        <w:r>
          <w:rPr>
            <w:rFonts w:ascii="arial" w:eastAsia="arial" w:hAnsi="arial" w:cs="arial"/>
            <w:i/>
            <w:color w:val="0077CC"/>
            <w:sz w:val="20"/>
            <w:u w:val="single"/>
            <w:shd w:val="clear" w:color="auto" w:fill="FFFFFF"/>
            <w:lang w:val="en-US" w:eastAsia="en-US" w:bidi="ar-SA"/>
          </w:rPr>
          <w:t>2001 ABQB 1104</w:t>
        </w:r>
      </w:hyperlink>
      <w:r>
        <w:rPr>
          <w:rFonts w:ascii="arial" w:eastAsia="arial" w:hAnsi="arial" w:cs="arial"/>
          <w:color w:val="000000"/>
          <w:sz w:val="20"/>
          <w:lang w:val="en-US" w:eastAsia="en-US" w:bidi="ar-SA"/>
        </w:rPr>
        <w:t>. In this case, they submit that if the court accepts the plaintiffs' theory that the monies were distributed pursuant to the express terms of the BNT Trust Agreement, no issue of a breach of trust arises.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628</w:t>
      </w:r>
      <w:r>
        <w:rPr>
          <w:rFonts w:ascii="arial" w:eastAsia="arial" w:hAnsi="arial" w:cs="arial"/>
          <w:color w:val="000000"/>
          <w:sz w:val="20"/>
          <w:lang w:val="en-US" w:eastAsia="en-US" w:bidi="ar-SA"/>
        </w:rPr>
        <w:t xml:space="preserve">  The difficulty with the plaintiffs' submission is that there is no evidence of a distribution to the beneficiaries. If the money had been distributed first to the beneficiaries, it would have been taxable in their hands. No taxes were paid. The financial statements of the BNT record an investment on the part of the BNT in the GRO shares. While the unaudited financial statements are hearsay, they are admissible as evidence: </w:t>
      </w:r>
      <w:r>
        <w:rPr>
          <w:rFonts w:ascii="arial" w:eastAsia="arial" w:hAnsi="arial" w:cs="arial"/>
          <w:i/>
          <w:color w:val="000000"/>
          <w:sz w:val="20"/>
          <w:lang w:val="en-US" w:eastAsia="en-US" w:bidi="ar-SA"/>
        </w:rPr>
        <w:t>Toronto Dominion Bank v. Turk</w:t>
      </w:r>
      <w:r>
        <w:rPr>
          <w:rFonts w:ascii="arial" w:eastAsia="arial" w:hAnsi="arial" w:cs="arial"/>
          <w:color w:val="000000"/>
          <w:sz w:val="20"/>
          <w:lang w:val="en-US" w:eastAsia="en-US" w:bidi="ar-SA"/>
        </w:rPr>
        <w:t xml:space="preserve">, </w:t>
      </w:r>
      <w:hyperlink r:id="rId404" w:history="1">
        <w:r>
          <w:rPr>
            <w:rFonts w:ascii="arial" w:eastAsia="arial" w:hAnsi="arial" w:cs="arial"/>
            <w:i/>
            <w:color w:val="0077CC"/>
            <w:sz w:val="20"/>
            <w:u w:val="single"/>
            <w:shd w:val="clear" w:color="auto" w:fill="FFFFFF"/>
            <w:lang w:val="en-US" w:eastAsia="en-US" w:bidi="ar-SA"/>
          </w:rPr>
          <w:t>[1997] O.J. No. 2669</w:t>
        </w:r>
      </w:hyperlink>
      <w:r>
        <w:rPr>
          <w:rFonts w:ascii="arial" w:eastAsia="arial" w:hAnsi="arial" w:cs="arial"/>
          <w:color w:val="000000"/>
          <w:sz w:val="20"/>
          <w:lang w:val="en-US" w:eastAsia="en-US" w:bidi="ar-SA"/>
        </w:rPr>
        <w:t xml:space="preserve"> (Ct. J. (Gen. Div.)).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629</w:t>
      </w:r>
      <w:r>
        <w:rPr>
          <w:rFonts w:ascii="arial" w:eastAsia="arial" w:hAnsi="arial" w:cs="arial"/>
          <w:color w:val="000000"/>
          <w:sz w:val="20"/>
          <w:lang w:val="en-US" w:eastAsia="en-US" w:bidi="ar-SA"/>
        </w:rPr>
        <w:t>  I find it inherently improbable that Gary made a distribution to the beneficiaries of the BNT in order for them to invest in the GRO shares. The beneficiaries at this time were all minors. Such an investment would be contrary to Harold's expressed intention of benefiting Davis. There is no contemporary evidence that such a distribution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630</w:t>
      </w:r>
      <w:r>
        <w:rPr>
          <w:rFonts w:ascii="arial" w:eastAsia="arial" w:hAnsi="arial" w:cs="arial"/>
          <w:color w:val="000000"/>
          <w:sz w:val="20"/>
          <w:lang w:val="en-US" w:eastAsia="en-US" w:bidi="ar-SA"/>
        </w:rPr>
        <w:t>  I find that the BNT did, in fact, invest in GRO. In this regard, Gary followed the instructions he received from Harold and Eugene. The niceties of trust law were clearly not followed in that the investment was not authorized. That in itself, however, does not lead to the conclusion that it did not occur. The reality is that in May 1982, Harold and Eugene had no way of funding their share of the purchase. The only money they could access was in the BNT and Gary was only too willing to accommodate their request to use those funds for the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631</w:t>
      </w:r>
      <w:r>
        <w:rPr>
          <w:rFonts w:ascii="arial" w:eastAsia="arial" w:hAnsi="arial" w:cs="arial"/>
          <w:color w:val="000000"/>
          <w:sz w:val="20"/>
          <w:lang w:val="en-US" w:eastAsia="en-US" w:bidi="ar-SA"/>
        </w:rPr>
        <w:t>  The terms of the Bronson Assignment support this conclusion. The preamble to the Bronson Assignment sets out that the BNT owns, through the GRT, a 66.67% interest in GRO. The Bronson Assignment was prepared by Harold's lawyer. It was done at a time in which there was no dispute between the parties. It was signed by Harold, Eugene, their respective children and Tommy. I find it accurately sets out the BNT's interest in GRO.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632</w:t>
      </w:r>
      <w:r>
        <w:rPr>
          <w:rFonts w:ascii="arial" w:eastAsia="arial" w:hAnsi="arial" w:cs="arial"/>
          <w:color w:val="000000"/>
          <w:sz w:val="20"/>
          <w:lang w:val="en-US" w:eastAsia="en-US" w:bidi="ar-SA"/>
        </w:rPr>
        <w:t>  I find that Tommy owns the beneficial interest of one-third of the GRO shares. The remaining two-thirds were owned beneficially by the BNT at least until February 25, 2004. Whether the beneficial interest is still so owned will be addressed later in these reasons when considering the legal effect of the Distribution Letter.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iv. Nature of the GRT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633</w:t>
      </w:r>
      <w:r>
        <w:rPr>
          <w:rFonts w:ascii="arial" w:eastAsia="arial" w:hAnsi="arial" w:cs="arial"/>
          <w:color w:val="000000"/>
          <w:sz w:val="20"/>
          <w:lang w:val="en-US" w:eastAsia="en-US" w:bidi="ar-SA"/>
        </w:rPr>
        <w:t>  The fact that two-thirds of the GRO shares are held in the BNT does not determine the nature of the GRT. While Harold and Eugene may have intended to set up a Canadian-controlled trust that mirrored the BNT, they did not do so. The Master Trust Agreement signed on May 17, 2003 did not have that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634</w:t>
      </w:r>
      <w:r>
        <w:rPr>
          <w:rFonts w:ascii="arial" w:eastAsia="arial" w:hAnsi="arial" w:cs="arial"/>
          <w:color w:val="000000"/>
          <w:sz w:val="20"/>
          <w:lang w:val="en-US" w:eastAsia="en-US" w:bidi="ar-SA"/>
        </w:rPr>
        <w:t>  The only trust that arose is evidenced by the various declarations of trust signed by the successive trustees. It is, by its terms, a bare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635</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Waters</w:t>
      </w:r>
      <w:r>
        <w:rPr>
          <w:rFonts w:ascii="arial" w:eastAsia="arial" w:hAnsi="arial" w:cs="arial"/>
          <w:color w:val="000000"/>
          <w:sz w:val="20"/>
          <w:lang w:val="en-US" w:eastAsia="en-US" w:bidi="ar-SA"/>
        </w:rPr>
        <w:t xml:space="preserve"> at 32 describes a bare trust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usually accepted meaning of the term "bare," "naked" or "simple" trust is a trust where the trustee or trustees hold property without any further duty to perform except to convey it to the beneficiary or the beneficiaries upon demand [or as directed by the beneficiaries, i.e. in favour of a third party]. It is, of course, true that so long as the trustee holds property on trust he always retains his legal duties, namely, to exercise reasonable care over the property, either by maintaining it or by investing it. The trustee cannot divest himself of these duties. The reference, however, is to duties to which the settlor has enumerated.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definition of the bare, naked or simple trust assumes two things: (1) that the beneficiary or beneficiaries are able to call for the property on demand; and (2) either that no active duties were ever required by the settlor or that the active duties have been performed. But, of course, if all the beneficiaries are ascertained and capacitated, they can call for the trust property whether or not the settlor's charge to his trustees has yet been carried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Trident Holdings Ltd. v. Danand Investments Ltd.</w:t>
      </w:r>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(1988), 64 O.R. (2d) 65</w:t>
        </w:r>
      </w:hyperlink>
      <w:r>
        <w:rPr>
          <w:rFonts w:ascii="arial" w:eastAsia="arial" w:hAnsi="arial" w:cs="arial"/>
          <w:color w:val="000000"/>
          <w:sz w:val="20"/>
          <w:lang w:val="en-US" w:eastAsia="en-US" w:bidi="ar-SA"/>
        </w:rPr>
        <w:t xml:space="preserve"> at 75, the Ontario Court of Appeal described a bare trust and the role of its trustee as follows, quoting from Maurice C. Cullity, "Liability of Beneficiaries-A Rejoinder" (1985-86), 7 E. &amp; T.Q. 35 at 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distinguishing characteristic of the bare trust is that the trustee has no independent powers, discretions or responsibilities. His only responsibility is to carry out the instructions of his principals - the beneficiaries. If he does not have to accept instructions, if he has any significant independent powers or responsibilities, he is not a bare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637</w:t>
      </w:r>
      <w:r>
        <w:rPr>
          <w:rFonts w:ascii="arial" w:eastAsia="arial" w:hAnsi="arial" w:cs="arial"/>
          <w:color w:val="000000"/>
          <w:sz w:val="20"/>
          <w:lang w:val="en-US" w:eastAsia="en-US" w:bidi="ar-SA"/>
        </w:rPr>
        <w:t>  William has no independent powers, discretion or responsibility. I find that he holds the GRO shares as a bare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638</w:t>
      </w:r>
      <w:r>
        <w:rPr>
          <w:rFonts w:ascii="arial" w:eastAsia="arial" w:hAnsi="arial" w:cs="arial"/>
          <w:color w:val="000000"/>
          <w:sz w:val="20"/>
          <w:lang w:val="en-US" w:eastAsia="en-US" w:bidi="ar-SA"/>
        </w:rPr>
        <w:t>  This conclusion does not necessarily run afoul of the parties' intention that GRO would be for tax purposes a Canadian-controlled corporation. The initial trustee was Gary, a Canadian citizen. The BNT, a Canadian trust, owned two-thirds of the shares. While the structure may not have been as initially contemplated, it may well have been effective to accomplish the ends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 Distribution of the BNT and GRT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639</w:t>
      </w:r>
      <w:r>
        <w:rPr>
          <w:rFonts w:ascii="arial" w:eastAsia="arial" w:hAnsi="arial" w:cs="arial"/>
          <w:color w:val="000000"/>
          <w:sz w:val="20"/>
          <w:lang w:val="en-US" w:eastAsia="en-US" w:bidi="ar-SA"/>
        </w:rPr>
        <w:t>  Following the completion of the BNO Share Transaction, Howard planned to distribute the trust assets and terminate the trust. The Distribution Letter enclosed the Release that was ultimately only signed by Jennifer, Julie and Davis. Only Jennifer and Julie received funds from the BNO Share Transaction. Once it became clear that the other beneficiaries were not prepared to sign the Release, Howard received legal advice that he should retain the BNT's interest in GRO.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640</w:t>
      </w:r>
      <w:r>
        <w:rPr>
          <w:rFonts w:ascii="arial" w:eastAsia="arial" w:hAnsi="arial" w:cs="arial"/>
          <w:color w:val="000000"/>
          <w:sz w:val="20"/>
          <w:lang w:val="en-US" w:eastAsia="en-US" w:bidi="ar-SA"/>
        </w:rPr>
        <w:t>  The issues that arise include whether Howard could properly require a release as a condition of making payment of the BNO Share proceeds, whether he could pay the proceeds to some but not all of the beneficiaries and whether he made an unconditional distribution of the beneficial interest in the GRO shares and cannot thereafter claim to retain that interest.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 Distribution Provisions of the BNT Trust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641</w:t>
      </w:r>
      <w:r>
        <w:rPr>
          <w:rFonts w:ascii="arial" w:eastAsia="arial" w:hAnsi="arial" w:cs="arial"/>
          <w:color w:val="000000"/>
          <w:sz w:val="20"/>
          <w:lang w:val="en-US" w:eastAsia="en-US" w:bidi="ar-SA"/>
        </w:rPr>
        <w:t>  To consider these matters, it is first necessary to give consideration to the distribution provisions of the BNT Trust Agreement. They read as follows:</w:t>
      </w:r>
      <w:r>
        <w:rPr>
          <w:rFonts w:ascii="arial" w:eastAsia="arial" w:hAnsi="arial" w:cs="arial"/>
          <w:sz w:val="20"/>
          <w:lang w:val="en-US" w:eastAsia="en-US" w:bidi="ar-SA"/>
        </w:rPr>
        <w:cr/>
      </w:r>
    </w:p>
    <w:p>
      <w:pPr>
        <w:numPr>
          <w:numId w:val="4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Distribution of Principal and Income</w:t>
      </w:r>
      <w:r>
        <w:rPr>
          <w:rFonts w:ascii="arial" w:eastAsia="arial" w:hAnsi="arial" w:cs="arial"/>
          <w:color w:val="000000"/>
          <w:sz w:val="20"/>
          <w:lang w:val="en-US" w:eastAsia="en-US" w:bidi="ar-SA"/>
        </w:rPr>
        <w:t>- The principal herewith deposited and all future additions thereto shall be held by the Trustee for the benefit of the Grantors' children, in the case of Grantor, Harold D. Lewis, his children, Lee Lewis and Virginia Lewis, and in the case of Grantor A. Eugene Lewis, his children Jennifer Lewis and Julie Lewis. Each such child shall have an equal share in this Trust and be the beneficiaries hereof.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During the lifetimes of Grantors Harold D. Lewis and A. Eugene Lewis, or the survivor of them, the Trustees, may in their discretion, distribute or accumulate to or for the benefit of Lee Lewis, Virginia Lewis, Jennifer Lewis and Julie Lewis, in equal shares, the income and principal of the Trust.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Upon the death of the last surviving Grantor, Harold D. Lewis or A. Eugene Lewis, the Trustees shall pay over one-half of the Trust principal together with any accumulated income to Lee Lewis and Virginia Lewis and one-half to Jennifer Lewis and Julie Lewis, share and share alike, provided that they have attained the age of twenty-one (21) years. If any child has not attained the age of twenty-one (21) years, the Trustees shall continue to hold that child's share in trust until the such child has attained the age of twenty-one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642</w:t>
      </w:r>
      <w:r>
        <w:rPr>
          <w:rFonts w:ascii="arial" w:eastAsia="arial" w:hAnsi="arial" w:cs="arial"/>
          <w:color w:val="000000"/>
          <w:sz w:val="20"/>
          <w:lang w:val="en-US" w:eastAsia="en-US" w:bidi="ar-SA"/>
        </w:rPr>
        <w:t>  Pursuant to the provisions, each beneficiary has an equal share in the trust. During the lifetime of Harold and Eugene the trustee has a discretion to distribute or accumulate the income and principal of the trust. Any distribution or accumulation must, however, be in equal shares. On the death of the last surviving grantor, the trustee must pay over the trust principal together with accumulated income. One-half of the payment goes to Lee and Virginia and one-half to Jennifer and Julie. If at that time any of the children had been under the age of 21, the trustee would continue to hold that child's share in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643</w:t>
      </w:r>
      <w:r>
        <w:rPr>
          <w:rFonts w:ascii="arial" w:eastAsia="arial" w:hAnsi="arial" w:cs="arial"/>
          <w:color w:val="000000"/>
          <w:sz w:val="20"/>
          <w:lang w:val="en-US" w:eastAsia="en-US" w:bidi="ar-SA"/>
        </w:rPr>
        <w:t>  While the provision gives the trustee a discretion as to whether to distribute or accumulate, the discretion is limited in that the trust imposes a duty that if there is to be a distribution, it must be made in equal shares. So while the trustee is under no obligation to distribute, if he does so, he must do so equally.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iii. The Distribution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644</w:t>
      </w:r>
      <w:r>
        <w:rPr>
          <w:rFonts w:ascii="arial" w:eastAsia="arial" w:hAnsi="arial" w:cs="arial"/>
          <w:color w:val="000000"/>
          <w:sz w:val="20"/>
          <w:lang w:val="en-US" w:eastAsia="en-US" w:bidi="ar-SA"/>
        </w:rPr>
        <w:t>  The Distribution Letter of February 25, 2004 contains separate sections with regard to the BNT's interest in Big Nine and GRO. With regard to Big Nine, the Distribution Letter advises of the closing of the Big Nine Share Transaction and sets out each beneficiary's share of the sales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645</w:t>
      </w:r>
      <w:r>
        <w:rPr>
          <w:rFonts w:ascii="arial" w:eastAsia="arial" w:hAnsi="arial" w:cs="arial"/>
          <w:color w:val="000000"/>
          <w:sz w:val="20"/>
          <w:lang w:val="en-US" w:eastAsia="en-US" w:bidi="ar-SA"/>
        </w:rPr>
        <w:t>  The Distribution Letter then goes on to describe the Release and advises that upon receipt of the executed Release Howard will "forward a cheque to you at the above address. This will constitute a complete distribution of your beneficial interest in Big Nine Outfitters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646</w:t>
      </w:r>
      <w:r>
        <w:rPr>
          <w:rFonts w:ascii="arial" w:eastAsia="arial" w:hAnsi="arial" w:cs="arial"/>
          <w:color w:val="000000"/>
          <w:sz w:val="20"/>
          <w:lang w:val="en-US" w:eastAsia="en-US" w:bidi="ar-SA"/>
        </w:rPr>
        <w:t>  The Distribution Letter then goes on under a separate heading to discuss the Trust's interests in GRO. It encloses a copy of the BNT's balance sheet of December 31, 1997, and advises that the BNT invested $352,617 in the stock of GRO on behalf of the respective families. The letter then continues: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any event, I hereby distribute and quit claim to each of the Harold Lewis Family and Gene Lewis Family beneficiaries all of the Trust's right, title and interest in the amounts set forth in Schedule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647</w:t>
      </w:r>
      <w:r>
        <w:rPr>
          <w:rFonts w:ascii="arial" w:eastAsia="arial" w:hAnsi="arial" w:cs="arial"/>
          <w:color w:val="000000"/>
          <w:sz w:val="20"/>
          <w:lang w:val="en-US" w:eastAsia="en-US" w:bidi="ar-SA"/>
        </w:rPr>
        <w:t>  The Distribution Letter goes on to indicate that the last document Howard had seen indicated that 100% of the stock in GRO was owned by Audrey pursuant to a Declaration of Trust, and suggests that the beneficiaries pursue their interests as they may best determine. There is no reference in the paragraph dealing with distribution of the GRO interest that the distribution is in any way contingent on the Release being signed and returned.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iv. Distribution of Proceeds of BNO Share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648</w:t>
      </w:r>
      <w:r>
        <w:rPr>
          <w:rFonts w:ascii="arial" w:eastAsia="arial" w:hAnsi="arial" w:cs="arial"/>
          <w:color w:val="000000"/>
          <w:sz w:val="20"/>
          <w:lang w:val="en-US" w:eastAsia="en-US" w:bidi="ar-SA"/>
        </w:rPr>
        <w:t>  As previously noted, Jennifer and Julie almost immediately signed and returned the Release, and on March 3, 2004, they received a cheque in the sum of $132,000 USD from Howard, being their share of the BNO Share Transaction. Davis ultimately signed the Release and received a cheque dated March 19 for $66,000 USD that he did not cash. Tommy, Lee and Virginia did not sign the Release and never received any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649</w:t>
      </w:r>
      <w:r>
        <w:rPr>
          <w:rFonts w:ascii="arial" w:eastAsia="arial" w:hAnsi="arial" w:cs="arial"/>
          <w:color w:val="000000"/>
          <w:sz w:val="20"/>
          <w:lang w:val="en-US" w:eastAsia="en-US" w:bidi="ar-SA"/>
        </w:rPr>
        <w:t>  The plaintiffs submit that Howard did not have the right to demand the beneficiaries sign the Release before paying them their share of the proceeds of the BNO Share Transaction. They say to do so was a breach of trust and Howard should be ordered to pay the plaintiffs the full amount of their share of the BNO Share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650</w:t>
      </w:r>
      <w:r>
        <w:rPr>
          <w:rFonts w:ascii="arial" w:eastAsia="arial" w:hAnsi="arial" w:cs="arial"/>
          <w:color w:val="000000"/>
          <w:sz w:val="20"/>
          <w:lang w:val="en-US" w:eastAsia="en-US" w:bidi="ar-SA"/>
        </w:rPr>
        <w:t>  Alternatively, they submit that regardless of whether Howard could require the beneficiaries to sign a release, Howard breached the Trust when he ultimately paid the proceeds to some of the beneficiaries and not others. Having failed to make that payment, the plaintiffs submit they are entitled to a direction that Howard now pay them the balance of the proceeds.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651</w:t>
      </w:r>
      <w:r>
        <w:rPr>
          <w:rFonts w:ascii="arial" w:eastAsia="arial" w:hAnsi="arial" w:cs="arial"/>
          <w:color w:val="000000"/>
          <w:sz w:val="20"/>
          <w:lang w:val="en-US" w:eastAsia="en-US" w:bidi="ar-SA"/>
        </w:rPr>
        <w:t>  Howard submits otherwise. He submits that the established law and general practice supports a trustee requesting a release as a condition of distribution. Howard submits that if it was a breach of trust for him to demand a release, the exculpatory clause in the BNT Trust Agreement is engaged and he should be forgiven the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652</w:t>
      </w:r>
      <w:r>
        <w:rPr>
          <w:rFonts w:ascii="arial" w:eastAsia="arial" w:hAnsi="arial" w:cs="arial"/>
          <w:color w:val="000000"/>
          <w:sz w:val="20"/>
          <w:lang w:val="en-US" w:eastAsia="en-US" w:bidi="ar-SA"/>
        </w:rPr>
        <w:t>  With regard to the payment out to some beneficiaries and not others, Howard submits that the BNT Trust Agreement does not preclude the trustee from distributing to one beneficiary and accumulating to the benefit of another, so long as what he distributes or accumulates corresponds to the beneficiary's proportionate share in the trust property. He submits it does not follow that each beneficiary is entitled to have his or her share distributed at the same time. In the circumstances of this case, it is submitted that Howard was acting within the discretion afforded to him under para. 2(a) of the BNT Trust Agreement when he distributed the proceeds of the BNO Share Transaction to Jennifer and Julie, and accumulated the balance of the proceeds for the benefit of Tommy, Lee, Virginia and Davis in proportion to their rightful share.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653</w:t>
      </w:r>
      <w:r>
        <w:rPr>
          <w:rFonts w:ascii="arial" w:eastAsia="arial" w:hAnsi="arial" w:cs="arial"/>
          <w:color w:val="000000"/>
          <w:sz w:val="20"/>
          <w:lang w:val="en-US" w:eastAsia="en-US" w:bidi="ar-SA"/>
        </w:rPr>
        <w:t>  In the event that Howard is found not to have had the right to pay the proceeds of the BNO Share Transaction sale to some beneficiaries and not others, he submits that he was clearly entitled by the terms to accumulate for the benefit of all beneficiaries. Howard submits his correct course of action would therefore have been not to distribute any of the funds. At the highest, Howard submits the plaintiffs would only be entitled to the time value of the money subject to any valid claim that Howard has to use the funds in payment of his legal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654</w:t>
      </w:r>
      <w:r>
        <w:rPr>
          <w:rFonts w:ascii="arial" w:eastAsia="arial" w:hAnsi="arial" w:cs="arial"/>
          <w:color w:val="000000"/>
          <w:sz w:val="20"/>
          <w:lang w:val="en-US" w:eastAsia="en-US" w:bidi="ar-SA"/>
        </w:rPr>
        <w:t xml:space="preserve">  The Trustee's entitlement to demand a release does not arise for the first time in this action. The first reported case dates back to 1845. In </w:t>
      </w:r>
      <w:r>
        <w:rPr>
          <w:rFonts w:ascii="arial" w:eastAsia="arial" w:hAnsi="arial" w:cs="arial"/>
          <w:i/>
          <w:color w:val="000000"/>
          <w:sz w:val="20"/>
          <w:lang w:val="en-US" w:eastAsia="en-US" w:bidi="ar-SA"/>
        </w:rPr>
        <w:t>Chadwick v. Heatley</w:t>
      </w:r>
      <w:r>
        <w:rPr>
          <w:rFonts w:ascii="arial" w:eastAsia="arial" w:hAnsi="arial" w:cs="arial"/>
          <w:color w:val="000000"/>
          <w:sz w:val="20"/>
          <w:lang w:val="en-US" w:eastAsia="en-US" w:bidi="ar-SA"/>
        </w:rPr>
        <w:t xml:space="preserve"> (1845) S.C. 2 Col. 137, 63 E.R. 671, the trustee sought to distribute trust funds to surviving beneficiaries. He offered a general release as a condition to the payment which the plaintiff refused to sign. The court concluded the trustee did not have the right to insist on having the release executed.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King v. Mullins</w:t>
      </w:r>
      <w:r>
        <w:rPr>
          <w:rFonts w:ascii="arial" w:eastAsia="arial" w:hAnsi="arial" w:cs="arial"/>
          <w:color w:val="000000"/>
          <w:sz w:val="20"/>
          <w:lang w:val="en-US" w:eastAsia="en-US" w:bidi="ar-SA"/>
        </w:rPr>
        <w:t xml:space="preserve"> (1852), 61 E.R. 469, the court held that although it was usual practice to give a release in order to discharge a trustee, a trustee paying in accordance with the letter of the trust has no right to require a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Brighter v. Brighter Estates</w:t>
      </w:r>
      <w:r>
        <w:rPr>
          <w:rFonts w:ascii="arial" w:eastAsia="arial" w:hAnsi="arial" w:cs="arial"/>
          <w:color w:val="000000"/>
          <w:sz w:val="20"/>
          <w:lang w:val="en-US" w:eastAsia="en-US" w:bidi="ar-SA"/>
        </w:rPr>
        <w:t xml:space="preserve">, </w:t>
      </w:r>
      <w:hyperlink r:id="rId406" w:history="1">
        <w:r>
          <w:rPr>
            <w:rFonts w:ascii="arial" w:eastAsia="arial" w:hAnsi="arial" w:cs="arial"/>
            <w:i/>
            <w:color w:val="0077CC"/>
            <w:sz w:val="20"/>
            <w:u w:val="single"/>
            <w:shd w:val="clear" w:color="auto" w:fill="FFFFFF"/>
            <w:lang w:val="en-US" w:eastAsia="en-US" w:bidi="ar-SA"/>
          </w:rPr>
          <w:t>[1998] O.J. No. 3144</w:t>
        </w:r>
      </w:hyperlink>
      <w:r>
        <w:rPr>
          <w:rFonts w:ascii="arial" w:eastAsia="arial" w:hAnsi="arial" w:cs="arial"/>
          <w:color w:val="000000"/>
          <w:sz w:val="20"/>
          <w:lang w:val="en-US" w:eastAsia="en-US" w:bidi="ar-SA"/>
        </w:rPr>
        <w:t xml:space="preserve"> (Ct. J. (Gen. Div.)), the court was most critical of the executor requiring a release. The court said at para.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An executor's duty is to carry out the instructions contained in the will ... [T]he executor has no right to hold any portion of the distributable assets hostage in order to extort from a beneficiary an approval or release of the executor's performance of duties as trustee, or the executor's compensation or fee. It is quite proper for an executor (or trustee, to use the current expression) to accompany payment with a release which the beneficiary is requested to execute. But it is quite another matter for the trustee to require execution of the release before making payment; that is manifestly improper.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Rooney Estate v. Stewart Estate</w:t>
      </w:r>
      <w:r>
        <w:rPr>
          <w:rFonts w:ascii="arial" w:eastAsia="arial" w:hAnsi="arial" w:cs="arial"/>
          <w:color w:val="000000"/>
          <w:sz w:val="20"/>
          <w:lang w:val="en-US" w:eastAsia="en-US" w:bidi="ar-SA"/>
        </w:rPr>
        <w:t xml:space="preserve">, </w:t>
      </w:r>
      <w:hyperlink r:id="rId407" w:history="1">
        <w:r>
          <w:rPr>
            <w:rFonts w:ascii="arial" w:eastAsia="arial" w:hAnsi="arial" w:cs="arial"/>
            <w:i/>
            <w:color w:val="0077CC"/>
            <w:sz w:val="20"/>
            <w:u w:val="single"/>
            <w:shd w:val="clear" w:color="auto" w:fill="FFFFFF"/>
            <w:lang w:val="en-US" w:eastAsia="en-US" w:bidi="ar-SA"/>
          </w:rPr>
          <w:t>[2007] O.J. No. 3944</w:t>
        </w:r>
      </w:hyperlink>
      <w:r>
        <w:rPr>
          <w:rFonts w:ascii="arial" w:eastAsia="arial" w:hAnsi="arial" w:cs="arial"/>
          <w:color w:val="000000"/>
          <w:sz w:val="20"/>
          <w:lang w:val="en-US" w:eastAsia="en-US" w:bidi="ar-SA"/>
        </w:rPr>
        <w:t xml:space="preserve"> (Sup. Ct. J.) the court noted at para. 39: "[t]he manner of sending the release first and the cheque later suggests the "beneficiary was held hostage for the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658</w:t>
      </w:r>
      <w:r>
        <w:rPr>
          <w:rFonts w:ascii="arial" w:eastAsia="arial" w:hAnsi="arial" w:cs="arial"/>
          <w:color w:val="000000"/>
          <w:sz w:val="20"/>
          <w:lang w:val="en-US" w:eastAsia="en-US" w:bidi="ar-SA"/>
        </w:rPr>
        <w:t xml:space="preserve">  In spite of the judicial criticism, a review of British Columbia practice manuals and Continuing Legal Education ("CLE") publications suggests that it is a common practice to seek a release prior to distribution: R.C. DiBella, </w:t>
      </w:r>
      <w:r>
        <w:rPr>
          <w:rFonts w:ascii="arial" w:eastAsia="arial" w:hAnsi="arial" w:cs="arial"/>
          <w:i/>
          <w:color w:val="000000"/>
          <w:sz w:val="20"/>
          <w:lang w:val="en-US" w:eastAsia="en-US" w:bidi="ar-SA"/>
        </w:rPr>
        <w:t>Wills and Estate Planning Basics - How to Administer an Estate from Collecting the Assets to Paying Accounts</w:t>
      </w:r>
      <w:r>
        <w:rPr>
          <w:rFonts w:ascii="arial" w:eastAsia="arial" w:hAnsi="arial" w:cs="arial"/>
          <w:color w:val="000000"/>
          <w:sz w:val="20"/>
          <w:lang w:val="en-US" w:eastAsia="en-US" w:bidi="ar-SA"/>
        </w:rPr>
        <w:t xml:space="preserve">, Materials prepared for CLE Seminar, Vancouver, B.C., October 2006; Gabrielle Komorowska, </w:t>
      </w:r>
      <w:r>
        <w:rPr>
          <w:rFonts w:ascii="arial" w:eastAsia="arial" w:hAnsi="arial" w:cs="arial"/>
          <w:i/>
          <w:color w:val="000000"/>
          <w:sz w:val="20"/>
          <w:lang w:val="en-US" w:eastAsia="en-US" w:bidi="ar-SA"/>
        </w:rPr>
        <w:t>Guide to Wills and Estates</w:t>
      </w:r>
      <w:r>
        <w:rPr>
          <w:rFonts w:ascii="arial" w:eastAsia="arial" w:hAnsi="arial" w:cs="arial"/>
          <w:color w:val="000000"/>
          <w:sz w:val="20"/>
          <w:lang w:val="en-US" w:eastAsia="en-US" w:bidi="ar-SA"/>
        </w:rPr>
        <w:t xml:space="preserve">, British Columbia ed. (Gibsons: Evin Ross Publications 1996); </w:t>
      </w:r>
      <w:r>
        <w:rPr>
          <w:rFonts w:ascii="arial" w:eastAsia="arial" w:hAnsi="arial" w:cs="arial"/>
          <w:i/>
          <w:color w:val="000000"/>
          <w:sz w:val="20"/>
          <w:lang w:val="en-US" w:eastAsia="en-US" w:bidi="ar-SA"/>
        </w:rPr>
        <w:t>British Columbia Probate and Estate Administration Practice Manual</w:t>
      </w:r>
      <w:r>
        <w:rPr>
          <w:rFonts w:ascii="arial" w:eastAsia="arial" w:hAnsi="arial" w:cs="arial"/>
          <w:color w:val="000000"/>
          <w:sz w:val="20"/>
          <w:lang w:val="en-US" w:eastAsia="en-US" w:bidi="ar-SA"/>
        </w:rPr>
        <w:t>, vol. 2, 2d ed. (Vancouver: CLE BC,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659</w:t>
      </w:r>
      <w:r>
        <w:rPr>
          <w:rFonts w:ascii="arial" w:eastAsia="arial" w:hAnsi="arial" w:cs="arial"/>
          <w:color w:val="000000"/>
          <w:sz w:val="20"/>
          <w:lang w:val="en-US" w:eastAsia="en-US" w:bidi="ar-SA"/>
        </w:rPr>
        <w:t>  The alternative to obtaining a release is for the trustee to pass his accounts. The passing of accounts will release a trustee from future obligations. For a trustee to request a release of future claims is not in itself objectionable. In this case, however, the proffered document seeks not only a release of future claims but also that the beneficiaries indemnify and hold harmless Howard from any claims arising subsequent to September 30, 2002. A request for an indemnity and hold harmless agreement goes well beyond the type of release referenced in the B.C. practice manuals. In addition, the Distribution Letter suggests that the beneficiaries must sign the Release before any cheque will be forthcoming.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660</w:t>
      </w:r>
      <w:r>
        <w:rPr>
          <w:rFonts w:ascii="arial" w:eastAsia="arial" w:hAnsi="arial" w:cs="arial"/>
          <w:color w:val="000000"/>
          <w:sz w:val="20"/>
          <w:lang w:val="en-US" w:eastAsia="en-US" w:bidi="ar-SA"/>
        </w:rPr>
        <w:t>  While a request for a release and indemnity in that form may be objectionable, it does not in the first instance create any loss or damage. If all of the beneficiaries had been prepared to sign the Release, matters would have been resolved. They, of course, were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661</w:t>
      </w:r>
      <w:r>
        <w:rPr>
          <w:rFonts w:ascii="arial" w:eastAsia="arial" w:hAnsi="arial" w:cs="arial"/>
          <w:color w:val="000000"/>
          <w:sz w:val="20"/>
          <w:lang w:val="en-US" w:eastAsia="en-US" w:bidi="ar-SA"/>
        </w:rPr>
        <w:t>  What happened subsequently is a matter of greater concern. That signing the Release was a condition of being paid became clear when only those who signed the Release were paid. Under the terms of the trust, distributions were to be made equally. That did not happen. Only those who signed the Release got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662</w:t>
      </w:r>
      <w:r>
        <w:rPr>
          <w:rFonts w:ascii="arial" w:eastAsia="arial" w:hAnsi="arial" w:cs="arial"/>
          <w:color w:val="000000"/>
          <w:sz w:val="20"/>
          <w:lang w:val="en-US" w:eastAsia="en-US" w:bidi="ar-SA"/>
        </w:rPr>
        <w:t>  The submission that the trustee was entitled to pay certain beneficiaries and accumulate for others is, with respect, untenable. It is contrary to the terms of the BNT Trust Agreement. Further, it is clear that the trustee was not in this case exercising a good faith discretion in accumulating for some beneficiaries and paying others. The only reason the plaintiff beneficiaries were not paid was because they were not prepared to sign the Release, a document that the trustee was not entitled to demand.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663</w:t>
      </w:r>
      <w:r>
        <w:rPr>
          <w:rFonts w:ascii="arial" w:eastAsia="arial" w:hAnsi="arial" w:cs="arial"/>
          <w:color w:val="000000"/>
          <w:sz w:val="20"/>
          <w:lang w:val="en-US" w:eastAsia="en-US" w:bidi="ar-SA"/>
        </w:rPr>
        <w:t>  By paying certain beneficiaries and not others, Howard breached the terms of the BNT. As soon as Howard paid certain beneficiaries, he was legally obliged to pay the others, regardless of whether or not they were prepared to sign the Release. Although he may have been entitled to hold all of the funds pending a passing of accounts, what he could not do, given the terms of this trust, was to pay some beneficiaries and not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664</w:t>
      </w:r>
      <w:r>
        <w:rPr>
          <w:rFonts w:ascii="arial" w:eastAsia="arial" w:hAnsi="arial" w:cs="arial"/>
          <w:color w:val="000000"/>
          <w:sz w:val="20"/>
          <w:lang w:val="en-US" w:eastAsia="en-US" w:bidi="ar-SA"/>
        </w:rPr>
        <w:t>  It is a principle of equity that equity will not suffer a wrong to be done without a remedy: John McGhee,</w:t>
      </w:r>
      <w:r>
        <w:rPr>
          <w:rFonts w:ascii="arial" w:eastAsia="arial" w:hAnsi="arial" w:cs="arial"/>
          <w:i/>
          <w:color w:val="000000"/>
          <w:sz w:val="20"/>
          <w:lang w:val="en-US" w:eastAsia="en-US" w:bidi="ar-SA"/>
        </w:rPr>
        <w:t xml:space="preserve"> Snell's Equity</w:t>
      </w:r>
      <w:r>
        <w:rPr>
          <w:rFonts w:ascii="arial" w:eastAsia="arial" w:hAnsi="arial" w:cs="arial"/>
          <w:color w:val="000000"/>
          <w:sz w:val="20"/>
          <w:lang w:val="en-US" w:eastAsia="en-US" w:bidi="ar-SA"/>
        </w:rPr>
        <w:t>, 31st ed. (London: Sweet &amp; Maxwell, 2005). Having paid Jennifer and Julie the proceeds of the BNO Share Transaction, Howard had to pay the balance of the BNO Share Transaction funds to the plaintiff beneficiaries. He was not entitled to use those monies for any other purposes, including the paying of his legal costs. Subject to the question of exoneration, he must pay to those beneficiaries their respective shares of the BNO Share Transaction. In the case of Lee, Virginia and Davis, that sum is $66,000 USD. In the case of Tommy, it is $198,000 USD. Those funds must be paid together with interest from March 3, 2004, being the date that payments were made to Jennifer and Julie.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v. Distribution of Beneficial Interest in GRO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665</w:t>
      </w:r>
      <w:r>
        <w:rPr>
          <w:rFonts w:ascii="arial" w:eastAsia="arial" w:hAnsi="arial" w:cs="arial"/>
          <w:color w:val="000000"/>
          <w:sz w:val="20"/>
          <w:lang w:val="en-US" w:eastAsia="en-US" w:bidi="ar-SA"/>
        </w:rPr>
        <w:t>  The Distribution Letter put no qualification on the distribution of the GRO shares to the beneficiaries. At the time of the Distribution Letter, a tentative agreement was in place between Tommy and Eugene for Tommy to purchase Jennifer's and Julie's interests in the GRO Shares. Howard wished to facilitate that transaction. To do so, he had to distribute BNT's interest in GRO.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666</w:t>
      </w:r>
      <w:r>
        <w:rPr>
          <w:rFonts w:ascii="arial" w:eastAsia="arial" w:hAnsi="arial" w:cs="arial"/>
          <w:color w:val="000000"/>
          <w:sz w:val="20"/>
          <w:lang w:val="en-US" w:eastAsia="en-US" w:bidi="ar-SA"/>
        </w:rPr>
        <w:t>  In the Distribution Letter, Howard unconditionally distributed the BNT's interest in GRO. That distribution was not subject to, or conditional upon, any of the beneficiaries providing a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667</w:t>
      </w:r>
      <w:r>
        <w:rPr>
          <w:rFonts w:ascii="arial" w:eastAsia="arial" w:hAnsi="arial" w:cs="arial"/>
          <w:color w:val="000000"/>
          <w:sz w:val="20"/>
          <w:lang w:val="en-US" w:eastAsia="en-US" w:bidi="ar-SA"/>
        </w:rPr>
        <w:t>  For approximately six weeks thereafter, Tommy and Eugene continued to negotiate the proposed purchase of Jennifer's and Julie's interests. It was only when it became clear to Howard that certain beneficiaries were not prepared to sign the Release that he purported to recant the distribution of the BNT's interest in GRO. By then it was too late. The distribution was made on February 25, 2004, and thereafter the BNT had no remaining interest in those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668</w:t>
      </w:r>
      <w:r>
        <w:rPr>
          <w:rFonts w:ascii="arial" w:eastAsia="arial" w:hAnsi="arial" w:cs="arial"/>
          <w:color w:val="000000"/>
          <w:sz w:val="20"/>
          <w:lang w:val="en-US" w:eastAsia="en-US" w:bidi="ar-SA"/>
        </w:rPr>
        <w:t>  Accordingly, with regard to GRO, four shares are held beneficially by Tommy, four jointly by Jennifer and Julie and four jointly by Lee, Virginia and Davis. I will deal with the question of the transfer of those shares into the respective beneficial shareholder's name later in these reasons when I consider the claims against William.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669</w:t>
      </w:r>
      <w:r>
        <w:rPr>
          <w:rFonts w:ascii="arial" w:eastAsia="arial" w:hAnsi="arial" w:cs="arial"/>
          <w:color w:val="000000"/>
          <w:sz w:val="20"/>
          <w:lang w:val="en-US" w:eastAsia="en-US" w:bidi="ar-SA"/>
        </w:rPr>
        <w:t>  I should note that pursuant to the terms of the Bronson Assignment, Tommy would be entitled to one-half of the Harold Lewis family share of the GRO shares. Tommy, however, has disclaimed any such entitlement and, accordingly, those shares will be distributed as set out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 Claims Against William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670</w:t>
      </w:r>
      <w:r>
        <w:rPr>
          <w:rFonts w:ascii="arial" w:eastAsia="arial" w:hAnsi="arial" w:cs="arial"/>
          <w:color w:val="000000"/>
          <w:sz w:val="20"/>
          <w:lang w:val="en-US" w:eastAsia="en-US" w:bidi="ar-SA"/>
        </w:rPr>
        <w:t>  The plaintiffs claim that William acted in breach of trust in selling the Trapline and in refusing to transfer to Tommy and Harold their respective interests in GRO. I will deal with each in turn.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 Sale of Trapline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671</w:t>
      </w:r>
      <w:r>
        <w:rPr>
          <w:rFonts w:ascii="arial" w:eastAsia="arial" w:hAnsi="arial" w:cs="arial"/>
          <w:color w:val="000000"/>
          <w:sz w:val="20"/>
          <w:lang w:val="en-US" w:eastAsia="en-US" w:bidi="ar-SA"/>
        </w:rPr>
        <w:t>  The Trapline was one of the assets that formed part of the Beattie Purchase. Following the purchase, Beattie initially held the Trapline in trust. The Trapline was then transferred to Braden and subsequently to William. William acknowledged in his statement of defence that he held the Trapline in trust. After these proceedings were commenced, William sold the Trapline for $25,000. There is no evidence suggesting that the sale was at anything other than fair market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672</w:t>
      </w:r>
      <w:r>
        <w:rPr>
          <w:rFonts w:ascii="arial" w:eastAsia="arial" w:hAnsi="arial" w:cs="arial"/>
          <w:color w:val="000000"/>
          <w:sz w:val="20"/>
          <w:lang w:val="en-US" w:eastAsia="en-US" w:bidi="ar-SA"/>
        </w:rPr>
        <w:t>  William had no power to sell the Trapline. When he did so, he acted in breach of trust. He must account for the purchase proceeds.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673</w:t>
      </w:r>
      <w:r>
        <w:rPr>
          <w:rFonts w:ascii="arial" w:eastAsia="arial" w:hAnsi="arial" w:cs="arial"/>
          <w:color w:val="000000"/>
          <w:sz w:val="20"/>
          <w:lang w:val="en-US" w:eastAsia="en-US" w:bidi="ar-SA"/>
        </w:rPr>
        <w:t>  Through the years, William has personally paid certain expenses, fees and charges related to maintaining and operating the Trapline. He is entitled to be reimbursed for those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674</w:t>
      </w:r>
      <w:r>
        <w:rPr>
          <w:rFonts w:ascii="arial" w:eastAsia="arial" w:hAnsi="arial" w:cs="arial"/>
          <w:color w:val="000000"/>
          <w:sz w:val="20"/>
          <w:lang w:val="en-US" w:eastAsia="en-US" w:bidi="ar-SA"/>
        </w:rPr>
        <w:t>  The Trapline is held in trust for the successors to the purchasers under the Beattie Purchase Agreement. The initial purchasers were Harold, Eugene and Stocks. The successors of their interests are Tommy, Jennifer and Julie, and Lee, Virginia and Davis, each to a one-third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675</w:t>
      </w:r>
      <w:r>
        <w:rPr>
          <w:rFonts w:ascii="arial" w:eastAsia="arial" w:hAnsi="arial" w:cs="arial"/>
          <w:color w:val="000000"/>
          <w:sz w:val="20"/>
          <w:lang w:val="en-US" w:eastAsia="en-US" w:bidi="ar-SA"/>
        </w:rPr>
        <w:t>  I direct that William prepare his account and pay the net balance, if any, to the beneficiaries.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iii. Transfer of GRO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676</w:t>
      </w:r>
      <w:r>
        <w:rPr>
          <w:rFonts w:ascii="arial" w:eastAsia="arial" w:hAnsi="arial" w:cs="arial"/>
          <w:color w:val="000000"/>
          <w:sz w:val="20"/>
          <w:lang w:val="en-US" w:eastAsia="en-US" w:bidi="ar-SA"/>
        </w:rPr>
        <w:t>  The plaintiffs seek orders that William transfer GRO shares to the beneficial owners of those shares. William has pled that he will comply with any direction by the Court concerning as to whether he should transfer the shares and to whom. He does seek reimbursement with regard to expenses incurred from his obligations to keep GRO in good standing and ensure its revenues are properly accounted for and collected.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677</w:t>
      </w:r>
      <w:r>
        <w:rPr>
          <w:rFonts w:ascii="arial" w:eastAsia="arial" w:hAnsi="arial" w:cs="arial"/>
          <w:color w:val="000000"/>
          <w:sz w:val="20"/>
          <w:lang w:val="en-US" w:eastAsia="en-US" w:bidi="ar-SA"/>
        </w:rPr>
        <w:t xml:space="preserve">  The plaintiffs submit that the beneficiaries of a bare trust are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entitled to receive their share of the trust property, notwithstanding the opposition of other beneficiaries. They submit that the rule in </w:t>
      </w:r>
      <w:r>
        <w:rPr>
          <w:rFonts w:ascii="arial" w:eastAsia="arial" w:hAnsi="arial" w:cs="arial"/>
          <w:i/>
          <w:color w:val="000000"/>
          <w:sz w:val="20"/>
          <w:lang w:val="en-US" w:eastAsia="en-US" w:bidi="ar-SA"/>
        </w:rPr>
        <w:t>Saunders v. Vautier</w:t>
      </w:r>
      <w:r>
        <w:rPr>
          <w:rFonts w:ascii="arial" w:eastAsia="arial" w:hAnsi="arial" w:cs="arial"/>
          <w:color w:val="000000"/>
          <w:sz w:val="20"/>
          <w:lang w:val="en-US" w:eastAsia="en-US" w:bidi="ar-SA"/>
        </w:rPr>
        <w:t xml:space="preserve"> (1841), 4 Beav. 115, 49 E.R. 282, aff'd. (1841) Cr. &amp; Ph. 240, 41 E.R. 482 has no application to a bare trust. They say in the circumstances of this case there is no reason why William should not now be directed to transfer the shares to the beneficiaries.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678</w:t>
      </w:r>
      <w:r>
        <w:rPr>
          <w:rFonts w:ascii="arial" w:eastAsia="arial" w:hAnsi="arial" w:cs="arial"/>
          <w:color w:val="000000"/>
          <w:sz w:val="20"/>
          <w:lang w:val="en-US" w:eastAsia="en-US" w:bidi="ar-SA"/>
        </w:rPr>
        <w:t xml:space="preserve">  Howard opposes a transfer of the GRO shares. He submits that the GRT is a discretionary trust and subject to the rule in </w:t>
      </w:r>
      <w:r>
        <w:rPr>
          <w:rFonts w:ascii="arial" w:eastAsia="arial" w:hAnsi="arial" w:cs="arial"/>
          <w:i/>
          <w:color w:val="000000"/>
          <w:sz w:val="20"/>
          <w:lang w:val="en-US" w:eastAsia="en-US" w:bidi="ar-SA"/>
        </w:rPr>
        <w:t>Saunders v. Vautier</w:t>
      </w:r>
      <w:r>
        <w:rPr>
          <w:rFonts w:ascii="arial" w:eastAsia="arial" w:hAnsi="arial" w:cs="arial"/>
          <w:color w:val="000000"/>
          <w:sz w:val="20"/>
          <w:lang w:val="en-US" w:eastAsia="en-US" w:bidi="ar-SA"/>
        </w:rPr>
        <w:t xml:space="preserve">. Alternatively, he submits that even if the GRT is a bare trust, a court in the case of special circumstances may refuse to order the transfer of a private company's shares if it will adversely affect the other beneficiaries: </w:t>
      </w:r>
      <w:r>
        <w:rPr>
          <w:rFonts w:ascii="arial" w:eastAsia="arial" w:hAnsi="arial" w:cs="arial"/>
          <w:i/>
          <w:color w:val="000000"/>
          <w:sz w:val="20"/>
          <w:lang w:val="en-US" w:eastAsia="en-US" w:bidi="ar-SA"/>
        </w:rPr>
        <w:t>Lloyd's Bank PLC v. Duker</w:t>
      </w:r>
      <w:r>
        <w:rPr>
          <w:rFonts w:ascii="arial" w:eastAsia="arial" w:hAnsi="arial" w:cs="arial"/>
          <w:color w:val="000000"/>
          <w:sz w:val="20"/>
          <w:lang w:val="en-US" w:eastAsia="en-US" w:bidi="ar-SA"/>
        </w:rPr>
        <w:t>, [1987] 1 W.L.R. 1324, [1987] 3 All E.R. 193 (Ch. 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679</w:t>
      </w:r>
      <w:r>
        <w:rPr>
          <w:rFonts w:ascii="arial" w:eastAsia="arial" w:hAnsi="arial" w:cs="arial"/>
          <w:color w:val="000000"/>
          <w:sz w:val="20"/>
          <w:lang w:val="en-US" w:eastAsia="en-US" w:bidi="ar-SA"/>
        </w:rPr>
        <w:t>  I should note that Howard's submissions were made in the context that the BNT owned a beneficial interest in the GRO shares. I have now ruled to the contrary. Howard's submissions were, however, adopted by counsel on behalf of Jennifer and Julie and remain a live issue for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680</w:t>
      </w:r>
      <w:r>
        <w:rPr>
          <w:rFonts w:ascii="arial" w:eastAsia="arial" w:hAnsi="arial" w:cs="arial"/>
          <w:color w:val="000000"/>
          <w:sz w:val="20"/>
          <w:lang w:val="en-US" w:eastAsia="en-US" w:bidi="ar-SA"/>
        </w:rPr>
        <w:t xml:space="preserve">  I have held that the GRT was a bare trust. In those circumstances, the rule in </w:t>
      </w:r>
      <w:r>
        <w:rPr>
          <w:rFonts w:ascii="arial" w:eastAsia="arial" w:hAnsi="arial" w:cs="arial"/>
          <w:i/>
          <w:color w:val="000000"/>
          <w:sz w:val="20"/>
          <w:lang w:val="en-US" w:eastAsia="en-US" w:bidi="ar-SA"/>
        </w:rPr>
        <w:t>Saunders v. Vautier</w:t>
      </w:r>
      <w:r>
        <w:rPr>
          <w:rFonts w:ascii="arial" w:eastAsia="arial" w:hAnsi="arial" w:cs="arial"/>
          <w:color w:val="000000"/>
          <w:sz w:val="20"/>
          <w:lang w:val="en-US" w:eastAsia="en-US" w:bidi="ar-SA"/>
        </w:rPr>
        <w:t xml:space="preserve"> does not apply. In the case of a bare trust the general proposition is that one of several beneficiaries, being </w:t>
      </w:r>
      <w:r>
        <w:rPr>
          <w:rFonts w:ascii="arial" w:eastAsia="arial" w:hAnsi="arial" w:cs="arial"/>
          <w:i/>
          <w:color w:val="000000"/>
          <w:sz w:val="20"/>
          <w:lang w:val="en-US" w:eastAsia="en-US" w:bidi="ar-SA"/>
        </w:rPr>
        <w:t>sui juris</w:t>
      </w:r>
      <w:r>
        <w:rPr>
          <w:rFonts w:ascii="arial" w:eastAsia="arial" w:hAnsi="arial" w:cs="arial"/>
          <w:color w:val="000000"/>
          <w:sz w:val="20"/>
          <w:lang w:val="en-US" w:eastAsia="en-US" w:bidi="ar-SA"/>
        </w:rPr>
        <w:t xml:space="preserve"> and absolutely and indefeasibly entitled to a share in the trust property can, absent special circumstances, require a transfer of that share to him: </w:t>
      </w:r>
      <w:r>
        <w:rPr>
          <w:rFonts w:ascii="arial" w:eastAsia="arial" w:hAnsi="arial" w:cs="arial"/>
          <w:i/>
          <w:color w:val="000000"/>
          <w:sz w:val="20"/>
          <w:lang w:val="en-US" w:eastAsia="en-US" w:bidi="ar-SA"/>
        </w:rPr>
        <w:t>Re Sandman's Will Trust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Sandeman v. Hayne</w:t>
      </w:r>
      <w:r>
        <w:rPr>
          <w:rFonts w:ascii="arial" w:eastAsia="arial" w:hAnsi="arial" w:cs="arial"/>
          <w:color w:val="000000"/>
          <w:sz w:val="20"/>
          <w:lang w:val="en-US" w:eastAsia="en-US" w:bidi="ar-SA"/>
        </w:rPr>
        <w:t xml:space="preserve">, [1937] 1 All E.R. 368; </w:t>
      </w:r>
      <w:r>
        <w:rPr>
          <w:rFonts w:ascii="arial" w:eastAsia="arial" w:hAnsi="arial" w:cs="arial"/>
          <w:i/>
          <w:color w:val="000000"/>
          <w:sz w:val="20"/>
          <w:lang w:val="en-US" w:eastAsia="en-US" w:bidi="ar-SA"/>
        </w:rPr>
        <w:t>Whonnock Lumber Co. v. G &amp; F Logging Co.</w:t>
      </w:r>
      <w:r>
        <w:rPr>
          <w:rFonts w:ascii="arial" w:eastAsia="arial" w:hAnsi="arial" w:cs="arial"/>
          <w:color w:val="000000"/>
          <w:sz w:val="20"/>
          <w:lang w:val="en-US" w:eastAsia="en-US" w:bidi="ar-SA"/>
        </w:rPr>
        <w:t xml:space="preserve"> </w:t>
      </w:r>
      <w:hyperlink r:id="rId408" w:history="1">
        <w:r>
          <w:rPr>
            <w:rFonts w:ascii="arial" w:eastAsia="arial" w:hAnsi="arial" w:cs="arial"/>
            <w:i/>
            <w:color w:val="0077CC"/>
            <w:sz w:val="20"/>
            <w:u w:val="single"/>
            <w:shd w:val="clear" w:color="auto" w:fill="FFFFFF"/>
            <w:lang w:val="en-US" w:eastAsia="en-US" w:bidi="ar-SA"/>
          </w:rPr>
          <w:t>(1968), 69 D.L.R. (2d) 561</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Kordyban v. Kordyban</w:t>
      </w:r>
      <w:r>
        <w:rPr>
          <w:rFonts w:ascii="arial" w:eastAsia="arial" w:hAnsi="arial" w:cs="arial"/>
          <w:color w:val="000000"/>
          <w:sz w:val="20"/>
          <w:lang w:val="en-US" w:eastAsia="en-US" w:bidi="ar-SA"/>
        </w:rPr>
        <w:t xml:space="preserve"> </w:t>
      </w:r>
      <w:hyperlink r:id="rId409" w:history="1">
        <w:r>
          <w:rPr>
            <w:rFonts w:ascii="arial" w:eastAsia="arial" w:hAnsi="arial" w:cs="arial"/>
            <w:i/>
            <w:color w:val="0077CC"/>
            <w:sz w:val="20"/>
            <w:u w:val="single"/>
            <w:shd w:val="clear" w:color="auto" w:fill="FFFFFF"/>
            <w:lang w:val="en-US" w:eastAsia="en-US" w:bidi="ar-SA"/>
          </w:rPr>
          <w:t>2002 BCSC 1506</w:t>
        </w:r>
      </w:hyperlink>
      <w:r>
        <w:rPr>
          <w:rFonts w:ascii="arial" w:eastAsia="arial" w:hAnsi="arial" w:cs="arial"/>
          <w:color w:val="000000"/>
          <w:sz w:val="20"/>
          <w:lang w:val="en-US" w:eastAsia="en-US" w:bidi="ar-SA"/>
        </w:rPr>
        <w:t xml:space="preserve"> aff'd </w:t>
      </w:r>
      <w:hyperlink r:id="rId394" w:history="1">
        <w:r>
          <w:rPr>
            <w:rFonts w:ascii="arial" w:eastAsia="arial" w:hAnsi="arial" w:cs="arial"/>
            <w:i/>
            <w:color w:val="0077CC"/>
            <w:sz w:val="20"/>
            <w:u w:val="single"/>
            <w:shd w:val="clear" w:color="auto" w:fill="FFFFFF"/>
            <w:lang w:val="en-US" w:eastAsia="en-US" w:bidi="ar-SA"/>
          </w:rPr>
          <w:t>2003 BCCA 216</w:t>
        </w:r>
      </w:hyperlink>
      <w:r>
        <w:rPr>
          <w:rFonts w:ascii="arial" w:eastAsia="arial" w:hAnsi="arial" w:cs="arial"/>
          <w:color w:val="000000"/>
          <w:sz w:val="20"/>
          <w:lang w:val="en-US" w:eastAsia="en-US" w:bidi="ar-SA"/>
        </w:rPr>
        <w:t xml:space="preserve">, </w:t>
      </w:r>
      <w:hyperlink r:id="rId394" w:history="1">
        <w:r>
          <w:rPr>
            <w:rFonts w:ascii="arial" w:eastAsia="arial" w:hAnsi="arial" w:cs="arial"/>
            <w:i/>
            <w:color w:val="0077CC"/>
            <w:sz w:val="20"/>
            <w:u w:val="single"/>
            <w:shd w:val="clear" w:color="auto" w:fill="FFFFFF"/>
            <w:lang w:val="en-US" w:eastAsia="en-US" w:bidi="ar-SA"/>
          </w:rPr>
          <w:t>13 B.C.L.R. 4th 50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681</w:t>
      </w:r>
      <w:r>
        <w:rPr>
          <w:rFonts w:ascii="arial" w:eastAsia="arial" w:hAnsi="arial" w:cs="arial"/>
          <w:color w:val="000000"/>
          <w:sz w:val="20"/>
          <w:lang w:val="en-US" w:eastAsia="en-US" w:bidi="ar-SA"/>
        </w:rPr>
        <w:t>  In this case, there are no special circumstances to prevent the application of the general rule. Each of the beneficial shareholders of GRO has an equal interest. The transfer of the shares to the plaintiff beneficiaries will not adversely impact Jennifer and Julie. They are minority shareholders and will remain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682</w:t>
      </w:r>
      <w:r>
        <w:rPr>
          <w:rFonts w:ascii="arial" w:eastAsia="arial" w:hAnsi="arial" w:cs="arial"/>
          <w:color w:val="000000"/>
          <w:sz w:val="20"/>
          <w:lang w:val="en-US" w:eastAsia="en-US" w:bidi="ar-SA"/>
        </w:rPr>
        <w:t>  William is, however, entitled to be reimbursed for expenses he has incurred as trustee of the GRO shares. He should, within 60 days of the date of these reasons, pass his accounts. The plaintiff beneficiaries will be liable for two-thirds of those costs with the remaining one-third being the responsibility of Jennifer and Julie. Upon the beneficiaries paying their respective share of William's costs and expenses, William shall transfer to them their interest in the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683</w:t>
      </w:r>
      <w:r>
        <w:rPr>
          <w:rFonts w:ascii="arial" w:eastAsia="arial" w:hAnsi="arial" w:cs="arial"/>
          <w:color w:val="000000"/>
          <w:sz w:val="20"/>
          <w:lang w:val="en-US" w:eastAsia="en-US" w:bidi="ar-SA"/>
        </w:rPr>
        <w:t>  I do appreciate that there is some urgency in normalizing the affairs of GRO. If William has not prepared his accounts within 60 days, the parties are at liberty to apply for directions concerning the mechanics of transferring the GRO shares and regularizing the affairs of GRO.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 Validity of Davis and Bronson Assignment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684</w:t>
      </w:r>
      <w:r>
        <w:rPr>
          <w:rFonts w:ascii="arial" w:eastAsia="arial" w:hAnsi="arial" w:cs="arial"/>
          <w:color w:val="000000"/>
          <w:sz w:val="20"/>
          <w:lang w:val="en-US" w:eastAsia="en-US" w:bidi="ar-SA"/>
        </w:rPr>
        <w:t>  In his written submission, Howard alleged that Tommy and Davis were without standing to claim for breach of trust because they are not and have never been beneficiaries of the BNT or legal assignees of a beneficial interest in the BNT.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685</w:t>
      </w:r>
      <w:r>
        <w:rPr>
          <w:rFonts w:ascii="arial" w:eastAsia="arial" w:hAnsi="arial" w:cs="arial"/>
          <w:color w:val="000000"/>
          <w:sz w:val="20"/>
          <w:lang w:val="en-US" w:eastAsia="en-US" w:bidi="ar-SA"/>
        </w:rPr>
        <w:t>  The foundation of that submission is found in clause 4 of the BNT Trust Agreement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Spendthrift Provision</w:t>
      </w:r>
      <w:r>
        <w:rPr>
          <w:rFonts w:ascii="arial" w:eastAsia="arial" w:hAnsi="arial" w:cs="arial"/>
          <w:color w:val="000000"/>
          <w:sz w:val="20"/>
          <w:lang w:val="en-US" w:eastAsia="en-US" w:bidi="ar-SA"/>
        </w:rPr>
        <w:t xml:space="preserve"> - The interest of the beneficiaries and the principal or income of this Trust shall not be subject to assignment, alienation, pledge, attachment, or claims of creditors and shall not otherwise be voluntarily or involuntarily alienated or encumbered by such beneficiaries.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686</w:t>
      </w:r>
      <w:r>
        <w:rPr>
          <w:rFonts w:ascii="arial" w:eastAsia="arial" w:hAnsi="arial" w:cs="arial"/>
          <w:color w:val="000000"/>
          <w:sz w:val="20"/>
          <w:lang w:val="en-US" w:eastAsia="en-US" w:bidi="ar-SA"/>
        </w:rPr>
        <w:t>  In their reply submission, the plaintiffs argued that a Canadian trust cannot prevent assignment by a beneficiary and that clause 4 of the BNT Trust Agreement cannot be interpreted to mean that the beneficiaries were unable to assign their interest in the trust, because such a limitation on the alienability of an individual's property is not permitted under Canadian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687</w:t>
      </w:r>
      <w:r>
        <w:rPr>
          <w:rFonts w:ascii="arial" w:eastAsia="arial" w:hAnsi="arial" w:cs="arial"/>
          <w:color w:val="000000"/>
          <w:sz w:val="20"/>
          <w:lang w:val="en-US" w:eastAsia="en-US" w:bidi="ar-SA"/>
        </w:rPr>
        <w:t>  In the course of oral argument, Howard resiled from his submission and conceded the validity of the assignments. In the result, the claims of Tommy and Davis for breach of trust are maintainable.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 Exoneration of Trustee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688</w:t>
      </w:r>
      <w:r>
        <w:rPr>
          <w:rFonts w:ascii="arial" w:eastAsia="arial" w:hAnsi="arial" w:cs="arial"/>
          <w:color w:val="000000"/>
          <w:sz w:val="20"/>
          <w:lang w:val="en-US" w:eastAsia="en-US" w:bidi="ar-SA"/>
        </w:rPr>
        <w:t xml:space="preserve">  Howard submits that he should be exonerated from the consequences of his breaches of trust in selling the Big Nine shares without proper authority and wrongfully distributing the proceeds of the Big Nine Share Transaction to some beneficiaries and not others. He submits he sold the shares in good faith and there was no loss of trust property caused by his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wilful breach of trust. He relies on the terms of the BNT Trust Agreement and the provisions of s. 96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689</w:t>
      </w:r>
      <w:r>
        <w:rPr>
          <w:rFonts w:ascii="arial" w:eastAsia="arial" w:hAnsi="arial" w:cs="arial"/>
          <w:color w:val="000000"/>
          <w:sz w:val="20"/>
          <w:lang w:val="en-US" w:eastAsia="en-US" w:bidi="ar-SA"/>
        </w:rPr>
        <w:t>  Clause 13 of the BNT Trust Agreement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w:t>
      </w:r>
      <w:r>
        <w:rPr>
          <w:rFonts w:ascii="arial" w:eastAsia="arial" w:hAnsi="arial" w:cs="arial"/>
          <w:color w:val="000000"/>
          <w:sz w:val="20"/>
          <w:u w:val="single"/>
          <w:lang w:val="en-US" w:eastAsia="en-US" w:bidi="ar-SA"/>
        </w:rPr>
        <w:t>Exoneration of Trustee</w:t>
      </w:r>
      <w:r>
        <w:rPr>
          <w:rFonts w:ascii="arial" w:eastAsia="arial" w:hAnsi="arial" w:cs="arial"/>
          <w:color w:val="000000"/>
          <w:sz w:val="20"/>
          <w:lang w:val="en-US" w:eastAsia="en-US" w:bidi="ar-SA"/>
        </w:rPr>
        <w:t xml:space="preserve"> - No trustee provided he act in good faith, shall be held liable for any loss occasioned to the trust property except for loss caused by his own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wilful breach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690</w:t>
      </w:r>
      <w:r>
        <w:rPr>
          <w:rFonts w:ascii="arial" w:eastAsia="arial" w:hAnsi="arial" w:cs="arial"/>
          <w:color w:val="000000"/>
          <w:sz w:val="20"/>
          <w:lang w:val="en-US" w:eastAsia="en-US" w:bidi="ar-SA"/>
        </w:rPr>
        <w:t xml:space="preserve">  Section 96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it appears to the court that a trustee, however appointed, is or may be personally liable for a breach of trust, whenever the transaction alleged to be a breach of trust occurred, but has acted honestly and reasonably, and ought fairly to be excused for the breach of trust and for omitting to obtain the directions of the court in the matter in which the trustee committed the breach, then the court may relieve the trustee either wholly or partly from that personal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691</w:t>
      </w:r>
      <w:r>
        <w:rPr>
          <w:rFonts w:ascii="arial" w:eastAsia="arial" w:hAnsi="arial" w:cs="arial"/>
          <w:color w:val="000000"/>
          <w:sz w:val="20"/>
          <w:lang w:val="en-US" w:eastAsia="en-US" w:bidi="ar-SA"/>
        </w:rPr>
        <w:t xml:space="preserve">  Both clause 13 of the BNT Trust Agreement and s. 96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are premised on a trustee acting in good faith. The purpose of the legislation was described in </w:t>
      </w:r>
      <w:r>
        <w:rPr>
          <w:rFonts w:ascii="arial" w:eastAsia="arial" w:hAnsi="arial" w:cs="arial"/>
          <w:i/>
          <w:color w:val="000000"/>
          <w:sz w:val="20"/>
          <w:lang w:val="en-US" w:eastAsia="en-US" w:bidi="ar-SA"/>
        </w:rPr>
        <w:t>Fales</w:t>
      </w:r>
      <w:r>
        <w:rPr>
          <w:rFonts w:ascii="arial" w:eastAsia="arial" w:hAnsi="arial" w:cs="arial"/>
          <w:color w:val="000000"/>
          <w:sz w:val="20"/>
          <w:lang w:val="en-US" w:eastAsia="en-US" w:bidi="ar-SA"/>
        </w:rPr>
        <w:t xml:space="preserve"> at 324, where the court made the following comments about what was then s. 98: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98 is remedial legislation, giving statutory recognition to the fact that the standard of conduct which courts have expected of trustees has been, at times and in certain circumstances, unduly harsh and inflexible: see "The Trustee's Duty of Skill and Care", (1973), 37 </w:t>
      </w:r>
      <w:r>
        <w:rPr>
          <w:rFonts w:ascii="arial" w:eastAsia="arial" w:hAnsi="arial" w:cs="arial"/>
          <w:i/>
          <w:color w:val="000000"/>
          <w:sz w:val="20"/>
          <w:lang w:val="en-US" w:eastAsia="en-US" w:bidi="ar-SA"/>
        </w:rPr>
        <w:t>The Conveyancer and Property Lawyer (N.S.)</w:t>
      </w:r>
      <w:r>
        <w:rPr>
          <w:rFonts w:ascii="arial" w:eastAsia="arial" w:hAnsi="arial" w:cs="arial"/>
          <w:color w:val="000000"/>
          <w:sz w:val="20"/>
          <w:lang w:val="en-US" w:eastAsia="en-US" w:bidi="ar-SA"/>
        </w:rPr>
        <w:t xml:space="preserve"> 48. Section 98 permits the court or a judge to relieve a trustee from personal liability for breach of trust if the trustee has acted honestly and reasonably and ought fairly to be excused.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Langley v. Brownjohn</w:t>
      </w:r>
      <w:r>
        <w:rPr>
          <w:rFonts w:ascii="arial" w:eastAsia="arial" w:hAnsi="arial" w:cs="arial"/>
          <w:color w:val="000000"/>
          <w:sz w:val="20"/>
          <w:lang w:val="en-US" w:eastAsia="en-US" w:bidi="ar-SA"/>
        </w:rPr>
        <w:t xml:space="preserve">, </w:t>
      </w:r>
      <w:hyperlink r:id="rId410" w:history="1">
        <w:r>
          <w:rPr>
            <w:rFonts w:ascii="arial" w:eastAsia="arial" w:hAnsi="arial" w:cs="arial"/>
            <w:i/>
            <w:color w:val="0077CC"/>
            <w:sz w:val="20"/>
            <w:u w:val="single"/>
            <w:shd w:val="clear" w:color="auto" w:fill="FFFFFF"/>
            <w:lang w:val="en-US" w:eastAsia="en-US" w:bidi="ar-SA"/>
          </w:rPr>
          <w:t>2007 BCSC 156</w:t>
        </w:r>
      </w:hyperlink>
      <w:r>
        <w:rPr>
          <w:rFonts w:ascii="arial" w:eastAsia="arial" w:hAnsi="arial" w:cs="arial"/>
          <w:color w:val="000000"/>
          <w:sz w:val="20"/>
          <w:lang w:val="en-US" w:eastAsia="en-US" w:bidi="ar-SA"/>
        </w:rPr>
        <w:t xml:space="preserve">, </w:t>
      </w:r>
      <w:hyperlink r:id="rId410" w:history="1">
        <w:r>
          <w:rPr>
            <w:rFonts w:ascii="arial" w:eastAsia="arial" w:hAnsi="arial" w:cs="arial"/>
            <w:i/>
            <w:color w:val="0077CC"/>
            <w:sz w:val="20"/>
            <w:u w:val="single"/>
            <w:shd w:val="clear" w:color="auto" w:fill="FFFFFF"/>
            <w:lang w:val="en-US" w:eastAsia="en-US" w:bidi="ar-SA"/>
          </w:rPr>
          <w:t>35 E.T.R. (3d) 38</w:t>
        </w:r>
      </w:hyperlink>
      <w:r>
        <w:rPr>
          <w:rFonts w:ascii="arial" w:eastAsia="arial" w:hAnsi="arial" w:cs="arial"/>
          <w:color w:val="000000"/>
          <w:sz w:val="20"/>
          <w:lang w:val="en-US" w:eastAsia="en-US" w:bidi="ar-SA"/>
        </w:rPr>
        <w:t>, Ballance J. set out the factors to be considered on an application under s. 96 at paras. 61-63: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 Accordingly, for a trustee to be excused, the trustee must satisfy all three elements: he or she must have acted honestly; must have acted reasonably; and the court must find that, in the circumstances, it would be fair to excuse the trustee for the breach and for failing to obtain directions from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62 Whether or not a trustee should be excused for his or her breach is highly dependent upon the circumstances peculiar to each case; there are no hard and fast definitions of the types of behaviour that will be excused or those that will not.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63 The burden rests with the trustee who is seeking the protection of section 96 to prove that his or her actions are worthy of the exercise of the court's discretion to excuse the trustee for the breach: </w:t>
      </w:r>
      <w:r>
        <w:rPr>
          <w:rFonts w:ascii="arial" w:eastAsia="arial" w:hAnsi="arial" w:cs="arial"/>
          <w:i/>
          <w:color w:val="000000"/>
          <w:sz w:val="20"/>
          <w:lang w:val="en-US" w:eastAsia="en-US" w:bidi="ar-SA"/>
        </w:rPr>
        <w:t>Waters' Law of Trusts in Canada, supra</w:t>
      </w:r>
      <w:r>
        <w:rPr>
          <w:rFonts w:ascii="arial" w:eastAsia="arial" w:hAnsi="arial" w:cs="arial"/>
          <w:color w:val="000000"/>
          <w:sz w:val="20"/>
          <w:lang w:val="en-US" w:eastAsia="en-US" w:bidi="ar-SA"/>
        </w:rPr>
        <w:t>, page 1258.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693</w:t>
      </w:r>
      <w:r>
        <w:rPr>
          <w:rFonts w:ascii="arial" w:eastAsia="arial" w:hAnsi="arial" w:cs="arial"/>
          <w:color w:val="000000"/>
          <w:sz w:val="20"/>
          <w:lang w:val="en-US" w:eastAsia="en-US" w:bidi="ar-SA"/>
        </w:rPr>
        <w:t>  I have found Howard in breach of trust for the unauthorized sale of the Big Nine shares. I have found that that sale was improvident and caused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694</w:t>
      </w:r>
      <w:r>
        <w:rPr>
          <w:rFonts w:ascii="arial" w:eastAsia="arial" w:hAnsi="arial" w:cs="arial"/>
          <w:color w:val="000000"/>
          <w:sz w:val="20"/>
          <w:lang w:val="en-US" w:eastAsia="en-US" w:bidi="ar-SA"/>
        </w:rPr>
        <w:t>  If I had accepted Howard's evidence that he was unaware of Harold's right to become trustee, I would be inclined in the circumstances of this case to excuse Howard for the loss caused by the improvident sale. He entered into the sale in good faith. Tommy, a beneficiary and experienced businessman, had agreed to the method of sale and the sale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695</w:t>
      </w:r>
      <w:r>
        <w:rPr>
          <w:rFonts w:ascii="arial" w:eastAsia="arial" w:hAnsi="arial" w:cs="arial"/>
          <w:color w:val="000000"/>
          <w:sz w:val="20"/>
          <w:lang w:val="en-US" w:eastAsia="en-US" w:bidi="ar-SA"/>
        </w:rPr>
        <w:t xml:space="preserve">  The difficulty with Howard's submission, however, is that I cannot find that he acted in good faith. For reasons that have been set out, I have found that he knew that Harold had the right to be co-trustee and he embarked on a course of action with Eugene to conceal that information from Harold and the beneficiaries. In such circumstances, I cannot find that Howard acted honestly or in good faith in selling the Big Nine shares. Honesty and good faith are a prerequisite to exoneration under either the terms of the BNT Trust Agreement or s. 96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Howard's application to be relieved from liability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696</w:t>
      </w:r>
      <w:r>
        <w:rPr>
          <w:rFonts w:ascii="arial" w:eastAsia="arial" w:hAnsi="arial" w:cs="arial"/>
          <w:color w:val="000000"/>
          <w:sz w:val="20"/>
          <w:lang w:val="en-US" w:eastAsia="en-US" w:bidi="ar-SA"/>
        </w:rPr>
        <w:t>  With regard to his decision to distribute funds to some beneficiaries and not others, Howard asks the Court to consider all of the circumstances, including the ambiguous nature of para. 2(a) of the BNT Trust Agreement, Davis' refusal to cash the cheque, and the absence of a demand for payment by the other beneficiaries. In those circumstances, it is submitted that Howard's decision to hold the funds was made honestly, reasonably and in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697</w:t>
      </w:r>
      <w:r>
        <w:rPr>
          <w:rFonts w:ascii="arial" w:eastAsia="arial" w:hAnsi="arial" w:cs="arial"/>
          <w:color w:val="000000"/>
          <w:sz w:val="20"/>
          <w:lang w:val="en-US" w:eastAsia="en-US" w:bidi="ar-SA"/>
        </w:rPr>
        <w:t>  Howard's decision to distribute trust property to some beneficiaries and not others cannot be forgiven. This breach did not arise in good faith. It arose because Howard put his self interests in obtaining a release and indemnity before the interests of the beneficiaries. He is not entitled to be relieved from the consequences of that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 Enforceability of Davis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698</w:t>
      </w:r>
      <w:r>
        <w:rPr>
          <w:rFonts w:ascii="arial" w:eastAsia="arial" w:hAnsi="arial" w:cs="arial"/>
          <w:color w:val="000000"/>
          <w:sz w:val="20"/>
          <w:lang w:val="en-US" w:eastAsia="en-US" w:bidi="ar-SA"/>
        </w:rPr>
        <w:t xml:space="preserve">  Howard submits that Davis' claim with respect to any breach of trust relating to the sale of shares is barred because he signed the Release and returned it to Howard. If a beneficiary acquiesces in a breach of trust after its occurrence, that beneficiary is barred from suing the trustee in the event of a loss from the breach: </w:t>
      </w:r>
      <w:r>
        <w:rPr>
          <w:rFonts w:ascii="arial" w:eastAsia="arial" w:hAnsi="arial" w:cs="arial"/>
          <w:i/>
          <w:color w:val="000000"/>
          <w:sz w:val="20"/>
          <w:lang w:val="en-US" w:eastAsia="en-US" w:bidi="ar-SA"/>
        </w:rPr>
        <w:t>Re McNeill</w:t>
      </w:r>
      <w:r>
        <w:rPr>
          <w:rFonts w:ascii="arial" w:eastAsia="arial" w:hAnsi="arial" w:cs="arial"/>
          <w:color w:val="000000"/>
          <w:sz w:val="20"/>
          <w:lang w:val="en-US" w:eastAsia="en-US" w:bidi="ar-SA"/>
        </w:rPr>
        <w:t xml:space="preserve"> </w:t>
      </w:r>
      <w:hyperlink r:id="rId411" w:history="1">
        <w:r>
          <w:rPr>
            <w:rFonts w:ascii="arial" w:eastAsia="arial" w:hAnsi="arial" w:cs="arial"/>
            <w:i/>
            <w:color w:val="0077CC"/>
            <w:sz w:val="20"/>
            <w:u w:val="single"/>
            <w:shd w:val="clear" w:color="auto" w:fill="FFFFFF"/>
            <w:lang w:val="en-US" w:eastAsia="en-US" w:bidi="ar-SA"/>
          </w:rPr>
          <w:t>(1911), 19 W.L.R. 691</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Waters</w:t>
      </w:r>
      <w:r>
        <w:rPr>
          <w:rFonts w:ascii="arial" w:eastAsia="arial" w:hAnsi="arial" w:cs="arial"/>
          <w:color w:val="000000"/>
          <w:sz w:val="20"/>
          <w:lang w:val="en-US" w:eastAsia="en-US" w:bidi="ar-SA"/>
        </w:rPr>
        <w:t xml:space="preserve"> at 1237. The beneficiary, who acquiesces, however, must have full information of all pertinent facts and circumstances and must understand his or her rights in what he is consenting to, concurring in or acquiescing to: </w:t>
      </w:r>
      <w:r>
        <w:rPr>
          <w:rFonts w:ascii="arial" w:eastAsia="arial" w:hAnsi="arial" w:cs="arial"/>
          <w:i/>
          <w:color w:val="000000"/>
          <w:sz w:val="20"/>
          <w:lang w:val="en-US" w:eastAsia="en-US" w:bidi="ar-SA"/>
        </w:rPr>
        <w:t>Langley</w:t>
      </w:r>
      <w:r>
        <w:rPr>
          <w:rFonts w:ascii="arial" w:eastAsia="arial" w:hAnsi="arial" w:cs="arial"/>
          <w:color w:val="000000"/>
          <w:sz w:val="20"/>
          <w:lang w:val="en-US" w:eastAsia="en-US" w:bidi="ar-SA"/>
        </w:rPr>
        <w:t xml:space="preserve"> at para. 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699</w:t>
      </w:r>
      <w:r>
        <w:rPr>
          <w:rFonts w:ascii="arial" w:eastAsia="arial" w:hAnsi="arial" w:cs="arial"/>
          <w:color w:val="000000"/>
          <w:sz w:val="20"/>
          <w:lang w:val="en-US" w:eastAsia="en-US" w:bidi="ar-SA"/>
        </w:rPr>
        <w:t>  In this case, Davis did not know that Howard was not authorized to sell the Big Nine shares. That information had been carefully concealed from Davis and the other beneficiaries. In face of his non-disclosure, Howard cannot now rely on the Davis Release. Davis is entitled to receive his share of the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 The Third Party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700</w:t>
      </w:r>
      <w:r>
        <w:rPr>
          <w:rFonts w:ascii="arial" w:eastAsia="arial" w:hAnsi="arial" w:cs="arial"/>
          <w:color w:val="000000"/>
          <w:sz w:val="20"/>
          <w:lang w:val="en-US" w:eastAsia="en-US" w:bidi="ar-SA"/>
        </w:rPr>
        <w:t xml:space="preserve">  Howard issued a third party notice against Tommy, claiming,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damages for breach of warranty of authority and/or negligent misstatement in the event that Howard was found liable to any of the plaintiffs' beneficiaries. The foundation of the claim is that Tommy represented to Howard through his words and conduct that he had authority to act on behalf of Lee, Virginia, and Davis, and on behalf of them and himself, he agreed to the cash counter offer made to Barry on December 3, 2003, which Barry ultimately accepted. Howard said he relied on Tommy's representations that he had authority to act for Lee, Virginia and Davis, and that the elements of a claim for breach of warranty are established. As such, Howard submits that if he is liable to Lee, Virginia and Davis, or any of them, in breach of trust for his decision to sell the shares, then Tommy is liable to Howard for breach of warranty of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701</w:t>
      </w:r>
      <w:r>
        <w:rPr>
          <w:rFonts w:ascii="arial" w:eastAsia="arial" w:hAnsi="arial" w:cs="arial"/>
          <w:color w:val="000000"/>
          <w:sz w:val="20"/>
          <w:lang w:val="en-US" w:eastAsia="en-US" w:bidi="ar-SA"/>
        </w:rPr>
        <w:t>  The third party claim must fail for the same reason that the defence based on the Davis Release fails. To the extent that Tommy concurred in the sale, and may have indicated that his concurrence was also that of Lee, Virginia and Davis, that concurrence was founded on Tommy's erroneous understanding that Howard had the legal authority as trustee to sell the Big Nine shares. If Tommy had known that Howard did not have authority to sell the shares absent determination of Harold's status as co-trustee, there is no doubt that Tommy would not have consented to the sale. As became clear in January 2004, Harold was adamantly opposed to the sale and the sale itself would not have taken place absent Howard and Eugene's deception concerning Harold's status. This finding is fatal to the third party claim against Tommy. The third party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 Removal of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702</w:t>
      </w:r>
      <w:r>
        <w:rPr>
          <w:rFonts w:ascii="arial" w:eastAsia="arial" w:hAnsi="arial" w:cs="arial"/>
          <w:color w:val="000000"/>
          <w:sz w:val="20"/>
          <w:lang w:val="en-US" w:eastAsia="en-US" w:bidi="ar-SA"/>
        </w:rPr>
        <w:t>  The plaintiffs seek an order that Howard be removed as trustee, that Harold be confirmed as a trustee of the Big Nine Trust and that Virginia be appointed a trustee in substitution for Howard.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703</w:t>
      </w:r>
      <w:r>
        <w:rPr>
          <w:rFonts w:ascii="arial" w:eastAsia="arial" w:hAnsi="arial" w:cs="arial"/>
          <w:color w:val="000000"/>
          <w:sz w:val="20"/>
          <w:lang w:val="en-US" w:eastAsia="en-US" w:bidi="ar-SA"/>
        </w:rPr>
        <w:t xml:space="preserve">  Given the findings I have made, Howard's removal as trustee would in the normal course follow. I am hesitant, however, to make that order absent further submissions. In that regard, I note that as a result of the decisions made in these reasons the entire </w:t>
      </w:r>
      <w:r>
        <w:rPr>
          <w:rFonts w:ascii="arial" w:eastAsia="arial" w:hAnsi="arial" w:cs="arial"/>
          <w:i/>
          <w:color w:val="000000"/>
          <w:sz w:val="20"/>
          <w:lang w:val="en-US" w:eastAsia="en-US" w:bidi="ar-SA"/>
        </w:rPr>
        <w:t>corpus</w:t>
      </w:r>
      <w:r>
        <w:rPr>
          <w:rFonts w:ascii="arial" w:eastAsia="arial" w:hAnsi="arial" w:cs="arial"/>
          <w:color w:val="000000"/>
          <w:sz w:val="20"/>
          <w:lang w:val="en-US" w:eastAsia="en-US" w:bidi="ar-SA"/>
        </w:rPr>
        <w:t xml:space="preserve"> of the BNT has been distributed. Whether a trust remains to be administered would appear to be a live question. Further, Howard has been in negotiations with Revenue Canada concerning certain matters. The status of those discussions has not been disclosed to the Court and I do not know whether Howard's removal would prejudice those discussions.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704</w:t>
      </w:r>
      <w:r>
        <w:rPr>
          <w:rFonts w:ascii="arial" w:eastAsia="arial" w:hAnsi="arial" w:cs="arial"/>
          <w:color w:val="000000"/>
          <w:sz w:val="20"/>
          <w:lang w:val="en-US" w:eastAsia="en-US" w:bidi="ar-SA"/>
        </w:rPr>
        <w:t>  I should say that I am not inclined at this stage to confirm Harold as a trustee. Although I have found that Harold was entitled in 2002 to become a trustee, given the events of the last several years I am not certain that it would now be appropriate for him to take up that mantle. Jennifer and Julie are beneficiaries of this trust, and given the now further exacerbated enmity between Harold and their father, they may have some legitimate concerns concerning that appointment. Virginia's appointment as sole trustee might possibly raise similar concerns. A possible solution might be to appoint Virginia and either Jennifer or Julie as co-trustees.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705</w:t>
      </w:r>
      <w:r>
        <w:rPr>
          <w:rFonts w:ascii="arial" w:eastAsia="arial" w:hAnsi="arial" w:cs="arial"/>
          <w:color w:val="000000"/>
          <w:sz w:val="20"/>
          <w:lang w:val="en-US" w:eastAsia="en-US" w:bidi="ar-SA"/>
        </w:rPr>
        <w:t>  I will leave it to the parties to consider whether, in light of these reasons, it is necessary to remove Howard as trustee and, if he is removed, who should replace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706</w:t>
      </w:r>
      <w:r>
        <w:rPr>
          <w:rFonts w:ascii="arial" w:eastAsia="arial" w:hAnsi="arial" w:cs="arial"/>
          <w:color w:val="000000"/>
          <w:sz w:val="20"/>
          <w:lang w:val="en-US" w:eastAsia="en-US" w:bidi="ar-SA"/>
        </w:rPr>
        <w:t>  In summary, therefore, I have found that the sale of the Big Nine shares by Howard was a breach of trust. I have assessed damages arising from that sale at $350,000 plus pre-judgment interest from January 1, 2006. Those damages will be payable to Tommy, Lee, Virginia and Davis in proportion to their respective interests in the BNT. Howard and Eugene are jointly and severally liable for those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707</w:t>
      </w:r>
      <w:r>
        <w:rPr>
          <w:rFonts w:ascii="arial" w:eastAsia="arial" w:hAnsi="arial" w:cs="arial"/>
          <w:color w:val="000000"/>
          <w:sz w:val="20"/>
          <w:lang w:val="en-US" w:eastAsia="en-US" w:bidi="ar-SA"/>
        </w:rPr>
        <w:t>  With regard to the BNO Share Transaction proceeds, Howard will pay to each of Lee, Virginia and Davis $66,000 USD and to Tommy $198,000 USD. Those funds will bear pre-judgment interest from March 3,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708</w:t>
      </w:r>
      <w:r>
        <w:rPr>
          <w:rFonts w:ascii="arial" w:eastAsia="arial" w:hAnsi="arial" w:cs="arial"/>
          <w:color w:val="000000"/>
          <w:sz w:val="20"/>
          <w:lang w:val="en-US" w:eastAsia="en-US" w:bidi="ar-SA"/>
        </w:rPr>
        <w:t>  Within 60 days of these reasons, William will prepare his accounts with regard to the operation of the Trapline and acting as trustee of the GRO shares. Upon the beneficiaries paying their respective share of William's costs and expenses, William shall transfer to them their respective interest in the GRO shares as set out in these reasons. If William does not prepare his accounts within 60 days, the parties are at liberty to make further submissions concerning the mechanics of transferring the GRO shares and regularizing the affairs of GRO.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709</w:t>
      </w:r>
      <w:r>
        <w:rPr>
          <w:rFonts w:ascii="arial" w:eastAsia="arial" w:hAnsi="arial" w:cs="arial"/>
          <w:color w:val="000000"/>
          <w:sz w:val="20"/>
          <w:lang w:val="en-US" w:eastAsia="en-US" w:bidi="ar-SA"/>
        </w:rPr>
        <w:t>  The claims against Mason and BHT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710</w:t>
      </w:r>
      <w:r>
        <w:rPr>
          <w:rFonts w:ascii="arial" w:eastAsia="arial" w:hAnsi="arial" w:cs="arial"/>
          <w:color w:val="000000"/>
          <w:sz w:val="20"/>
          <w:lang w:val="en-US" w:eastAsia="en-US" w:bidi="ar-SA"/>
        </w:rPr>
        <w:t>  The third party claim against Tommy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711</w:t>
      </w:r>
      <w:r>
        <w:rPr>
          <w:rFonts w:ascii="arial" w:eastAsia="arial" w:hAnsi="arial" w:cs="arial"/>
          <w:color w:val="000000"/>
          <w:sz w:val="20"/>
          <w:lang w:val="en-US" w:eastAsia="en-US" w:bidi="ar-SA"/>
        </w:rPr>
        <w:t>  The parties should make arrangements with Supreme Court Scheduling to speak to the question of costs, the removal of Howard as trustee, whether a new trustee is required and any other matter that may arise from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712</w:t>
      </w:r>
      <w:r>
        <w:rPr>
          <w:rFonts w:ascii="arial" w:eastAsia="arial" w:hAnsi="arial" w:cs="arial"/>
          <w:color w:val="000000"/>
          <w:sz w:val="20"/>
          <w:lang w:val="en-US" w:eastAsia="en-US" w:bidi="ar-SA"/>
        </w:rPr>
        <w:t>  In closing, I wish to express my appreciation to all counsel for their thorough and thoughtful submissions and their ongoing assistance during this long and difficult matter. Their professionalism throughout was greatly appreciated and made my task less difficult than it might have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R.B.T. GOEPEL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CORRECTION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April 12,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R.B.T. GOEPEL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On the first page of the Reasons, in the Style of Cause, the spelling of the plaintiff "H. David Lewis, Jr." has been corrected to "H. Davis Lewis, Jr.".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On page 2 of the Reasons, the spelling of counsels' names have been corrected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 DeFilippi has been corrected to read "R.R.E. DeFilippi"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 Sarna has been corrected to read "N.M. Sarna"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Johnston has been corrected to read "B.R.H. Johnston".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On page 17, paragraph 45 the date of "September 25, 1967" has been corrected to read "February 25, 1967".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On page 29, paragraph 112, the date of "February 2004" has been corrected to read "February 1984".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On page 70, paragraph 326, in the first line, the phrase "counsel for both Eugene and Harold" has been corrected to read "counsel for both Eugene and Howard".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R.B.T. GOEPEL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7" style="position:absolute;z-index:2518794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12"/>
          <w:headerReference w:type="default" r:id="rId413"/>
          <w:footerReference w:type="even" r:id="rId414"/>
          <w:footerReference w:type="default" r:id="rId415"/>
          <w:headerReference w:type="first" r:id="rId416"/>
          <w:footerReference w:type="first" r:id="rId41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18" w:history="1">
        <w:r>
          <w:rPr>
            <w:rFonts w:ascii="arial" w:eastAsia="arial" w:hAnsi="arial" w:cs="arial"/>
            <w:b/>
            <w:bCs/>
            <w:i/>
            <w:color w:val="0077CC"/>
            <w:kern w:val="32"/>
            <w:sz w:val="28"/>
            <w:szCs w:val="32"/>
            <w:u w:val="single"/>
            <w:shd w:val="clear" w:color="auto" w:fill="FFFFFF"/>
            <w:lang w:val="en-US" w:eastAsia="en-US" w:bidi="ar-SA"/>
          </w:rPr>
          <w:t>Chow v. Schuler, [2014] B.C.J. No. 325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N.P. Kent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7-10,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January 24,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M121358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325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309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66 M.V.R. (6th) 277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238 A.C.W.S. (3d) 261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CarswellBC 459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Kwan Yee Chow, Plaintiff, and Joseph Norbert Schuler,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8"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6" w:name="Keywords_20"/>
      <w:bookmarkEnd w:id="136"/>
      <w:r>
        <w:rPr>
          <w:rFonts w:ascii="arial" w:eastAsia="arial" w:hAnsi="arial" w:cs="arial"/>
          <w:b/>
          <w:color w:val="000000"/>
          <w:sz w:val="20"/>
          <w:lang w:val="en-US" w:eastAsia="en-US" w:bidi="ar-SA"/>
        </w:rPr>
        <w:t>Damages — Physical and psychological injuries — Physical injuries — Leg injuries — Knee — Foot — Action by Chow for damages for personal injuries allowed — Chow was struck by the defendant's vehicle as she crossed a crosswalk — The defendant was 100 per cent liable — Chow, now 78 years old, sustained knee and foot injuries — She had been unable to fully return to all of her pre-accident recreational activities — Chow was awarded $61,689 in damages, including $50,000 in general damages, $2000 for the cost of future care and $9,689 in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Special damages — Non-pecuniary loss — Pain and suffering — Affecting recreational activities — Action by Chow for damages for personal injuries allowed — Chow was struck by the defendant's vehicle as she crossed a crosswalk — The defendant was 100 per cent liable — Chow, now 78 years old, sustained knee and foot injuries — She had been unable to fully return to all of her pre-accident recreational activities — Chow was awarded $61,689 in damages, including $50,000 in general damages, $2000 for the cost of future care and $9,689 in special damages.</w:t>
      </w:r>
    </w:p>
    <w:p>
      <w:pPr>
        <w:jc w:val="both"/>
        <w:rPr>
          <w:rFonts w:ascii="arial" w:eastAsia="arial" w:hAnsi="arial" w:cs="arial"/>
          <w:sz w:val="20"/>
          <w:lang w:val="en-US" w:eastAsia="en-US" w:bidi="ar-SA"/>
        </w:rPr>
      </w:pPr>
      <w:bookmarkStart w:id="137" w:name="Legislation Cited_16"/>
      <w:bookmarkEnd w:id="13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9" style="position:absolute;z-index:2517309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Court Order Interest Act, </w:t>
      </w:r>
      <w:r>
        <w:rPr>
          <w:rFonts w:ascii="arial" w:eastAsia="arial" w:hAnsi="arial" w:cs="arial"/>
          <w:i/>
          <w:color w:val="000000"/>
          <w:sz w:val="20"/>
          <w:lang w:val="en-US" w:eastAsia="en-US" w:bidi="ar-SA"/>
        </w:rPr>
        <w:t>RSBC 1996, CHAPTER 79</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38" w:name="Counsel_20"/>
      <w:bookmarkEnd w:id="13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0" style="position:absolute;z-index:2517821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 Marcoux and R.J. Chang.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M.G. Cependa.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9" w:name="Judgment_20"/>
      <w:bookmarkEnd w:id="139"/>
      <w:r>
        <w:pict>
          <v:line id="_x0000_s1131" style="position:absolute;z-index:2518333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0" w:name="N.P. KENT J. (orally)"/>
            <w:bookmarkEnd w:id="140"/>
            <w:r>
              <w:rPr>
                <w:rFonts w:ascii="arial" w:eastAsia="arial" w:hAnsi="arial" w:cs="arial"/>
                <w:b/>
                <w:color w:val="000000"/>
                <w:sz w:val="30"/>
                <w:lang w:val="en-US" w:eastAsia="en-US" w:bidi="ar-SA"/>
              </w:rPr>
              <w:t>N.P. KENT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claims damages in respect of a motor vehicle accident which occurred on March 31, 2010. For the reasons that follow I find that:</w:t>
      </w:r>
      <w:r>
        <w:rPr>
          <w:rFonts w:ascii="arial" w:eastAsia="arial" w:hAnsi="arial" w:cs="arial"/>
          <w:sz w:val="20"/>
          <w:lang w:val="en-US" w:eastAsia="en-US" w:bidi="ar-SA"/>
        </w:rPr>
        <w:cr/>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is solely at fault for the accident;</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key causation issue in dispute between the parties, the accident was indeed at least a contributing cause to the plaintiff's foot injury; and</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are therefore awarded as assessed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Counsel for the defendant argued that the plaintiff's credibility had been so compromised in the course of this trial that no weight can be placed upon any of her uncorroborated statements with respect to any matter of substance. Her evidence, it was argued, was simply too unreliable.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There were a number of examples of confusion in the plaintiff's testimony. One particularly compelling instance involved her evidence regarding the use of the crutch following surgery. At her examination for discovery, the plaintiff testified she used the crutches for about one month. During one day of the trial she testified that she used the crutch for nine months following the surgery, and on the following day she testified that it was a period of 3 to 5 months. Her explanation for the change in testimony was "yesterday I couldn't remember, now I 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difficulties in assessing credibility were compounded by the fact that the plaintiff, who is now 78 years old, has no meaningful command of the English language and testified in the Cantonese dialect and with the use of an interpreter. This affected both the pace and the content of direct and cross examination alike. Additionally, perhaps importantly in some instances, the Cantonese dialect uses the same word for "foot" and "leg" as well as the same word for "crutch" and "cane".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As was noted by Dillon J.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186, affirmed </w:t>
      </w:r>
      <w:hyperlink r:id="rId419"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96"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97"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(Ont.H.C.); </w:t>
      </w:r>
      <w:r>
        <w:rPr>
          <w:rFonts w:ascii="arial" w:eastAsia="arial" w:hAnsi="arial" w:cs="arial"/>
          <w:i/>
          <w:color w:val="000000"/>
          <w:sz w:val="20"/>
          <w:lang w:val="en-US" w:eastAsia="en-US" w:bidi="ar-SA"/>
        </w:rPr>
        <w:t>Farnya v. Chorny</w:t>
      </w:r>
      <w:r>
        <w:rPr>
          <w:rFonts w:ascii="arial" w:eastAsia="arial" w:hAnsi="arial" w:cs="arial"/>
          <w:color w:val="000000"/>
          <w:sz w:val="20"/>
          <w:lang w:val="en-US" w:eastAsia="en-US" w:bidi="ar-SA"/>
        </w:rPr>
        <w:t xml:space="preserve">, </w:t>
      </w:r>
      <w:hyperlink r:id="rId99"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100"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 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at para. 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observed the plaintiff carefully while she was giving evidence. She presented as a simple, humble, plainspoken person. I do not believe that she was fabricating evidence or being deliberately untruthful. Nonetheless, some of the evidence given by her appears to have been inaccurate and unreliable. I therefore approach the plaintiff's evidence in this case with caution and with sensible regard for "the probabilities affecting the case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accident occurred on the morning of March 31, 2010 at the intersection of Dewdney trunk Road and 230th Street in Maple Ridge. The intersection is controlled by traffic lights and has marked crosswalks. A scale diagram and photographs of the intersection were put into evidence. The plaintiff had crossed 230th Street going east to west on the south side of the intersection using the crosswalk. She was attempting to cross from the south side of Dewdney trunk Road to the north side of the intersection when the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addition to the evidence provided by the plaintiff herself, we also have the benefit of the testimony of two independent witnesses, Ms. Nicole Leslie and Mr. Van Kooten. Ms. Leslie, who was stopped on the north side of the intersection on 230th street waiting to turn left onto Dewdney trunk Road, saw the plaintiff check the pedestrian crossing light and then started to cross the road. She saw the defendant's vehicle come into the intersection and hit the plaintiff. The driver was an elderly man and Ms. Leslie distinctly remembers the driver looking at her even though it appears he was attempting to turn right to proceed south on 230th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Van Kooten had stopped his car on 230th Street facing north. He observed the plaintiff crossing 230th Street in the crosswalk immediately in front of him. She seemed hesitant and confused, however she managed to cross the street while the crossing light was illuminated in her favor. She was attempting to cross Dewdney trunk Road, going north in the crosswalk, when she was struck by the defendant's vehicle. He estimates she had taken two or three steps from the curb. He too saw the driver of the vehicle looking to his left i.e. in a northerly direction up 230th Street. He cannot say if the driver actually stopped at the stop line but he believes the vehicle was moving quite slowly and suggested that the driver was perhaps performing a "rolling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testified that she was meeting a friend at the Tim Horton's restaurant located at the northwestern corner of the intersection between 230th Street and Dewdney trunk Road. She had alighted the bus on 230th street and then crossed in the crosswalk from the east side of the intersection to the west side, thereafter intending to cross north towards the Tim Horton's. She testified she awaited the pedestrian signal to light up in her favor and she then started to cross in the crosswalk. She says she was approximately in the middle of the first lane when she was struck by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 did not testify at the trial. Evidence was given by his daughter, Ms. Debbie Hebel. Sadly, she described how her father had in recent years developed symptoms of age related dementia. He is now in his late 80s and his memory is very poor, both as to recent and past events. He is often unable to recognize people or his surroundings. She described him as "incapacitated". She testified that the onset of these symptoms occurred approximately 5 years ago and that her father's condition has gradually deteriorated since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argument, counsel for the defendant advised that his client does not dispute the plaintiff was struck in the crosswalk. The defendant also concedes there is no evidence to challenge the plaintiff's assertion that she began to cross when her light changed to walk or green.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However, the defendant nonetheless argues that the plaintiff was guilty of contributory fault. They submit that the plaintiff had fixed her attention on the signal light on the other side of the intersection and was oblivious to the oncoming presence of the defendant on Dewdney trunk Road. She should have, so the argument goes, "refrained from entering the crosswalk until it was either apparent that the defendant saw her and was prepared to yield, or was far enough away to be able to yield once she was in the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 do not accept any of these arguments. The plaintiff clearly had the right-of-way and the defendant clearly had the obligation to stop. He failed to stop, indeed, the evidence suggests he was looking in the wrong direction and may not have even noticed the presence of the plaintiff in front of his vehicle. "With the right-of-way, the plaintiff was entitled to assume that motorists would yield": </w:t>
      </w:r>
      <w:r>
        <w:rPr>
          <w:rFonts w:ascii="arial" w:eastAsia="arial" w:hAnsi="arial" w:cs="arial"/>
          <w:i/>
          <w:color w:val="000000"/>
          <w:sz w:val="20"/>
          <w:lang w:val="en-US" w:eastAsia="en-US" w:bidi="ar-SA"/>
        </w:rPr>
        <w:t>Traynor v. Degroot and Yellow Cab Company Ltd.</w:t>
      </w:r>
      <w:r>
        <w:rPr>
          <w:rFonts w:ascii="arial" w:eastAsia="arial" w:hAnsi="arial" w:cs="arial"/>
          <w:color w:val="000000"/>
          <w:sz w:val="20"/>
          <w:lang w:val="en-US" w:eastAsia="en-US" w:bidi="ar-SA"/>
        </w:rPr>
        <w:t xml:space="preserve">, </w:t>
      </w:r>
      <w:hyperlink r:id="rId420" w:history="1">
        <w:r>
          <w:rPr>
            <w:rFonts w:ascii="arial" w:eastAsia="arial" w:hAnsi="arial" w:cs="arial"/>
            <w:i/>
            <w:color w:val="0077CC"/>
            <w:sz w:val="20"/>
            <w:u w:val="single"/>
            <w:shd w:val="clear" w:color="auto" w:fill="FFFFFF"/>
            <w:lang w:val="en-US" w:eastAsia="en-US" w:bidi="ar-SA"/>
          </w:rPr>
          <w:t>2003 BCCA 483</w:t>
        </w:r>
      </w:hyperlink>
      <w:r>
        <w:rPr>
          <w:rFonts w:ascii="arial" w:eastAsia="arial" w:hAnsi="arial" w:cs="arial"/>
          <w:color w:val="000000"/>
          <w:sz w:val="20"/>
          <w:lang w:val="en-US" w:eastAsia="en-US" w:bidi="ar-SA"/>
        </w:rPr>
        <w:t>, per Donald J.A.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Bulatovic v Siebert</w:t>
      </w:r>
      <w:r>
        <w:rPr>
          <w:rFonts w:ascii="arial" w:eastAsia="arial" w:hAnsi="arial" w:cs="arial"/>
          <w:color w:val="000000"/>
          <w:sz w:val="20"/>
          <w:lang w:val="en-US" w:eastAsia="en-US" w:bidi="ar-SA"/>
        </w:rPr>
        <w:t xml:space="preserve">, </w:t>
      </w:r>
      <w:hyperlink r:id="rId421" w:history="1">
        <w:r>
          <w:rPr>
            <w:rFonts w:ascii="arial" w:eastAsia="arial" w:hAnsi="arial" w:cs="arial"/>
            <w:i/>
            <w:color w:val="0077CC"/>
            <w:sz w:val="20"/>
            <w:u w:val="single"/>
            <w:shd w:val="clear" w:color="auto" w:fill="FFFFFF"/>
            <w:lang w:val="en-US" w:eastAsia="en-US" w:bidi="ar-SA"/>
          </w:rPr>
          <w:t>2013 BCSC 240</w:t>
        </w:r>
      </w:hyperlink>
      <w:r>
        <w:rPr>
          <w:rFonts w:ascii="arial" w:eastAsia="arial" w:hAnsi="arial" w:cs="arial"/>
          <w:color w:val="000000"/>
          <w:sz w:val="20"/>
          <w:lang w:val="en-US" w:eastAsia="en-US" w:bidi="ar-SA"/>
        </w:rPr>
        <w:t xml:space="preserve"> at para. 82,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More generally, the reason for the legal protection of pedestrians in crosswalks is the significant inequality in speed and force between a motor vehicle and a pedestrian. A pedestrian is entitled to walk through a crosswalk, taking reasonable precautions consistent with having the right of way, knowing that she is safe.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find no fault with the manner in which the plaintiff conducted herself in attempting to cross the road. Here, the fault lies entirely with the defendant driver and he is 100% liable for the accident and any legally compensable loss or damage sustained by the plaintiff as a result of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Injuries and the Test for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One of the major issues in this case is whether the accident caused all of the injuries of which the plaintiff complains. The defendant does not dispute that the plaintiff sustained a knee injury as a result of the impact with the vehicle. However, the defendant strenuously disputes that the accident in any way caused or contributed to the development of the plaintiff's painful "crossover toe" condition and other difficulties in the right foot. Hence, the medical evidence must be carefully analyzed having regard to basic tort law principles respecting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This is, of course, a case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To effect recovery, the plaintiff must prove on the balance of probabilities that the defendant's negligent conduct actually caused the loss or injury that is the subject matter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This is not a case involving two or more tortfeasors. Hence, for the basic legal principles respecting causation applicable to this case, one need go no further than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5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which explains: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 is established when plaintiff proves on a balance of probabilities that the defendant's tortious conduct caused or contributed to the injury;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causation test is not to be applied too rigidly ... Causation need not be determined by scientific precision as it is essentially a practical question of fact which can best be answered by ordinary common sense;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necessary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w:t>
      </w:r>
      <w:r>
        <w:rPr>
          <w:rFonts w:ascii="arial" w:eastAsia="arial" w:hAnsi="arial" w:cs="arial"/>
          <w:color w:val="000000"/>
          <w:sz w:val="20"/>
          <w:u w:val="single"/>
          <w:lang w:val="en-US" w:eastAsia="en-US" w:bidi="ar-SA"/>
        </w:rPr>
        <w:t>sole</w:t>
      </w:r>
      <w:r>
        <w:rPr>
          <w:rFonts w:ascii="arial" w:eastAsia="arial" w:hAnsi="arial" w:cs="arial"/>
          <w:color w:val="000000"/>
          <w:sz w:val="20"/>
          <w:lang w:val="en-US" w:eastAsia="en-US" w:bidi="ar-SA"/>
        </w:rPr>
        <w:t xml:space="preserve"> cause of the injury ... As long as it is </w:t>
      </w:r>
      <w:r>
        <w:rPr>
          <w:rFonts w:ascii="arial" w:eastAsia="arial" w:hAnsi="arial" w:cs="arial"/>
          <w:color w:val="000000"/>
          <w:sz w:val="20"/>
          <w:u w:val="single"/>
          <w:lang w:val="en-US" w:eastAsia="en-US" w:bidi="ar-SA"/>
        </w:rPr>
        <w:t>part</w:t>
      </w:r>
      <w:r>
        <w:rPr>
          <w:rFonts w:ascii="arial" w:eastAsia="arial" w:hAnsi="arial" w:cs="arial"/>
          <w:color w:val="000000"/>
          <w:sz w:val="20"/>
          <w:lang w:val="en-US" w:eastAsia="en-US" w:bidi="ar-SA"/>
        </w:rPr>
        <w:t xml:space="preserve"> of the cause of an injury, the defendant is liable;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apportionment between tortious causes and non-tortious causes of the injury ... The law does not excuse the defendant from liability merely because causal factors for which he is not responsible also helped to produce the harm.</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Even if the plaintiff's pre-existing medical condition was a contributory cause to the injury, the plaintiff is nonetheless 100% liable ... This is the so-called "thin skull" rule whereby the tortfeasor must take his victim as he finds him.</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However, where a pre-existing medical condition exists which would have eventually have led to the injury in due course and in any event, and the defendant's negligent conduct exacerbated or accelerated that injury, the defendant's liability is limited to the </w:t>
      </w:r>
      <w:r>
        <w:rPr>
          <w:rFonts w:ascii="arial" w:eastAsia="arial" w:hAnsi="arial" w:cs="arial"/>
          <w:color w:val="000000"/>
          <w:sz w:val="20"/>
          <w:u w:val="single"/>
          <w:lang w:val="en-US" w:eastAsia="en-US" w:bidi="ar-SA"/>
        </w:rPr>
        <w:t>additional</w:t>
      </w:r>
      <w:r>
        <w:rPr>
          <w:rFonts w:ascii="arial" w:eastAsia="arial" w:hAnsi="arial" w:cs="arial"/>
          <w:color w:val="000000"/>
          <w:sz w:val="20"/>
          <w:lang w:val="en-US" w:eastAsia="en-US" w:bidi="ar-SA"/>
        </w:rPr>
        <w:t xml:space="preserve"> damage so caused ... This is the so-called "crumbling skull"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medical evidence in this case was provided by the plaintiff herself, her family doctor [Dr. Eng], her podiatric surgeon [Dr.Yu], and an orthopedic surgeon retained by the defendant to provide an opinion based on his review of the medical records [Dr. Younger].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testified that when she saw the defendant's vehicle she started to step backwards, however the vehicle nonetheless struck her right knee, twisting her leg and causing her to fall to the ground on the right side of her body. She said "the right side of my body was hurting really bad".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An ambulance was summoned to the scene. The evidence is confused whether the plaintiff declined at the scene to go to the hospital or whether she was transported to hospital but declined treatment upon arrival. The reason the plaintiff gave for declining assistance was the language barrier. She says she asked both the ambulance attendants and the hospital personnel whether anyone spoke Cantonese and upon receiving a negative response, she simply got into a taxi and went to her family doctor's office. Dr. Eng speaks fluent Cantonese and all of his dealings with the plaintiff were in that language.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No issue was taken by any of the parties with respect to the expert qualifications of the three medical witnesses nor to the admissibility into evidence of their respective reports.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Eng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Eng provided a report dated January 10, 2013. He describes how he has been Ms. Chow's family physician since May 2006, approximately 4 years before the accident. While she had attended upon his office fairly frequently during that a 4 year period, she had no complaints respecting pain or other conditions in the lower extremities.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Upon his examination on the day of the accident, Dr. Eng noted bruising over the right knee, difficulty with passive and active extension and flexion, and tenderness in the inside of the leg. X-rays indicated mild to moderate degree of osteoarthritis of the right knee [a chronic pre-existing condition] and some effusion [accumulation of fluid usually caused by trauma]. He prescribed fairly strong pain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thereafter saw Dr. Eng on 10-11 occasions during the months of May through early August. During that time he issued several prescriptions and medical notes for, among other things, a walking cane and home care services as well as medication for pain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medical file notes seem to indicate the first time the plaintiff complained of pain in the right foot was in early August, some three months after the accident. At that time, in addition to complaints respecting pain and weakness in the right knee, the plaintiff also described pain in the toes of the right foot. X-rays were ordered which indicated nothing abnormal, however from that point forward the plaintiff continued to complain of pain in the right foot and particularly in the toes. Eventually Dr. Eng referred the plaintiff to Dr. Yu, a podiatric surgeon who has a specialty in the forefoot and who also speaks fluent Cantonese.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addition to treatments from Dr. Yu, the plaintiff continued to attend upon Dr. Eng on various occasions throughout the fall 2010 and the years since. Dr. Yu performed surgery on the plaintiff's foot in May 2011, apparently without much success, and she continued to complain of ongoing pain and discomfort in her foot in the subsequent visits to Dr. Eng and she continued to be prescribed medication for both pain and insomnia. In his April 19, 2013 report, Dr. Eng states following the plaintiff's last visit on November 25, 2012 that "her condition remains the same. According to my professional evaluation, this patient will not get any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report continues: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Clinically, from the start, she complained about the pain in her right knee rather than the right foot. I cannot give an account of the events that happened between the time of the accident and the time of the discovery of the fractures. Maybe the subluxation of the right toe was a secondary event as a result of the way she walked while she was suffering from the pain. The sequence of development of complication of the toe of the right foot is difficult to comprehend let alone explain. However, in this condition, it doesn't matter because the treatment is the same. She underwent fusion of the second toe and release of the joint on May 2011 by Dr. Ian Yu, a podiatrist. Eventually, there was recurrence of subluxation of the second toe and this condition is very prominent as of the present. There were no other treatments that the podiatrist could offer that may improve the patient's condition. As a result of the subluxation, the patient has walking difficulties and required appliances such as orthotics and orthopedic shoes. She may suffer from permanent walking difficulty for which she has to adapt and adjust for the rest of her life. As for medication, she had to rely on Lyrica and Celebrex from time to time to relieve the pain. I do not think the patient will be totally disabled from walking but she will have permanent walking difficulty due to the pain of the right toe.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Yu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podiatric surgeon, Dr. Yu, first saw the plaintiff on September 7, 2010. His report is dated April 19, 2013 and in it he states the plaintiff's last visit was October 23, 2012. On initial examination he diagnosed what is colloquially described by some as "crossover toe", a condition which was "acutely painful". He ordered x-rays and subsequently a bone scan/CT scan all of which revealed:</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Subluxation and deviation of the second toe resulting in ongoing pain and deformity (the "cross-over toe");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Degenerative changes at the calcaneal cuboid articulation;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bony fragment at the superior aspect of the calcaneus (resulting from a previous un-united fracture i.e. A break that had not healed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Yu recommended surgical correction of the toe deformity, an operation which he eventually carried out on May 10,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Postsurgical treatment included compression, manual manipulation and physiotherapy modalities. On follow-up in March 2012, the plaintiff reported improvement in the pain condition but there continued to exist some contracture of the toe [tightening], some scarring from the surgery, and "slight malposition". In October 2012 Dr. Yu's notes reflect a report of no pain by the plaintiff but some deviation of the second toe remained. The plaintiff was offered the option of further treatment such as amputation of the toe, but she declined.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Yu expresses the following opinion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lady suffered traumatic injury to her right foot resulting in subluxation and painful deviation of her right second toe, second metatarsalphalangeal joint and fracture of her calcaneus which resulted in some stiffness in her midfoot. Prior to her accident, she did not experience pain in these areas. Although she may have had predisposing factors (ie. Flat feet, osteoarthritis, early contractures of the toes) it was not until the accident occurred that pain and deformity rapidly progressed. Therefore, my opinion is that the accident resulted in the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Yu went on to suggest the plaintiff's condition could be managed with firm soled, extra volume shoes. Some concession on the types of recreational activities may be required and he suggested she limit same to "low impact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cross-examination Dr. Yu acknowledged his conclusion as to causation [i.e. the MVA] was influenced by the plaintiff's recitation of pain complaints following the accident. He was seemingly unaware that Dr. Eng's records regarding the plaintiffs visits to the latter's office for three-month period following the accident did not reflect any such pain complaints. Nonetheless, when pressed, he reiterated the opinion that because firstly, the plaintiff had no foot pain issues before the accident, and secondly, it wasn't until after the accident that the painful crossover toe condition developed, he does indeed believe the accident contributed to the development of the latter.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Younger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Younger was retained on behalf of the defendant to review the plaintiff's medical records, including the two medical legal reports provided by doctors Yu and Eng. He is an orthopedic surgeon who specializes in foot and ankle conditions. It is his opinion which is the source of one of the key disputes in this claim, namely, whether the foot problems experienced by the plaintiff were caused or contributed to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Younger's review of the medical records and the x-rays/scans of the plaintiff's foot lead him to conclude that the MTP joint deformity [the "crossover toe"] and the calcaneocuboid joint injury predated the accident. Indeed, he opines the latter involved a fracture which may have occurred some 10 to 30 years earlier leading to the current arthritic change in the joint.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Younger expresses the opinion "it may be possible that [the two conditions] may have been aggravated by the accident" although if so "I would have expected her to complain of discomfort to her family doctor earlier than 4 to 5 months after the accident". He expresses agreement with Dr. Yu's assessment that there was some pre-existing deformity of the second MTP joint and he "suggests based on the lack of recorded symptoms or findings around the time of the accident, that there is little relationship between the accident and the deformity and discomfort reported in her forefoot."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Younger was subjected to rather effective cross-examination (at deposition). He acknowledged he had not met or examined the plaintiff and obviously had not taken a medical history from her. He knew nothing about the mechanics of the accident nor of the plaintiff's lifestyle or activities before the accident. While his review was based upon the medical records provided to him, he also acknowledged receiving an instruction letter from defence counsel advising and directing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will note that Ms. Chow has suggested to Dr.Yu that she had pain in her foot immediately after the motor vehicle accident, yet she did not report this at the time to her family physician. Thus I will maintain my request that you assume there was no foot pain until August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Younger does not himself use the terminology "crossover toe" but he recognizes that others in his field do so. He agrees it is a progressive condition and is a deformity that often begins with pain at the NTP joint and progresses to the point where the second toe crosses up and over, eventually coming to lie on top of the surface of the great toe. He agrees various factors can contribute to this deformity both intrinsically anatomic as well as extrinsic causes including trauma, high fashion footwear, and the like.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Younger agreed that when the plaintiff was first seen by Dr. Yu the second toe on the plaintiff's right foot was already subluxed and had deviated to the point where it had already crossed over the great toe. He also agreed that on the plaintiff's 19 visits to Dr. Eng in the years preceding the accident there was nothing reflected in any of the medical records indicating onset of any pain or difficulty in the feet or, indeed, of any "crossover toe" phenomenon.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 as to Causation of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reaching a conclusion as to the etiology of the plaintiff's foot injury I have been cautious in assessing the plaintiff's own testimony as to the onset and duration of pain in that area. As indicated earlier I do not find the plaintiff to have been deliberately untruthful but some of her evidence is unreliable.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Both doctors Eng and Yu have opined that the accident caused or contributed to the development of the painful crossover toe condition later diagnosed in the plaintiff's foot. Dr. Younger disagrees, in large part because of the absence in the notes of pain complaints in that area for several months, but also because the x-ray/scan images suggest injury years earlier and resulting arthritic change. The weight to be attached to Dr. Younger's opinion is reduced to some degree by the absence of any examination/interview of the plaintiff and the nature of the instructions given to him by counsel i.e. to ignore some of the pain complaints recited in the medical records/reports.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any event, what is clear from the evidence is that before this accident this 74-year-old lady was very active, walking, shopping, going to the gym and swimming pool at the community center and, in particular, undertaking her favorite recreational activity of ballroom dancing several times a week for two or more hours on each occasion. Before the accident, there was no complaint of pain or difficulty in the feet even if, as may well have been the case, the plaintiff had sustained some sort of undiagnosed fracture injury many years earlier and she also may have had pre-existing conditions such as flat feet, some osteoarthritis, and even early contractures of the toes.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All of this changed in the months following the accident. The defendant concedes the plaintiff sustained injury to the knee, she was treated with pain medication, her mobility was impaired for some time requiring the use of a cane or crutch, and that she was unable to perform most of her usual household duties in the home [cleaning, cooking, shopping, and so on] such that external assistance was required, all as prescribed by her family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It may be that the medical records do not specifically reflect complaints of pain in the right foot either at the time of the accident or in the subsequent 2 to 3 months of convalescence. However, it is established on the evidence that:</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crossover toe phenomenon was present on examination in early August 2010, a phenomenon that did not exist before the accident;</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is usually a progressive condition and hence must have started developing some time before it was first diagnosed;</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Trauma can indeed be a factor causing or contributing to the development of this condition;</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immediate disability arising from the knee injury and the consumption of pain medication following the accident may have contributed to any delay on the part of the plaintiff in complaining to her family physician of pain in the right foot [even assuming such delay actually occurred. ... the plaintiff's testimony is of course to the contrary];</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Compensatory changes in weight-bearing gait while limping or hobbling around following injury to the knee can trigger subluxation of the toe and foot pain (according to both Drs. Eng and Yu), and</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had engaged for many years before the accident in ballroom dancing several times a week, an activity that places a fair amount of pressure on the forefoot and toes, all without any complaints of pain or other medical difficulty with the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Based on the totality of the evidence, and bearing in mind that the issue of causation is essentially a practical question of fact often best answered by ordinary common sense, I find on the balance of probabilities that the trauma sustained as a result of the motor vehicle accident was at least a contributory cause of the plaintiff's "crossover toe" condition first formally diagnosed in early August 2010. The defendant is therefore 100% liable for all of the injuries complained of in this action and damages will be assessed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experienced periods of ongoing pain and disability following both the initial motor vehicle accident and also the foot surgery which occurred on May 10, 2011. Her doctors wrote notes confirming that housekeeping assistance was required and such services were provided by three different individuals at different times. The defendant does not dispute that this occurred nor does the defendant dispute the amounts paid by the plaintiff to these individuals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book of receipts and cheques related to the amounts claimed as special damages was put into evidence by consent and marked as Exhibit 3. It reflects not only the housekeeping services referred to above but also substantiates the amounts paid on account of physiotherapy, acupuncture, counseling services, custom footwear and medication. The amounts total $9,189.45, which is the amount I award as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 also claimed damages on account of additional costs incurred for eating out and take out food delivered during the periods of time that she was unable to do grocery shopping and the usual cooking of household meals for herself and her husband. Her husband, who died last year, suffered from a number of debilitating medical conditions such that he was unable to contribute to household maintenance or cooking during the periods of the plaintiff's disability. The amount claimed, which purports to be the difference between the "usual" cost of feeding oneself and the higher cost of buying take-out food, was $1,000-$1,500, however no receipts were put into evidence and the plaintiff's testimony as to quantum is vague. I will award the sum of $500 as special damages under this heading.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These special damages shall, of course, attract 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testified that she no longer has need of any housekeeping assistance and that, indeed, this has been the case since four months after the surgery in May 2011. The plaintiff nonetheless makes a claim for damages in the amount of $8,000 for "past loss of housekeeping capacity". The theory of recovery, so I am advised, is that the plaintiff's housekeeping capacity was impaired for a period of approximately 18 months in aggregate following both the motor vehicle accident and the surgery, that she paid and now has been compensated for five months of replacement housekeeping services, but there nonetheless remains a 13 month period of impairment to various degrees for which compensation is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decline to make any such award. To the extent any additional loss of housekeeping capacity was experienced, it is included in the award for non-pecuniary general damages set out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Under the heading "cost of future care" the plaintiff also makes a claim on account of replacement of "extra depth custom made shoes" that will be required in the future to accommodate the plaintiff's right foot deformity. The plaintiff has produced one receipt for such custom-made shoes dated July 12, 2012 in the amount of $1,350. It seems reasonable that such footwear may have to be replaced in the future and I make an award of $2,000 under this heading.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primary dispute between the parties with respect to general damages was, of course, whether any such award should take into account the medical problems experienced with respect to the plaintiff's right foot. The defendant submitted the plaintiff had suffered only a soft tissue injury to her knee in this accident, a condition which had largely resolved 4 to 5 months later and one which presently causes only occasional discomfort. The defendant suggested that an award for general damages in the amount of $20,000 would be appropriate to compensate for the plaintiff's pain, suffering, loss of enjoyment of life and loss of amenities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defendant submitted that in the event of a finding that both the knee and foot injuries were causally related to the accident, then the general damages figure of $60,000 assessed in </w:t>
      </w:r>
      <w:r>
        <w:rPr>
          <w:rFonts w:ascii="arial" w:eastAsia="arial" w:hAnsi="arial" w:cs="arial"/>
          <w:i/>
          <w:color w:val="000000"/>
          <w:sz w:val="20"/>
          <w:lang w:val="en-US" w:eastAsia="en-US" w:bidi="ar-SA"/>
        </w:rPr>
        <w:t>Russell v. Parks</w:t>
      </w:r>
      <w:r>
        <w:rPr>
          <w:rFonts w:ascii="arial" w:eastAsia="arial" w:hAnsi="arial" w:cs="arial"/>
          <w:color w:val="000000"/>
          <w:sz w:val="20"/>
          <w:lang w:val="en-US" w:eastAsia="en-US" w:bidi="ar-SA"/>
        </w:rPr>
        <w:t xml:space="preserve">, </w:t>
      </w:r>
      <w:hyperlink r:id="rId422" w:history="1">
        <w:r>
          <w:rPr>
            <w:rFonts w:ascii="arial" w:eastAsia="arial" w:hAnsi="arial" w:cs="arial"/>
            <w:i/>
            <w:color w:val="0077CC"/>
            <w:sz w:val="20"/>
            <w:u w:val="single"/>
            <w:shd w:val="clear" w:color="auto" w:fill="FFFFFF"/>
            <w:lang w:val="en-US" w:eastAsia="en-US" w:bidi="ar-SA"/>
          </w:rPr>
          <w:t>2012 BCSC 1128</w:t>
        </w:r>
      </w:hyperlink>
      <w:r>
        <w:rPr>
          <w:rFonts w:ascii="arial" w:eastAsia="arial" w:hAnsi="arial" w:cs="arial"/>
          <w:color w:val="000000"/>
          <w:sz w:val="20"/>
          <w:lang w:val="en-US" w:eastAsia="en-US" w:bidi="ar-SA"/>
        </w:rPr>
        <w:t xml:space="preserve"> would be appropriate as a starting point. That case involved both a soft tissue injury to the plaintiff's knee and a fractured metatarsal in his foot, although the foot recovered quickly while the knee injury proved more problematic and was projected to remain symptomatic and partially disabling into the future. The plaintiff was 51 years old at the time of trial. He suffered from pre-existing asymptomatic arthritis in both knees as well as foot and ankle pain. The $60,000 assessed as general damages was reduced to $45,000 to reflect the risk the pre-accident conditions might have affected the plaintiff's life had the accident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claims that non-pecuniary general damages should be awarded in this case in the range of $50-$65,000. Particular emphasis is placed on the so-called "golden years doctrine" which is said to justify a higher award if an injury to an elderly person "takes away the ability to do a favorite activity during those precious years". Here, counsel is particularly referring to the plaintiff's inability to return to ballroom dancing, an activity that does indeed appear to have been a major component in the plaintiff's pre-accident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plaintiff refers to </w:t>
      </w:r>
      <w:r>
        <w:rPr>
          <w:rFonts w:ascii="arial" w:eastAsia="arial" w:hAnsi="arial" w:cs="arial"/>
          <w:i/>
          <w:color w:val="000000"/>
          <w:sz w:val="20"/>
          <w:lang w:val="en-US" w:eastAsia="en-US" w:bidi="ar-SA"/>
        </w:rPr>
        <w:t>Bevacqua v. Yaworski</w:t>
      </w:r>
      <w:r>
        <w:rPr>
          <w:rFonts w:ascii="arial" w:eastAsia="arial" w:hAnsi="arial" w:cs="arial"/>
          <w:color w:val="000000"/>
          <w:sz w:val="20"/>
          <w:lang w:val="en-US" w:eastAsia="en-US" w:bidi="ar-SA"/>
        </w:rPr>
        <w:t xml:space="preserve">, </w:t>
      </w:r>
      <w:hyperlink r:id="rId423" w:history="1">
        <w:r>
          <w:rPr>
            <w:rFonts w:ascii="arial" w:eastAsia="arial" w:hAnsi="arial" w:cs="arial"/>
            <w:i/>
            <w:color w:val="0077CC"/>
            <w:sz w:val="20"/>
            <w:u w:val="single"/>
            <w:shd w:val="clear" w:color="auto" w:fill="FFFFFF"/>
            <w:lang w:val="en-US" w:eastAsia="en-US" w:bidi="ar-SA"/>
          </w:rPr>
          <w:t>2012 BCSC 880</w:t>
        </w:r>
      </w:hyperlink>
      <w:r>
        <w:rPr>
          <w:rFonts w:ascii="arial" w:eastAsia="arial" w:hAnsi="arial" w:cs="arial"/>
          <w:color w:val="000000"/>
          <w:sz w:val="20"/>
          <w:lang w:val="en-US" w:eastAsia="en-US" w:bidi="ar-SA"/>
        </w:rPr>
        <w:t>, where an award of general damages in the amount of $85,000 was made to a plaintiff who before the accident was an active, independent woman of 76 clearly taking pleasure in her life. Following the accident, she was unable to look after herself and took a long time to even get back to walking. The court found that she continued to have pain and suffering and that her enjoyment of life was markedly diminished.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There is no doubt that the plaintiff did suffer pain and disability both in the immediate aftermath of the accident and the later development of "crossover toe" and the surgical treatment of same. Her mobility was significantly affected and she has been unable to fully return to all of her pre-accident recreational activities including, of course, ballroom dancing. However, while the plaintiff's pain and discomfort has not completely disappeared, she testified she presently only experiences pain if she walks too long or too fast or if she otherwise puts pressure on her leg in attempting to move objects or the like.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 did seek counseling assistance from a professional psychologist at the suggestion of her family doctor. She was experiencing nightmares about being struck by vehicles and she was having difficulty sleeping. She developed a fear of crossing the road. She testified that the counseling did assist and that today she has no such fears and nightmares are rare.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An award of general damages for non-pecuniary loss must be fair to all parties and fairness is measured against awards made in comparable cases. This, of course, is only a rough guide as each case depends on its own unique facts. The factors usually considered in making these types of awards, as outlined by the Court of Appeal in numerous cases including </w:t>
      </w:r>
      <w:r>
        <w:rPr>
          <w:rFonts w:ascii="arial" w:eastAsia="arial" w:hAnsi="arial" w:cs="arial"/>
          <w:i/>
          <w:color w:val="000000"/>
          <w:sz w:val="20"/>
          <w:lang w:val="en-US" w:eastAsia="en-US" w:bidi="ar-SA"/>
        </w:rPr>
        <w:t>Boyd v. Harris</w:t>
      </w:r>
      <w:r>
        <w:rPr>
          <w:rFonts w:ascii="arial" w:eastAsia="arial" w:hAnsi="arial" w:cs="arial"/>
          <w:color w:val="000000"/>
          <w:sz w:val="20"/>
          <w:lang w:val="en-US" w:eastAsia="en-US" w:bidi="ar-SA"/>
        </w:rPr>
        <w:t xml:space="preserve">, </w:t>
      </w:r>
      <w:hyperlink r:id="rId424"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include:</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and extent of resulting physical and mental disability;</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life including family, marital and social relationships; and</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Here, having regard to all of these factors as well as the cases cited by counsel, I award the plaintiff general damages in the amount of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summary, damages are awarded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1882"/>
        <w:gridCol w:w="53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$9,689.45</w:t>
            </w:r>
          </w:p>
        </w:tc>
        <w:tc>
          <w:tcPr>
            <w:tcW w:w="522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8"/>
        <w:gridCol w:w="1150"/>
        <w:gridCol w:w="575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w:t>
            </w:r>
          </w:p>
        </w:tc>
        <w:tc>
          <w:tcPr>
            <w:tcW w:w="563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1568"/>
        <w:gridCol w:w="564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General Damages</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w:t>
            </w:r>
          </w:p>
        </w:tc>
        <w:tc>
          <w:tcPr>
            <w:tcW w:w="553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2614"/>
        <w:gridCol w:w="522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$61,689.45</w:t>
            </w:r>
          </w:p>
        </w:tc>
        <w:tc>
          <w:tcPr>
            <w:tcW w:w="512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(Plus Court Ordered Interest on the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Ordinarily costs would follow the event. However, if the parties are unable to agree on costs, they may speak to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N.P. KENT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2" style="position:absolute;z-index:2518804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32" w:history="1">
        <w:r>
          <w:rPr>
            <w:rFonts w:ascii="arial" w:eastAsia="arial" w:hAnsi="arial" w:cs="arial"/>
            <w:b/>
            <w:bCs/>
            <w:i/>
            <w:color w:val="0077CC"/>
            <w:kern w:val="32"/>
            <w:sz w:val="28"/>
            <w:szCs w:val="32"/>
            <w:u w:val="single"/>
            <w:shd w:val="clear" w:color="auto" w:fill="FFFFFF"/>
            <w:lang w:val="en-US" w:eastAsia="en-US" w:bidi="ar-SA"/>
          </w:rPr>
          <w:t>Concord Pacific Acquisitions Inc. v. Oei, [2017] B.C.J. No. 273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P.G. Voith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12-16,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14,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S158989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273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236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Concord Pacific Acquisitions Inc., Plaintiff, and Hong Leong Oei, Hong Kong Expo Holdings Ltd. and Canadian Metropolitan Properties Corporation,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3"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1" w:name="Keywords_21"/>
      <w:bookmarkEnd w:id="141"/>
      <w:r>
        <w:rPr>
          <w:rFonts w:ascii="arial" w:eastAsia="arial" w:hAnsi="arial" w:cs="arial"/>
          <w:b/>
          <w:color w:val="000000"/>
          <w:sz w:val="20"/>
          <w:lang w:val="en-US" w:eastAsia="en-US" w:bidi="ar-SA"/>
        </w:rPr>
        <w:t>Civil litigation — Civil procedure — Trials — Summary trials — Availability — Judgments and orders — Summary judgments — Evidence — To dismiss action — Application by defendants for summary trial dismissing plaintiff's claim dismissed — Plaintiff sought to enforce contracts, and claimed parties entered one of three alternate but distinct contracts — Contracts were said to have been made on certain dates and were partially written and partially oral, and disputed by defendants — Defendants admitted there were conflicts in evidence — These conflicts related to matters central to the case, and the court could not sidestep these conflicts by relying on only portion of evidence, assuming facts or taking plaintiff's evidence at his highest.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Nature of contracts — Certainty of terms — Agreements to agree — Application by defendants for summary trial dismissing plaintiff's claim dismissed — Plaintiff sought to enforce contracts, and claimed parties entered one of three alternate but distinct contracts — Contracts were said to have been made on certain dates and were partially written and partially oral, and disputed by defendants — Defendants admitted there were conflicts in evidence — These conflicts related to matters central to the case, and the court could not sidestep these conflicts by relying on only portion of evidence, assuming facts or taking plaintiff's evidence at his highest.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Formation — Offer — Content — Oral contracts — Incomplete agreements — Application by defendants for summary trial dismissing plaintiff's claim dismissed — Plaintiff sought to enforce contracts, and claimed parties entered one of three alternate but distinct contracts — Contracts were said to have been made on certain dates and were partially written and partially oral, and disputed by defendants — Defendants admitted there were conflicts in evidence — These conflicts related to matters central to the case, and the court could not sidestep these conflicts by relying on only portion of evidence, assuming facts or taking plaintiff's evidence at his highest.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2" w:name="Case Summary_17"/>
            <w:bookmarkEnd w:id="14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for a summary trial dismissing the plaintiff's claim. The plaintiff was a development company and the defendants were a business person and two companies. The defendants purchased a portion of lands from the plaintiff. The parties apparently met over the years to discuss the possibility of entering a joint venture to develop the land, or the defendants selling land back to the plaintiff. The plaintiff commenced an action to enforce an alleged contract between the parties. The plaintiff claimed the parties entered one of three alternate but distinct contracts, each of which had the plaintiff acquire a 50 per cent interest in the land. The contracts were said to have been entered on different dates and to be partially written and partially oral. The plaintiff's theory of case had changed significantly over time. The defendants argued that the first contract was at best an agreement to agree, disputed the plaintiff's ability to rely on the second when he knew the parties were not ad idem on terms, and disputed the existence of the third contract. If no contract was found to be formed, the plaintiff sought the return of a $10 million deposit on the basis of unjust enrichment or restitution. The plaintiff argued that, because the defendants took the position in their Singapore action that the first contract was enforceable, they were stopped from now stating it was not. The plaintiff also argued the defendants' abuse of process action was intertwined with this one and the defendants were attempting to litigate in slices. The plaintiffs argued the matter was not suitable for summary trial.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3" w:name="Holdings of Court_16"/>
            <w:bookmarkEnd w:id="143"/>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defendants admitted there were conflicts in the evidence. The conflicts were on material issues, and the court could not sidestep them by relying on only portions of the evidence, assuming certain facts or taking the plaintiff's evidence at its best, as suggested by the defendants. This alone was sufficient to prevent the summary trial application from proceeding.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4" w:name="Legislation Cited_17"/>
      <w:bookmarkEnd w:id="14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4" style="position:absolute;z-index:2517319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9-7</w:t>
      </w:r>
      <w:r>
        <w:rPr>
          <w:rFonts w:ascii="arial" w:eastAsia="arial" w:hAnsi="arial" w:cs="arial"/>
          <w:color w:val="000000"/>
          <w:sz w:val="20"/>
          <w:lang w:val="en-US" w:eastAsia="en-US" w:bidi="ar-SA"/>
        </w:rPr>
        <w:t>(15)(a) (i), Rule 9-7(15)(a)(ii)</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5" w:name="Counsel_21"/>
      <w:bookmarkEnd w:id="14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5" style="position:absolute;z-index:2517831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H. Poulus, Q.C., J. Ensom.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I.G. Nathanson, Q.C., S. Schachter,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6" w:name="Judgment_21"/>
      <w:bookmarkEnd w:id="146"/>
      <w:r>
        <w:pict>
          <v:line id="_x0000_s1136" style="position:absolute;z-index:2518343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7" w:name="P.G. VOITH J."/>
            <w:bookmarkEnd w:id="147"/>
            <w:r>
              <w:rPr>
                <w:rFonts w:ascii="arial" w:eastAsia="arial" w:hAnsi="arial" w:cs="arial"/>
                <w:b/>
                <w:color w:val="000000"/>
                <w:sz w:val="30"/>
                <w:lang w:val="en-US" w:eastAsia="en-US" w:bidi="ar-SA"/>
              </w:rPr>
              <w:t>P.G. VOITH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Overview of 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defendants have applied, pursuant to Rule 9-7(15)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to dismiss the plaintiff's claim. That claim seeks, in essence, to enforce a contract that is alleged to been made between the plaintiff Concord Pacific Acquisitions Inc. and the defendants. The plaintiff argues that the present application suffers from at least three distinct difficulties, each of which gives rise to a fundamental difficulty and each of which prevents the defendants' application from being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recognize that there are numerous conflicts in the evidence of the parties that are material and that cannot be resolved in the context of the present application. Accordingly they urge the court to take the plaintiff's case "at its highest" and look to or rely on the plaintiff's evidence in weighing the plaintiff's claim. They argue that even with this limited subset of the evidence the plaintiff cannot, on a principled basis, and having regard to other objective evidence, succeed on its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in response, argues that it is not open to the court, on a summary trial application, to decide the case on "assumed facts". Instead it is necessary to make the necessary determinations of fact that arise on the application and from the evidence. The plaintiff further argues that asking the court to decide the application, "taking the plaintiff's evidence at its highest" is synonymous with or coextensive with asking the court, for the limited purposes of the application, to ignore the defendants' evidence and to "assume" that the plaintiff's evidence is accurate and truthful.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plaintiff further argues that the application is, in all of the circumstances, "unjust" within the meaning of Rule 9-7(15)(a)(ii). Those circumstances include,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the amounts at issue, the number and complexity of the issues raised by the pleadings and the nature and volume of the evidence presented on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Finally, the plaintiff argues either that the merits favor its various claims or that those claims cannot, at this stage, be decided on the whole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Hong Leong Oei is a businessperson resident in Singapore.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Hong Kong Expo Holdings Ltd. ("Expo") is a company incorporated in Hong Kong. Mr. Oei is the sole shareholder of Expo.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Canadian Metropolitan Properties Corporation ("CMPC") is a company incorporated in British Columbia. Expo is the sole shareholder of CMPC.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Yow-Lin Chu is the President and a director of CMPC. Mr. Chu is Mr. Oei's brother-in-law and at all material times was responsible for the management and operation of CMPC.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Concord Pacific Acquisitions Inc. is a member of the Concord Pacific Group. For ease of reference I have referred to Concord Pacific Acquisitions Inc. and Concord Pacific Group collectively as "Concord".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Concord is one of the largest residential developers in Canada. In recent years, at almost any given point in time, Concord will have 10 or more projects under way at different phases of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Concord came into existence in or about 1988 with the purchase of the land in Vancouver that had been used by the Expo World Fair in 1986 ("the Expo Land") from the Province of British Columbia. Since then, Concord has developed the Expo Land into Concord Pacific Place, a mixed-use multi-year master-planned project made up of more than 50 buildings. The development is generally located on the northern shore of False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Terry Hui is the President and Chief Executive Officer of Concord.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David Ju is a Vice President of Concord.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Overview of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1989 Mr. Oei, who is a successful businessman, purchased a portion of the Expo Lands in Vancouver, known as the "Plaza of Nations", from Concord for $40 million ("the Plaza Land"). The Plaza Land had three existing buildings, underground parking and a covered plaza. It was built by the British Columbia government as its Pavilion during Expo 86. There are tenants on the Plaza Land who generate millions of dollars in rent per year for CMPC.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Hui had met Mr. Oei during his purchase of the Plaza Land from Concord. Apparently the two men had, over the past 25 years, several discussions about the possibility of Mr. Oei either selling the Plaza Land back to Concord or entering into a joint venture/partnership to develop that land. Those discussions became more frequent after 2012 and further intensified in April and May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plaintiff's Amended, Amended, Amended Notice of Claim ("the Current Claim") asserts that Concord entered into one of three alternate, but distinct contracts with the defendants. Each of those contracts purportedly has Concord acquiring a 50% interest in the Plaza Land and each would have the parties jointly develop those lands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contracts are said to of been made on either May 14, 2015 ("the May 14 Contract") or on August 19, 2015 ("the August 19 Contract") or on October 3, 2015 ("the October 3 Contract"). Each of these contracts is said to have been made partly in writing and partly orally. The various terms of these individual contracts are described in detail and at some length in the Current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Though there is no need to address most of the various alleged terms and conditions in these various contracts several matters are relevant:</w:t>
      </w:r>
      <w:r>
        <w:rPr>
          <w:rFonts w:ascii="arial" w:eastAsia="arial" w:hAnsi="arial" w:cs="arial"/>
          <w:sz w:val="20"/>
          <w:lang w:val="en-US" w:eastAsia="en-US" w:bidi="ar-SA"/>
        </w:rPr>
        <w:cr/>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purported transaction was significant by any standard. The defendants in their written brief, describe the intended transaction between the parties as a "complex multi-year billion-dollar transaction". The May 14 Contract is partly reflected in a two-page document that was described by the parties as the "Heads of Agreement" or the "Heads". That document ascribed a value of $500 million to the Plaza Land. In addition the Heads of Agreement provided for an immediate payment of $10 million (which was paid), a further payment of $40 million within 40 days of execution of the Heads of Agreement and a further payment of $75 million within 14 business days after receiving rezoning for the development and, in any event, within a year of signing the Heads of Agreement. The various, then contemporaneous, financial projections that I was shown contemplated that each of Concord and Mr. Oei and/or his various companies would make several tens of millions of dollars in profit on the development of the Plaza Land and potentially even more depending on i) the density for the project that the City of Vancouver would allow and ii) the real estate market that existed when the Plaza Lands were being developed.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One of the central issues that existed between the parties was, what has been described as, the Land Profit Tax. That tax reflected the amount that Mr. Oei, or his companies, would have to pay on account of the gain in the value of the Plaza Land from $40 million in 1989 to the value of that property at the time of the transaction. Concord argues that the defendants agreed, in the May 14 Contract, to bear the responsibility for the Land Profit Tax and that that term was both oral and was embedded, though not explicit, in the Heads of Agreement. The defendants deny having agreed to pay the Land Profit Tax on or before May 14, 2015 or thereafter.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Very shortly after May 14, 2015 the defendants made clear that they did not consider that they were responsible for the Land Profit Tax. Concord asserts that the defendants thereby repudiated the May 14 Contract.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Thereafter the parties continued to interact and to negotiate. In or about August 19, 2015 the solicitors for Concord delivered various draft documents to the defendants. It is those documents, together with the Heads of Agreement and various other oral terms that are said to constitute the August 19 Contract. Importantly, Concord accepts that the defendants did not, after they initially communicated that they were not responsible for the Land Profit Tax, again agree to assume any responsibility for that tax. Instead Concord argues that because the defendants had, earlier in the May 14 Contract, agreed to pay the Land Profit Tax, that that separate or distinct term was then "ported" into the August 19 Contract.</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Some difficulty continued between the parties in relation to various issues including the Land Profit Tax. Concord thereafter proposed a compromise, it would relinquish its rights to insist that the defendants bear the burden of the Land Profit Tax. Instead it proposed to share that liability so long as Mr. Oei permitted Concord to take, as a bonus, 25% of the profit realized on any increased density that Concord might be able to negotiate with the City of Vancouver. Concord argues that on August 3, 2015 Mr. Chu, on behalf of Mr. Oei accepted this compromise in relation to the Land Profit Tax. That agreement is said to give rise to the October 3 Contract. The defendants again deny that they agreed to this compromise or to any such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Various Claims or Causes of Action in the Current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Both Concord's theory of its case and the claims it has advanced have changed significantly over time. The Current Claim, as I have said, avers that Concord entered into one of three alternate contracts each of which is said to been made partly in writing and partly orally. Whether the terms of any of those contracts were agreed to turns on both the evidence of the parties and various legal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Thus, in relation to the May 14 Contract, the defendants argue that the Heads of Agreement was no more than an agreement to agree. In relation to the August 19 Contract there is a very real question about whether Concord can assert the existence of a contract, made on August 19, 2015, when it was aware at that time that the parties were not </w:t>
      </w:r>
      <w:r>
        <w:rPr>
          <w:rFonts w:ascii="arial" w:eastAsia="arial" w:hAnsi="arial" w:cs="arial"/>
          <w:i/>
          <w:color w:val="000000"/>
          <w:sz w:val="20"/>
          <w:lang w:val="en-US" w:eastAsia="en-US" w:bidi="ar-SA"/>
        </w:rPr>
        <w:t>ad idem</w:t>
      </w:r>
      <w:r>
        <w:rPr>
          <w:rFonts w:ascii="arial" w:eastAsia="arial" w:hAnsi="arial" w:cs="arial"/>
          <w:color w:val="000000"/>
          <w:sz w:val="20"/>
          <w:lang w:val="en-US" w:eastAsia="en-US" w:bidi="ar-SA"/>
        </w:rPr>
        <w:t xml:space="preserve"> with respect to various essential terms of the contract. The existence of the October 3 Contract turns both on the evidence, some of which I have alluded to, and on issues of agency and either express authority, implied authority or ostensible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addition, Concord asserts that these various contracts contained an implied obligation of good faith and that that obligation had several components including,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an obligation of confidentiality and an agreement not to concurrently negotiate with other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If no binding contract was ever formed between the parties Concord seeks return of its initial $10 million deposit on the basis of either unjust enrichment or restitution.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Several further facts or actions are relevant. Mr. Oei commenced two separate actions in Singapore against Concord based on the assertion that the Heads of Agreement was a binding contract. Concord, on this application, argues that the defendants are now barred from taking the position that the May 14 Contract did not constitute a binding agreement by virtue of the doctrine of abuse of convention and because their position amounts to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addition, the defendants, in a separate action, bearing action number S-161950 commenced an action against Concord and Mr. Hui ("the Abuse of Process Action"). In the Abuse of Process Action the defendants assert that Concord and Mr. Hui filed the original Notice of Civil Claim and the Amended Notice of Civil Claim in this action knowing that the terms of the agreement(s) that were alleged or advanced in those pleadings were false. It is worth noting that at the time I heard this application Concord and Mr. Hui's position, in their Response to Civil Claim in the Abuse of Process action, was that the Heads of Agreement was "a non-binding" agreement. I was advised by counsel for Concord and Mr. Hui that this pleading would be amended.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Concord, on this application, further argues that this proceeding and the Abuse of Process Action are intertwined and that the defendants, in seeking to dismiss the claims in this action are "litigating in slices".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have described these various actions and some of the issues arising from them because in order to succeed on this application the defendants must be successful on each of the matters that have been raised. Thus, it is common ground that would not be enough for the defendants to succeed on some or even most of the issues that are raised by Concord in the Current Claim and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Rule 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Rule 9-7(15)(a) provides:</w:t>
      </w:r>
      <w:r>
        <w:rPr>
          <w:rFonts w:ascii="arial" w:eastAsia="arial" w:hAnsi="arial" w:cs="arial"/>
          <w:sz w:val="20"/>
          <w:lang w:val="en-US" w:eastAsia="en-US" w:bidi="ar-SA"/>
        </w:rPr>
        <w:cr/>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hearing of a summary trial application, the court may</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judgment in favour of any party, either on an issue or generally, unless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unable, on the whole of the evidence before the court on the application, to find the facts necessary to decide the issues of fact or law, or</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of the opinion it would be unjust to decide the issues on the application,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 of the Central Issues Raised by Concord</w:t>
      </w:r>
      <w:r>
        <w:rPr>
          <w:rFonts w:ascii="arial" w:eastAsia="arial" w:hAnsi="arial" w:cs="arial"/>
          <w:sz w:val="20"/>
          <w:lang w:val="en-US" w:eastAsia="en-US" w:bidi="ar-SA"/>
        </w:rPr>
        <w:cr/>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Summary Trials are not to be decided on the basis of "Assumed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defendants agreed that there are numerous significant conflicts in the evidence and that those contracts cannot be resolved on this application. They argued, however, orally and in their written brief, that the court should "take the plaintiff's case at its highest and determine that even on that basis, it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Concord, in turn, argues that this proposal is tantamount asking the court to assume, for the limited purposes of this application, that Concord's evidence is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It is clear that a court cannot decide a summary trial on the basis of "assumed facts". This proposition is supported by a considerable body of case law that is both overwhelmingly consistent and of long-standing.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following appellate decisions establish both the general rule that I have expressed as well as the principled basis for that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Hill v. Vernon (City)</w:t>
      </w:r>
      <w:r>
        <w:rPr>
          <w:rFonts w:ascii="arial" w:eastAsia="arial" w:hAnsi="arial" w:cs="arial"/>
          <w:color w:val="000000"/>
          <w:sz w:val="20"/>
          <w:lang w:val="en-US" w:eastAsia="en-US" w:bidi="ar-SA"/>
        </w:rPr>
        <w:t xml:space="preserve">, </w:t>
      </w:r>
      <w:hyperlink r:id="rId433" w:history="1">
        <w:r>
          <w:rPr>
            <w:rFonts w:ascii="arial" w:eastAsia="arial" w:hAnsi="arial" w:cs="arial"/>
            <w:i/>
            <w:color w:val="0077CC"/>
            <w:sz w:val="20"/>
            <w:u w:val="single"/>
            <w:shd w:val="clear" w:color="auto" w:fill="FFFFFF"/>
            <w:lang w:val="en-US" w:eastAsia="en-US" w:bidi="ar-SA"/>
          </w:rPr>
          <w:t>[1991] B.C.J. No. 911</w:t>
        </w:r>
      </w:hyperlink>
      <w:r>
        <w:rPr>
          <w:rFonts w:ascii="arial" w:eastAsia="arial" w:hAnsi="arial" w:cs="arial"/>
          <w:color w:val="000000"/>
          <w:sz w:val="20"/>
          <w:lang w:val="en-US" w:eastAsia="en-US" w:bidi="ar-SA"/>
        </w:rPr>
        <w:t xml:space="preserve"> (C.A.), Southin J.A., in finding that a matter should not have been determined in a summary trial,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When the matter came on before the learned trial Judge he did not appreciate, I supposed because it was not made clear to him, that the City of Vernon does not concede the accuracy of the allegations in the statement of Claim. Thus, the learned trial judge gave a Judgment under Rule 18A on an assumed state of facts and not on facts as found. This will not do. As we pointed out to counsel, Rule 18A is a rule for the trial of an action or an issue. An essential part of a trial is that facts are decided.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Buckley v. B.C.T.F.</w:t>
      </w:r>
      <w:r>
        <w:rPr>
          <w:rFonts w:ascii="arial" w:eastAsia="arial" w:hAnsi="arial" w:cs="arial"/>
          <w:color w:val="000000"/>
          <w:sz w:val="20"/>
          <w:lang w:val="en-US" w:eastAsia="en-US" w:bidi="ar-SA"/>
        </w:rPr>
        <w:t xml:space="preserve">, </w:t>
      </w:r>
      <w:hyperlink r:id="rId434" w:history="1">
        <w:r>
          <w:rPr>
            <w:rFonts w:ascii="arial" w:eastAsia="arial" w:hAnsi="arial" w:cs="arial"/>
            <w:i/>
            <w:color w:val="0077CC"/>
            <w:sz w:val="20"/>
            <w:u w:val="single"/>
            <w:shd w:val="clear" w:color="auto" w:fill="FFFFFF"/>
            <w:lang w:val="en-US" w:eastAsia="en-US" w:bidi="ar-SA"/>
          </w:rPr>
          <w:t>[1992] B.C.J. No. 587</w:t>
        </w:r>
      </w:hyperlink>
      <w:r>
        <w:rPr>
          <w:rFonts w:ascii="arial" w:eastAsia="arial" w:hAnsi="arial" w:cs="arial"/>
          <w:color w:val="000000"/>
          <w:sz w:val="20"/>
          <w:lang w:val="en-US" w:eastAsia="en-US" w:bidi="ar-SA"/>
        </w:rPr>
        <w:t xml:space="preserve"> (C.A.), a matter had proceeded to summary trial and a disagreement subsequently emerged between counsel as to the basis upon which the parties had proceeded. The respondent Federation asserted that the concessions concerning facts at issue had been made only for the purpose of the summary trial and that it remained open to it to seek to obtain a different outcome with respect to those matters. The petitioner asserted that the summary trial resolved those matters and that they could not be re-litigated. The court was critical of a summary trial application brought on assumed facts. Mr. Justice Lambert, speaking for the court,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In my opinion, the understanding held by counsel for the petitioner must be treated as correct. To decide otherwise would be to permit the Supreme Court Rules, and particularly Rules 52(11) and 18A, though the same principle is applicable to Rule 34, to be used to decide hypothetical or moot questions which may turn out, in the end, to have no direct bearing on the outcome of the proceedings.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Rule 18A permits a party to apply to the Court for judgment either upon an issue or generally. In my opinion such a judgment, if given, is a judgment which disposes once and for all of the issues on which it is given.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By an application to amend the Notice of Appeal and Appellant's Factum, counsel for the Federation drew to our attention the decision of this Court in </w:t>
      </w:r>
      <w:r>
        <w:rPr>
          <w:rFonts w:ascii="arial" w:eastAsia="arial" w:hAnsi="arial" w:cs="arial"/>
          <w:i/>
          <w:color w:val="000000"/>
          <w:sz w:val="20"/>
          <w:lang w:val="en-US" w:eastAsia="en-US" w:bidi="ar-SA"/>
        </w:rPr>
        <w:t>Hill v. The City of Vernon</w:t>
      </w:r>
      <w:r>
        <w:rPr>
          <w:rFonts w:ascii="arial" w:eastAsia="arial" w:hAnsi="arial" w:cs="arial"/>
          <w:color w:val="000000"/>
          <w:sz w:val="20"/>
          <w:lang w:val="en-US" w:eastAsia="en-US" w:bidi="ar-SA"/>
        </w:rPr>
        <w:t xml:space="preserve">, </w:t>
      </w:r>
      <w:hyperlink r:id="rId433" w:history="1">
        <w:r>
          <w:rPr>
            <w:rFonts w:ascii="arial" w:eastAsia="arial" w:hAnsi="arial" w:cs="arial"/>
            <w:i/>
            <w:color w:val="0077CC"/>
            <w:sz w:val="20"/>
            <w:u w:val="single"/>
            <w:shd w:val="clear" w:color="auto" w:fill="FFFFFF"/>
            <w:lang w:val="en-US" w:eastAsia="en-US" w:bidi="ar-SA"/>
          </w:rPr>
          <w:t>[1991] B.C.J. No. 911</w:t>
        </w:r>
      </w:hyperlink>
      <w:r>
        <w:rPr>
          <w:rFonts w:ascii="arial" w:eastAsia="arial" w:hAnsi="arial" w:cs="arial"/>
          <w:color w:val="000000"/>
          <w:sz w:val="20"/>
          <w:lang w:val="en-US" w:eastAsia="en-US" w:bidi="ar-SA"/>
        </w:rPr>
        <w:t xml:space="preserve"> (CA010436, 25 March, 1991) in which it was said that an application under Rule 18A might well involve the determination of a contested question of fact, but that it should not go ahead under Rule 18A on assumptions about the facts which might later prove to be wrong, unless both parties agreed that those assumptions were final.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I would adopt a similar approach in this case to the issues raised for decision under Rule 18A. A judgment on those issues under Rule 18A is final. That finality can not be undermined by later assertions that the true facts are different from the facts which were before the Court when it gave its Rule 18A judgment.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In this case, the parties agreed to go ahead with the application for summary trial of the two issues. Judgment on those two issues was given. That judgment, in my opinion, is final in these proceedings, subject only to an appeal to this Court. It can not be affected by new or further evidence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Jam's International Ventures Ltd. v. Westbank Holdings Ltd.</w:t>
      </w:r>
      <w:r>
        <w:rPr>
          <w:rFonts w:ascii="arial" w:eastAsia="arial" w:hAnsi="arial" w:cs="arial"/>
          <w:color w:val="000000"/>
          <w:sz w:val="20"/>
          <w:lang w:val="en-US" w:eastAsia="en-US" w:bidi="ar-SA"/>
        </w:rPr>
        <w:t xml:space="preserve">, </w:t>
      </w:r>
      <w:hyperlink r:id="rId435" w:history="1">
        <w:r>
          <w:rPr>
            <w:rFonts w:ascii="arial" w:eastAsia="arial" w:hAnsi="arial" w:cs="arial"/>
            <w:i/>
            <w:color w:val="0077CC"/>
            <w:sz w:val="20"/>
            <w:u w:val="single"/>
            <w:shd w:val="clear" w:color="auto" w:fill="FFFFFF"/>
            <w:lang w:val="en-US" w:eastAsia="en-US" w:bidi="ar-SA"/>
          </w:rPr>
          <w:t>2001 BCCA 121</w:t>
        </w:r>
      </w:hyperlink>
      <w:r>
        <w:rPr>
          <w:rFonts w:ascii="arial" w:eastAsia="arial" w:hAnsi="arial" w:cs="arial"/>
          <w:color w:val="000000"/>
          <w:sz w:val="20"/>
          <w:lang w:val="en-US" w:eastAsia="en-US" w:bidi="ar-SA"/>
        </w:rPr>
        <w:t>, Lambert J.A. again applied these principles in a contract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The second principle applies to those cases where the Court is asked to make assumptions of fact or mixed fact and law in a course of an 18A proceeding. Those assumptions can produce a hypothetical issue and often result in a situation where careful attention should be given to the first principle I mentioned because the resulting issue may not be a real issue in the case and it may save no time or expense to have it decided. There are a number of cases which discuss the difficulties of dealing with an 18A application on the basis of assumptions. I will mention only two</w:t>
      </w:r>
      <w:r>
        <w:rPr>
          <w:rFonts w:ascii="arial" w:eastAsia="arial" w:hAnsi="arial" w:cs="arial"/>
          <w:i/>
          <w:color w:val="000000"/>
          <w:sz w:val="20"/>
          <w:lang w:val="en-US" w:eastAsia="en-US" w:bidi="ar-SA"/>
        </w:rPr>
        <w:t>: Steyns v. Manitoba Public Insurance Corp</w:t>
      </w:r>
      <w:r>
        <w:rPr>
          <w:rFonts w:ascii="arial" w:eastAsia="arial" w:hAnsi="arial" w:cs="arial"/>
          <w:color w:val="000000"/>
          <w:sz w:val="20"/>
          <w:lang w:val="en-US" w:eastAsia="en-US" w:bidi="ar-SA"/>
        </w:rPr>
        <w:t xml:space="preserve">. </w:t>
      </w:r>
      <w:hyperlink r:id="rId436" w:history="1">
        <w:r>
          <w:rPr>
            <w:rFonts w:ascii="arial" w:eastAsia="arial" w:hAnsi="arial" w:cs="arial"/>
            <w:i/>
            <w:color w:val="0077CC"/>
            <w:sz w:val="20"/>
            <w:u w:val="single"/>
            <w:shd w:val="clear" w:color="auto" w:fill="FFFFFF"/>
            <w:lang w:val="en-US" w:eastAsia="en-US" w:bidi="ar-SA"/>
          </w:rPr>
          <w:t>(1995) 7 B.C.L.R. (3d) 106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Bell Pole Co. v. Commonwealth Insurance Co</w:t>
      </w:r>
      <w:r>
        <w:rPr>
          <w:rFonts w:ascii="arial" w:eastAsia="arial" w:hAnsi="arial" w:cs="arial"/>
          <w:color w:val="000000"/>
          <w:sz w:val="20"/>
          <w:lang w:val="en-US" w:eastAsia="en-US" w:bidi="ar-SA"/>
        </w:rPr>
        <w:t xml:space="preserve">. </w:t>
      </w:r>
      <w:hyperlink r:id="rId437" w:history="1">
        <w:r>
          <w:rPr>
            <w:rFonts w:ascii="arial" w:eastAsia="arial" w:hAnsi="arial" w:cs="arial"/>
            <w:i/>
            <w:color w:val="0077CC"/>
            <w:sz w:val="20"/>
            <w:u w:val="single"/>
            <w:shd w:val="clear" w:color="auto" w:fill="FFFFFF"/>
            <w:lang w:val="en-US" w:eastAsia="en-US" w:bidi="ar-SA"/>
          </w:rPr>
          <w:t>(1997) 66 B.C.L.R. (3d) 79</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 In the </w:t>
      </w:r>
      <w:r>
        <w:rPr>
          <w:rFonts w:ascii="arial" w:eastAsia="arial" w:hAnsi="arial" w:cs="arial"/>
          <w:i/>
          <w:color w:val="000000"/>
          <w:sz w:val="20"/>
          <w:lang w:val="en-US" w:eastAsia="en-US" w:bidi="ar-SA"/>
        </w:rPr>
        <w:t>Bell Pole</w:t>
      </w:r>
      <w:r>
        <w:rPr>
          <w:rFonts w:ascii="arial" w:eastAsia="arial" w:hAnsi="arial" w:cs="arial"/>
          <w:color w:val="000000"/>
          <w:sz w:val="20"/>
          <w:lang w:val="en-US" w:eastAsia="en-US" w:bidi="ar-SA"/>
        </w:rPr>
        <w:t xml:space="preserve"> case Mr. Justice Esson, for the Court, said this: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[15] This is not an appropriate case in which to make a definitive statement on the matter. I will say that to proceed with a summary trial on assumed facts is likely to result in the kind of confusion which arose here, and that such a procedure seems inconsistent with the principle that a summary trial is a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I would like to add this; the problem is particularly acute in those cases where the court has been asked to decide the 18A application on assumed facts which are not conceded by the applicant to be true. In most cases if the application is dismissed the applicant on assumed facts seeks to retain the right to prove the true facts which may or may not be the same as the assumed facts. As in the </w:t>
      </w:r>
      <w:r>
        <w:rPr>
          <w:rFonts w:ascii="arial" w:eastAsia="arial" w:hAnsi="arial" w:cs="arial"/>
          <w:i/>
          <w:color w:val="000000"/>
          <w:sz w:val="20"/>
          <w:lang w:val="en-US" w:eastAsia="en-US" w:bidi="ar-SA"/>
        </w:rPr>
        <w:t>Bell Pole</w:t>
      </w:r>
      <w:r>
        <w:rPr>
          <w:rFonts w:ascii="arial" w:eastAsia="arial" w:hAnsi="arial" w:cs="arial"/>
          <w:color w:val="000000"/>
          <w:sz w:val="20"/>
          <w:lang w:val="en-US" w:eastAsia="en-US" w:bidi="ar-SA"/>
        </w:rPr>
        <w:t xml:space="preserve"> case I would not make a definitive ruling on this issue until the issue itself is argued and not simply raised by this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I think it would be a rare case where the Court was asked to assume facts which were not also conceded to be true for all purposes of the litigation by all parties to the litigation and where it would be wise for the court to give a judgment on those assumed facts. Of course, when all parties are prepared to concede that the facts put forward on the application are true and should be treated as such by all parties to the litigation, for all purposes of the litigation and not simply for the 18A proceeding, and all parties agree that that is so, then no problem is likely to arise. But those facts are not assumed facts they are admitted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Court of Appeal again considered this issue in </w:t>
      </w:r>
      <w:r>
        <w:rPr>
          <w:rFonts w:ascii="arial" w:eastAsia="arial" w:hAnsi="arial" w:cs="arial"/>
          <w:i/>
          <w:color w:val="000000"/>
          <w:sz w:val="20"/>
          <w:lang w:val="en-US" w:eastAsia="en-US" w:bidi="ar-SA"/>
        </w:rPr>
        <w:t>Hobbs v. Robertson</w:t>
      </w:r>
      <w:r>
        <w:rPr>
          <w:rFonts w:ascii="arial" w:eastAsia="arial" w:hAnsi="arial" w:cs="arial"/>
          <w:color w:val="000000"/>
          <w:sz w:val="20"/>
          <w:lang w:val="en-US" w:eastAsia="en-US" w:bidi="ar-SA"/>
        </w:rPr>
        <w:t xml:space="preserve">, </w:t>
      </w:r>
      <w:hyperlink r:id="rId438" w:history="1">
        <w:r>
          <w:rPr>
            <w:rFonts w:ascii="arial" w:eastAsia="arial" w:hAnsi="arial" w:cs="arial"/>
            <w:i/>
            <w:color w:val="0077CC"/>
            <w:sz w:val="20"/>
            <w:u w:val="single"/>
            <w:shd w:val="clear" w:color="auto" w:fill="FFFFFF"/>
            <w:lang w:val="en-US" w:eastAsia="en-US" w:bidi="ar-SA"/>
          </w:rPr>
          <w:t>2002 BCCA 381</w:t>
        </w:r>
      </w:hyperlink>
      <w:r>
        <w:rPr>
          <w:rFonts w:ascii="arial" w:eastAsia="arial" w:hAnsi="arial" w:cs="arial"/>
          <w:color w:val="000000"/>
          <w:sz w:val="20"/>
          <w:lang w:val="en-US" w:eastAsia="en-US" w:bidi="ar-SA"/>
        </w:rPr>
        <w:t xml:space="preserve">, where an action arose from the death of Mrs. Hobbs, a Jehovah's Witness, who died following surgery. She had directed the defendants not to transfuse her with blood or blood products, and signed a release to that effect. The defendants brought a summary trial application seeking to have the claim dismissed on the basis that the release was a complete answer to the claim, whether there was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not. Madam Justice Newbury, for the court, concluded that the matter should not have proceeded by summary trial,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 The point is that until it becomes clear, as a factual matter, of what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consisted, the scope and consequence of the appeal would be largely speculative, and indeed the appeal might turn out to be entirely moot. That is not, in my respectful view, a proper use of R. 18A.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...A summary trial on assumed facts may, then, be a confusing and futile exercise. At worst, it runs the risk of final judgment in favour of one party or the other, when a final judgment is not the intended result.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For the foregoing reasons, we advised counsel after hearing brief submissions that the appeal was allowed on the basis that the Chambers judge should not have proceeded with the application before him and that rather, the facts must be found in the usual way before the issues raised by the appeal may be properly decided. Counsel later made written submissions which have been duly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following additional decisions of this Court are consistent with the foregoing authorities and propositions: </w:t>
      </w:r>
      <w:r>
        <w:rPr>
          <w:rFonts w:ascii="arial" w:eastAsia="arial" w:hAnsi="arial" w:cs="arial"/>
          <w:i/>
          <w:color w:val="000000"/>
          <w:sz w:val="20"/>
          <w:lang w:val="en-US" w:eastAsia="en-US" w:bidi="ar-SA"/>
        </w:rPr>
        <w:t>Christopher v. Westminster Savings Credit Union</w:t>
      </w:r>
      <w:r>
        <w:rPr>
          <w:rFonts w:ascii="arial" w:eastAsia="arial" w:hAnsi="arial" w:cs="arial"/>
          <w:color w:val="000000"/>
          <w:sz w:val="20"/>
          <w:lang w:val="en-US" w:eastAsia="en-US" w:bidi="ar-SA"/>
        </w:rPr>
        <w:t xml:space="preserve">, </w:t>
      </w:r>
      <w:hyperlink r:id="rId439" w:history="1">
        <w:r>
          <w:rPr>
            <w:rFonts w:ascii="arial" w:eastAsia="arial" w:hAnsi="arial" w:cs="arial"/>
            <w:i/>
            <w:color w:val="0077CC"/>
            <w:sz w:val="20"/>
            <w:u w:val="single"/>
            <w:shd w:val="clear" w:color="auto" w:fill="FFFFFF"/>
            <w:lang w:val="en-US" w:eastAsia="en-US" w:bidi="ar-SA"/>
          </w:rPr>
          <w:t>2003 BCSC 362</w:t>
        </w:r>
      </w:hyperlink>
      <w:r>
        <w:rPr>
          <w:rFonts w:ascii="arial" w:eastAsia="arial" w:hAnsi="arial" w:cs="arial"/>
          <w:color w:val="000000"/>
          <w:sz w:val="20"/>
          <w:lang w:val="en-US" w:eastAsia="en-US" w:bidi="ar-SA"/>
        </w:rPr>
        <w:t xml:space="preserve"> at paras. 11-12, 19-20 and 23; </w:t>
      </w:r>
      <w:r>
        <w:rPr>
          <w:rFonts w:ascii="arial" w:eastAsia="arial" w:hAnsi="arial" w:cs="arial"/>
          <w:i/>
          <w:color w:val="000000"/>
          <w:sz w:val="20"/>
          <w:lang w:val="en-US" w:eastAsia="en-US" w:bidi="ar-SA"/>
        </w:rPr>
        <w:t>Von Eugen v. Leger</w:t>
      </w:r>
      <w:r>
        <w:rPr>
          <w:rFonts w:ascii="arial" w:eastAsia="arial" w:hAnsi="arial" w:cs="arial"/>
          <w:color w:val="000000"/>
          <w:sz w:val="20"/>
          <w:lang w:val="en-US" w:eastAsia="en-US" w:bidi="ar-SA"/>
        </w:rPr>
        <w:t xml:space="preserve">, </w:t>
      </w:r>
      <w:hyperlink r:id="rId440" w:history="1">
        <w:r>
          <w:rPr>
            <w:rFonts w:ascii="arial" w:eastAsia="arial" w:hAnsi="arial" w:cs="arial"/>
            <w:i/>
            <w:color w:val="0077CC"/>
            <w:sz w:val="20"/>
            <w:u w:val="single"/>
            <w:shd w:val="clear" w:color="auto" w:fill="FFFFFF"/>
            <w:lang w:val="en-US" w:eastAsia="en-US" w:bidi="ar-SA"/>
          </w:rPr>
          <w:t>2010 BCSC 204</w:t>
        </w:r>
      </w:hyperlink>
      <w:r>
        <w:rPr>
          <w:rFonts w:ascii="arial" w:eastAsia="arial" w:hAnsi="arial" w:cs="arial"/>
          <w:color w:val="000000"/>
          <w:sz w:val="20"/>
          <w:lang w:val="en-US" w:eastAsia="en-US" w:bidi="ar-SA"/>
        </w:rPr>
        <w:t xml:space="preserve"> at paras. 45-47; </w:t>
      </w:r>
      <w:r>
        <w:rPr>
          <w:rFonts w:ascii="arial" w:eastAsia="arial" w:hAnsi="arial" w:cs="arial"/>
          <w:i/>
          <w:color w:val="000000"/>
          <w:sz w:val="20"/>
          <w:lang w:val="en-US" w:eastAsia="en-US" w:bidi="ar-SA"/>
        </w:rPr>
        <w:t>Dawson v. Tolko Industries Ltd.</w:t>
      </w:r>
      <w:r>
        <w:rPr>
          <w:rFonts w:ascii="arial" w:eastAsia="arial" w:hAnsi="arial" w:cs="arial"/>
          <w:color w:val="000000"/>
          <w:sz w:val="20"/>
          <w:lang w:val="en-US" w:eastAsia="en-US" w:bidi="ar-SA"/>
        </w:rPr>
        <w:t xml:space="preserve">, </w:t>
      </w:r>
      <w:hyperlink r:id="rId441" w:history="1">
        <w:r>
          <w:rPr>
            <w:rFonts w:ascii="arial" w:eastAsia="arial" w:hAnsi="arial" w:cs="arial"/>
            <w:i/>
            <w:color w:val="0077CC"/>
            <w:sz w:val="20"/>
            <w:u w:val="single"/>
            <w:shd w:val="clear" w:color="auto" w:fill="FFFFFF"/>
            <w:lang w:val="en-US" w:eastAsia="en-US" w:bidi="ar-SA"/>
          </w:rPr>
          <w:t>2010 BCSC 346</w:t>
        </w:r>
      </w:hyperlink>
      <w:r>
        <w:rPr>
          <w:rFonts w:ascii="arial" w:eastAsia="arial" w:hAnsi="arial" w:cs="arial"/>
          <w:color w:val="000000"/>
          <w:sz w:val="20"/>
          <w:lang w:val="en-US" w:eastAsia="en-US" w:bidi="ar-SA"/>
        </w:rPr>
        <w:t xml:space="preserve"> at paras. 57 and 59; </w:t>
      </w:r>
      <w:r>
        <w:rPr>
          <w:rFonts w:ascii="arial" w:eastAsia="arial" w:hAnsi="arial" w:cs="arial"/>
          <w:i/>
          <w:color w:val="000000"/>
          <w:sz w:val="20"/>
          <w:lang w:val="en-US" w:eastAsia="en-US" w:bidi="ar-SA"/>
        </w:rPr>
        <w:t>McShane v. Eusanio</w:t>
      </w:r>
      <w:r>
        <w:rPr>
          <w:rFonts w:ascii="arial" w:eastAsia="arial" w:hAnsi="arial" w:cs="arial"/>
          <w:color w:val="000000"/>
          <w:sz w:val="20"/>
          <w:lang w:val="en-US" w:eastAsia="en-US" w:bidi="ar-SA"/>
        </w:rPr>
        <w:t xml:space="preserve">, </w:t>
      </w:r>
      <w:hyperlink r:id="rId442" w:history="1">
        <w:r>
          <w:rPr>
            <w:rFonts w:ascii="arial" w:eastAsia="arial" w:hAnsi="arial" w:cs="arial"/>
            <w:i/>
            <w:color w:val="0077CC"/>
            <w:sz w:val="20"/>
            <w:u w:val="single"/>
            <w:shd w:val="clear" w:color="auto" w:fill="FFFFFF"/>
            <w:lang w:val="en-US" w:eastAsia="en-US" w:bidi="ar-SA"/>
          </w:rPr>
          <w:t>2011 BCSC 553</w:t>
        </w:r>
      </w:hyperlink>
      <w:r>
        <w:rPr>
          <w:rFonts w:ascii="arial" w:eastAsia="arial" w:hAnsi="arial" w:cs="arial"/>
          <w:color w:val="000000"/>
          <w:sz w:val="20"/>
          <w:lang w:val="en-US" w:eastAsia="en-US" w:bidi="ar-SA"/>
        </w:rPr>
        <w:t xml:space="preserve"> at paras. 58-65; and </w:t>
      </w:r>
      <w:r>
        <w:rPr>
          <w:rFonts w:ascii="arial" w:eastAsia="arial" w:hAnsi="arial" w:cs="arial"/>
          <w:i/>
          <w:color w:val="000000"/>
          <w:sz w:val="20"/>
          <w:lang w:val="en-US" w:eastAsia="en-US" w:bidi="ar-SA"/>
        </w:rPr>
        <w:t>HSBC Bank Canada v. Western Resort Assets Limited Partnership</w:t>
      </w:r>
      <w:r>
        <w:rPr>
          <w:rFonts w:ascii="arial" w:eastAsia="arial" w:hAnsi="arial" w:cs="arial"/>
          <w:color w:val="000000"/>
          <w:sz w:val="20"/>
          <w:lang w:val="en-US" w:eastAsia="en-US" w:bidi="ar-SA"/>
        </w:rPr>
        <w:t xml:space="preserve">, </w:t>
      </w:r>
      <w:hyperlink r:id="rId443" w:history="1">
        <w:r>
          <w:rPr>
            <w:rFonts w:ascii="arial" w:eastAsia="arial" w:hAnsi="arial" w:cs="arial"/>
            <w:i/>
            <w:color w:val="0077CC"/>
            <w:sz w:val="20"/>
            <w:u w:val="single"/>
            <w:shd w:val="clear" w:color="auto" w:fill="FFFFFF"/>
            <w:lang w:val="en-US" w:eastAsia="en-US" w:bidi="ar-SA"/>
          </w:rPr>
          <w:t>2014 BCSC 760</w:t>
        </w:r>
      </w:hyperlink>
      <w:r>
        <w:rPr>
          <w:rFonts w:ascii="arial" w:eastAsia="arial" w:hAnsi="arial" w:cs="arial"/>
          <w:color w:val="000000"/>
          <w:sz w:val="20"/>
          <w:lang w:val="en-US" w:eastAsia="en-US" w:bidi="ar-SA"/>
        </w:rPr>
        <w:t xml:space="preserve"> at paras. 23-26 and 33-34.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defendants say they do not challenge the legal principles that are established in these authorities but, instead, argue that the court can and should "take the plaintiff's case at its highest". In doing so they propose or ask "the court to test the plaintiff's evidence in support of each of the alleged agreements. If that evidence (i.e. the plaintiff's evidence) is not sufficient to support any of them, the case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Respectfully the defendants seek to draw a distinction that does not exist. In </w:t>
      </w:r>
      <w:r>
        <w:rPr>
          <w:rFonts w:ascii="arial" w:eastAsia="arial" w:hAnsi="arial" w:cs="arial"/>
          <w:i/>
          <w:color w:val="000000"/>
          <w:sz w:val="20"/>
          <w:lang w:val="en-US" w:eastAsia="en-US" w:bidi="ar-SA"/>
        </w:rPr>
        <w:t>Christopher</w:t>
      </w:r>
      <w:r>
        <w:rPr>
          <w:rFonts w:ascii="arial" w:eastAsia="arial" w:hAnsi="arial" w:cs="arial"/>
          <w:color w:val="000000"/>
          <w:sz w:val="20"/>
          <w:lang w:val="en-US" w:eastAsia="en-US" w:bidi="ar-SA"/>
        </w:rPr>
        <w:t xml:space="preserve"> the defendant credit union applied to dismiss the plaintiff's claims by way of summary trial. The court said:</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Counsel for the defendant acknowledged that there are serious conflicts in the evidence which could not be resolved by way of summary trial. But Mr. Cuttler made a proposal that he said would avoid all issues of credibility and that would permit me to decide this case on the merits under Rule 18A procedure. He </w:t>
      </w:r>
      <w:r>
        <w:rPr>
          <w:rFonts w:ascii="arial" w:eastAsia="arial" w:hAnsi="arial" w:cs="arial"/>
          <w:color w:val="000000"/>
          <w:sz w:val="20"/>
          <w:u w:val="single"/>
          <w:lang w:val="en-US" w:eastAsia="en-US" w:bidi="ar-SA"/>
        </w:rPr>
        <w:t>invited me to accept the version of the facts asserted in the affidavit evidence presented by the plaintiffs, as being true on the balance of probabilities</w:t>
      </w:r>
      <w:r>
        <w:rPr>
          <w:rFonts w:ascii="arial" w:eastAsia="arial" w:hAnsi="arial" w:cs="arial"/>
          <w:color w:val="000000"/>
          <w:sz w:val="20"/>
          <w:lang w:val="en-US" w:eastAsia="en-US" w:bidi="ar-SA"/>
        </w:rPr>
        <w:t>. In this way, Mr. Cuttler says that I will be able "to find the facts necessary to decide the issues of fact or law." I think it is necessarily implicit in this argument they would also not be unjust to try this case summarily.</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Next, </w:t>
      </w:r>
      <w:r>
        <w:rPr>
          <w:rFonts w:ascii="arial" w:eastAsia="arial" w:hAnsi="arial" w:cs="arial"/>
          <w:color w:val="000000"/>
          <w:sz w:val="20"/>
          <w:u w:val="single"/>
          <w:lang w:val="en-US" w:eastAsia="en-US" w:bidi="ar-SA"/>
        </w:rPr>
        <w:t>counsel submits that even on the plaintiffs' own version of events, their case is bound to fail</w:t>
      </w:r>
      <w:r>
        <w:rPr>
          <w:rFonts w:ascii="arial" w:eastAsia="arial" w:hAnsi="arial" w:cs="arial"/>
          <w:color w:val="000000"/>
          <w:sz w:val="20"/>
          <w:lang w:val="en-US" w:eastAsia="en-US" w:bidi="ar-SA"/>
        </w:rPr>
        <w:t>, I understand this submission to mean that the conduct of Mr. Cole, as complained of by the plaintiffs, could not in law constitute the elements necessary to establish an unconscionable transaction.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portion of the foregoing statement that I have emphasized mirrors the position that the defendants advocate on this application. The assertion that Concord's case "should be taken at its highest" is no different from the statement that "even on the plaintiffs' own version of events their case is bound to fail". So too, the assertion that the "plaintiff's case should be taken at its highest" is no different, in real terms, than asking a court to "assume", for the limited purposes of the application before it, that only the plaintiff's version of events should pertain or should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Christopher</w:t>
      </w:r>
      <w:r>
        <w:rPr>
          <w:rFonts w:ascii="arial" w:eastAsia="arial" w:hAnsi="arial" w:cs="arial"/>
          <w:color w:val="000000"/>
          <w:sz w:val="20"/>
          <w:lang w:val="en-US" w:eastAsia="en-US" w:bidi="ar-SA"/>
        </w:rPr>
        <w:t>, in response to the proposal made by counsel for the defendant, Halfyard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But in this case, I decline to express any final opinion on the merits of the plaintiffs' claim, for reasons which I will explain. </w:t>
      </w:r>
      <w:r>
        <w:rPr>
          <w:rFonts w:ascii="arial" w:eastAsia="arial" w:hAnsi="arial" w:cs="arial"/>
          <w:color w:val="000000"/>
          <w:sz w:val="20"/>
          <w:u w:val="single"/>
          <w:lang w:val="en-US" w:eastAsia="en-US" w:bidi="ar-SA"/>
        </w:rPr>
        <w:t>First, defence counsel invites me to accept the plaintiffs' version of the facts, for the purpose of deciding this application, but does not admit the truth of those facts, for any additional purpose. Second, as I have mentioned, the plaintiffs have opposed this application on the basis that this action should not be determined by way of summary trial. They have not agreed to the procedure proposed by Mr. Cuttler</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understood Mr. Cuttler's position to be that, if I found this case to be unsuitable for disposition by summary trial, and dismissed the defendant's application, it would be open to the defendant at a later trial to contest the version of facts advanced by the plaintiffs. In my opinion, the weight of the authorities is that the court should not proceed to the summary trial of an action based on assumed facts, unless all parties agree to that procedure. There is also some authority for the proposition that, even if the parties agree that the court should decide an issue of law on facts that are to be assumed, the summary trial should not be proceeded with, unless all parties agree that the facts are to be admitted finally and conclusively for all purposes in the proceeding as a whole.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In my view, the law dictates that I cannot proceed to try this action summarily, based on the assumed facts proposed by defence counsel. If I am wrong, I would exercise my discretion against the applicant in this case. I conclude that I am "unable, on the whole of the evidence before the court on the application, to find the facts necessary to decide the issues of fact or law." That conclusion justifies the dismissal of this application.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McShane</w:t>
      </w:r>
      <w:r>
        <w:rPr>
          <w:rFonts w:ascii="arial" w:eastAsia="arial" w:hAnsi="arial" w:cs="arial"/>
          <w:color w:val="000000"/>
          <w:sz w:val="20"/>
          <w:lang w:val="en-US" w:eastAsia="en-US" w:bidi="ar-SA"/>
        </w:rPr>
        <w:t>, Halfyard J. again addressed this issue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58 Where there are conflicts in the affidavit evidence presented by the opposing parties, it does not necessarily follow that a summary trial cannot proceed. In some cases (not this case), the court may be able to resolve the conflicts. In some cases (again, not this case), the conflicts may related only to collateral facts, making it unnecessary to resolve the conflicts. But if there are conflicts about facts which would be conclusive (or have significant potential probative value) on the material issue in the case, and if those conflicts cannot be resolved, the issue should not be decided by summary trial. In my opinion, these propositions are supported by many authorities, beginning with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59 It might be said that the court could simply disregard all of the conflicting evidence, decide what facts are proved (or not proved) by the uncontradicted evidence, and decide whether the proven facts are sufficient to establish the disputed element of the claim (or defence). But there are problems with that approach. For example, a plaintiff's action could be dismissed, even though he or she had presented evidence (contradicted by the defendant) which, if accepted as true, could entitle the plaintiff to judgment. Without a conventional trial, where the credibility of witnesses could be determined and the conflicts could be resolved, the court cannot decide whether or not an essential (but disputed) element of the cause of action is proved. In that situation, the case law indicates that the application for a summary trial (not the action) should be dismissed, on the ground that the court is "unable . . . to find the facts necessary to decide the issues of fact or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60 In my opinion, the same result should follow in such situations, even where (as here) all parties to the litigation agree that the court should proceed with a summary trial, in the face of conflicting evidence on a material issue. The plaintiffs say, in effect, that the court should simply ignore the conflicting evidence, relying on their estimate that the remaining evidence is sufficient to prove their case on the issue of knowledge. But the plaintiffs did not admit that the material facts they allege (which are contradicted by the defendants), are false, or that the defendants' denials are true. The position of the plaintiffs with respect to these contradicted facts seems be this: "We recognize that we are unable to prove these facts on a summary trial, and while we still claim those facts are true, we are willing to take the chance that the facts asserted in the remaining evidence will be sufficient."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 The position of the defendants appears to be similar to that of the plaintiffs. They do not admit that any of their denials are false. They even rely on their denials, as having the effect of diminishing the evidence against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62 In effect, the parties have asked the court to assume, for the purpose of deciding the present applications, that the facts asserted in the conflicting evidence do not exist. That is not a satisfactory foundation for a summary trial. See </w:t>
      </w:r>
      <w:r>
        <w:rPr>
          <w:rFonts w:ascii="arial" w:eastAsia="arial" w:hAnsi="arial" w:cs="arial"/>
          <w:i/>
          <w:color w:val="000000"/>
          <w:sz w:val="20"/>
          <w:lang w:val="en-US" w:eastAsia="en-US" w:bidi="ar-SA"/>
        </w:rPr>
        <w:t>Hobbs v. Robertson</w:t>
      </w:r>
      <w:r>
        <w:rPr>
          <w:rFonts w:ascii="arial" w:eastAsia="arial" w:hAnsi="arial" w:cs="arial"/>
          <w:color w:val="000000"/>
          <w:sz w:val="20"/>
          <w:lang w:val="en-US" w:eastAsia="en-US" w:bidi="ar-SA"/>
        </w:rPr>
        <w:t xml:space="preserve">, </w:t>
      </w:r>
      <w:hyperlink r:id="rId438" w:history="1">
        <w:r>
          <w:rPr>
            <w:rFonts w:ascii="arial" w:eastAsia="arial" w:hAnsi="arial" w:cs="arial"/>
            <w:i/>
            <w:color w:val="0077CC"/>
            <w:sz w:val="20"/>
            <w:u w:val="single"/>
            <w:shd w:val="clear" w:color="auto" w:fill="FFFFFF"/>
            <w:lang w:val="en-US" w:eastAsia="en-US" w:bidi="ar-SA"/>
          </w:rPr>
          <w:t>2002 BCCA 381</w:t>
        </w:r>
      </w:hyperlink>
      <w:r>
        <w:rPr>
          <w:rFonts w:ascii="arial" w:eastAsia="arial" w:hAnsi="arial" w:cs="arial"/>
          <w:color w:val="000000"/>
          <w:sz w:val="20"/>
          <w:lang w:val="en-US" w:eastAsia="en-US" w:bidi="ar-SA"/>
        </w:rPr>
        <w:t>, at paras. 8 - 10.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Once again, the proposal that was advanced by counsel in </w:t>
      </w:r>
      <w:r>
        <w:rPr>
          <w:rFonts w:ascii="arial" w:eastAsia="arial" w:hAnsi="arial" w:cs="arial"/>
          <w:i/>
          <w:color w:val="000000"/>
          <w:sz w:val="20"/>
          <w:lang w:val="en-US" w:eastAsia="en-US" w:bidi="ar-SA"/>
        </w:rPr>
        <w:t>McShane</w:t>
      </w:r>
      <w:r>
        <w:rPr>
          <w:rFonts w:ascii="arial" w:eastAsia="arial" w:hAnsi="arial" w:cs="arial"/>
          <w:color w:val="000000"/>
          <w:sz w:val="20"/>
          <w:lang w:val="en-US" w:eastAsia="en-US" w:bidi="ar-SA"/>
        </w:rPr>
        <w:t xml:space="preserve">, and that was dismissed by the court, is directly relevant. As in </w:t>
      </w:r>
      <w:r>
        <w:rPr>
          <w:rFonts w:ascii="arial" w:eastAsia="arial" w:hAnsi="arial" w:cs="arial"/>
          <w:i/>
          <w:color w:val="000000"/>
          <w:sz w:val="20"/>
          <w:lang w:val="en-US" w:eastAsia="en-US" w:bidi="ar-SA"/>
        </w:rPr>
        <w:t>McShane</w:t>
      </w:r>
      <w:r>
        <w:rPr>
          <w:rFonts w:ascii="arial" w:eastAsia="arial" w:hAnsi="arial" w:cs="arial"/>
          <w:color w:val="000000"/>
          <w:sz w:val="20"/>
          <w:lang w:val="en-US" w:eastAsia="en-US" w:bidi="ar-SA"/>
        </w:rPr>
        <w:t xml:space="preserve"> counsel for the defendants now ask that I ignore the "conflicting evidence" and look to the "remaining evidence" or more specifically to Concord's evidence to ascertain whether that evidence is sufficient to prove Concord's case. Once again, that avenue or option or submission is not available to the defendants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defendants referred to and relied on several cases where courts have used the phrase "taking the case at its highest" or other like language. Those cases arise in different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Thus, in </w:t>
      </w:r>
      <w:r>
        <w:rPr>
          <w:rFonts w:ascii="arial" w:eastAsia="arial" w:hAnsi="arial" w:cs="arial"/>
          <w:i/>
          <w:color w:val="000000"/>
          <w:sz w:val="20"/>
          <w:lang w:val="en-US" w:eastAsia="en-US" w:bidi="ar-SA"/>
        </w:rPr>
        <w:t>Crookes v. De Simone</w:t>
      </w:r>
      <w:r>
        <w:rPr>
          <w:rFonts w:ascii="arial" w:eastAsia="arial" w:hAnsi="arial" w:cs="arial"/>
          <w:color w:val="000000"/>
          <w:sz w:val="20"/>
          <w:lang w:val="en-US" w:eastAsia="en-US" w:bidi="ar-SA"/>
        </w:rPr>
        <w:t xml:space="preserve">, </w:t>
      </w:r>
      <w:hyperlink r:id="rId444" w:history="1">
        <w:r>
          <w:rPr>
            <w:rFonts w:ascii="arial" w:eastAsia="arial" w:hAnsi="arial" w:cs="arial"/>
            <w:i/>
            <w:color w:val="0077CC"/>
            <w:sz w:val="20"/>
            <w:u w:val="single"/>
            <w:shd w:val="clear" w:color="auto" w:fill="FFFFFF"/>
            <w:lang w:val="en-US" w:eastAsia="en-US" w:bidi="ar-SA"/>
          </w:rPr>
          <w:t>2007 BCCA 515</w:t>
        </w:r>
      </w:hyperlink>
      <w:r>
        <w:rPr>
          <w:rFonts w:ascii="arial" w:eastAsia="arial" w:hAnsi="arial" w:cs="arial"/>
          <w:color w:val="000000"/>
          <w:sz w:val="20"/>
          <w:lang w:val="en-US" w:eastAsia="en-US" w:bidi="ar-SA"/>
        </w:rPr>
        <w:t>, the court addressed an appeal from the dismissal, by way of summary trial, of a libel action. The court referred, at para. 12, to a portion of the trial judge's reasons where the trial judge in addressing the evidence before him had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"taken at its highest, the plaintiff's admissible evidence could support an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reality, however, is that in </w:t>
      </w:r>
      <w:r>
        <w:rPr>
          <w:rFonts w:ascii="arial" w:eastAsia="arial" w:hAnsi="arial" w:cs="arial"/>
          <w:i/>
          <w:color w:val="000000"/>
          <w:sz w:val="20"/>
          <w:lang w:val="en-US" w:eastAsia="en-US" w:bidi="ar-SA"/>
        </w:rPr>
        <w:t>Crookes</w:t>
      </w:r>
      <w:r>
        <w:rPr>
          <w:rFonts w:ascii="arial" w:eastAsia="arial" w:hAnsi="arial" w:cs="arial"/>
          <w:color w:val="000000"/>
          <w:sz w:val="20"/>
          <w:lang w:val="en-US" w:eastAsia="en-US" w:bidi="ar-SA"/>
        </w:rPr>
        <w:t xml:space="preserve"> the trial judge did not decide the application before him on "assumed facts" or on the basis of the evidence that had been proffered by one of the parties. Instead the trial judge weighed the whole of the evidence before him. Thus K.J. Smith J.A., for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The trial judge considered that submission and, in fact, quoted it in some length in his reasons for judgment. He concluded, however, that he had sufficient evidence before him to proceed to dispose of the matter as a summary trial. He said this: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[14] I note that the plaintiffs have had well over a year since discovering the alleged libels and about 10 months since commencing this action to find evidence linking the defendant to publication. The possibility that the plaintiffs might still do so must be weighed against the sworn evidence of the defendant. I find that this case is suitable for disposition under Rule 18A. In this case the plaintiffs have shown not a conflict of evidence on a question of credibility but only a possible basis for further investigation when no investigation apart from an internet search has apparently been done to establish that the defendant was indeed a publisher of the alleged libels. Accordingly, I grant the defendant's motion.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The trial judge weighed the admissible evidence and concluded that the appellants' evidence was not sufficient to prove that the respondent published the alleged libel. That is a finding of fact that was open to him on the evidence before him, and I can see no basis that would justify our interference.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Pearlman v. Critchley</w:t>
      </w:r>
      <w:r>
        <w:rPr>
          <w:rFonts w:ascii="arial" w:eastAsia="arial" w:hAnsi="arial" w:cs="arial"/>
          <w:color w:val="000000"/>
          <w:sz w:val="20"/>
          <w:lang w:val="en-US" w:eastAsia="en-US" w:bidi="ar-SA"/>
        </w:rPr>
        <w:t xml:space="preserve">, </w:t>
      </w:r>
      <w:hyperlink r:id="rId445" w:history="1">
        <w:r>
          <w:rPr>
            <w:rFonts w:ascii="arial" w:eastAsia="arial" w:hAnsi="arial" w:cs="arial"/>
            <w:i/>
            <w:color w:val="0077CC"/>
            <w:sz w:val="20"/>
            <w:u w:val="single"/>
            <w:shd w:val="clear" w:color="auto" w:fill="FFFFFF"/>
            <w:lang w:val="en-US" w:eastAsia="en-US" w:bidi="ar-SA"/>
          </w:rPr>
          <w:t>2011 BCSC 1479</w:t>
        </w:r>
      </w:hyperlink>
      <w:r>
        <w:rPr>
          <w:rFonts w:ascii="arial" w:eastAsia="arial" w:hAnsi="arial" w:cs="arial"/>
          <w:color w:val="000000"/>
          <w:sz w:val="20"/>
          <w:lang w:val="en-US" w:eastAsia="en-US" w:bidi="ar-SA"/>
        </w:rPr>
        <w:t>, another decision relied on by the defendants, Schultes J., in addressing the summary trial application before him, noted, at para. 10, that "the core relevant facts...are not really disputed".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Finally in </w:t>
      </w:r>
      <w:r>
        <w:rPr>
          <w:rFonts w:ascii="arial" w:eastAsia="arial" w:hAnsi="arial" w:cs="arial"/>
          <w:i/>
          <w:color w:val="000000"/>
          <w:sz w:val="20"/>
          <w:lang w:val="en-US" w:eastAsia="en-US" w:bidi="ar-SA"/>
        </w:rPr>
        <w:t>R.G.H. v. British Columbia</w:t>
      </w:r>
      <w:r>
        <w:rPr>
          <w:rFonts w:ascii="arial" w:eastAsia="arial" w:hAnsi="arial" w:cs="arial"/>
          <w:color w:val="000000"/>
          <w:sz w:val="20"/>
          <w:lang w:val="en-US" w:eastAsia="en-US" w:bidi="ar-SA"/>
        </w:rPr>
        <w:t xml:space="preserve">, </w:t>
      </w:r>
      <w:hyperlink r:id="rId347" w:history="1">
        <w:r>
          <w:rPr>
            <w:rFonts w:ascii="arial" w:eastAsia="arial" w:hAnsi="arial" w:cs="arial"/>
            <w:i/>
            <w:color w:val="0077CC"/>
            <w:sz w:val="20"/>
            <w:u w:val="single"/>
            <w:shd w:val="clear" w:color="auto" w:fill="FFFFFF"/>
            <w:lang w:val="en-US" w:eastAsia="en-US" w:bidi="ar-SA"/>
          </w:rPr>
          <w:t>2010 BCCA 220</w:t>
        </w:r>
      </w:hyperlink>
      <w:r>
        <w:rPr>
          <w:rFonts w:ascii="arial" w:eastAsia="arial" w:hAnsi="arial" w:cs="arial"/>
          <w:color w:val="000000"/>
          <w:sz w:val="20"/>
          <w:lang w:val="en-US" w:eastAsia="en-US" w:bidi="ar-SA"/>
        </w:rPr>
        <w:t>, Levine J.A., for the court, said, at para. 60: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find that the evidentiary record--even when read in the manner most generous to the plaintiff, and with all conflicts resolved in his favour--is incapable of satisfying the requirements of this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defendants suggest that their proposal to consider Concord's evidence "at its highest" aligns with these comments. The reality, however, is that in </w:t>
      </w:r>
      <w:r>
        <w:rPr>
          <w:rFonts w:ascii="arial" w:eastAsia="arial" w:hAnsi="arial" w:cs="arial"/>
          <w:i/>
          <w:color w:val="000000"/>
          <w:sz w:val="20"/>
          <w:lang w:val="en-US" w:eastAsia="en-US" w:bidi="ar-SA"/>
        </w:rPr>
        <w:t>R.G.H</w:t>
      </w:r>
      <w:r>
        <w:rPr>
          <w:rFonts w:ascii="arial" w:eastAsia="arial" w:hAnsi="arial" w:cs="arial"/>
          <w:color w:val="000000"/>
          <w:sz w:val="20"/>
          <w:lang w:val="en-US" w:eastAsia="en-US" w:bidi="ar-SA"/>
        </w:rPr>
        <w:t>. the trial judge had, in dismissing the application before him, considered the whole of the evidence and the record before him. He did not proceed on a subset of the evidence and he did not ignore the conflicts in the evidence before him. Thus, Levine J.A.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In my opinion, the evidentiary conflict identified by the trial judge did not preclude him from adjudicating the issues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defamation or misfeasance in public office. On the contrary, I find that the evidentiary record provides all of the facts necessary to grant the appellants' application for summary judgment, and it would not have been unfair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have said that the defendants accept that the conflicts in the evidence before me cannot be resolved on this application. I consider, based on the authorities that I have referred to, that it is not open to me to sidestep those conflicts by either relying on only a portion of the evidence in the record, or by assuming certain facts or by taking the plaintiff's case at its highest.</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Unjust to Decide 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Even if the court is able to find the facts necessary to decide the relevant issues of fact or law, it may decline to give judgment if it would be unjust to decide the issues on the application; see Rule 9-7 (15)(a)(ii).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determining whether it would be unjust to proceed summarily McEachern C.J.B.C. in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at para. 48, identified a number of relevant factors: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amount involved, the complexity of the matter, its urgency, any prejudice likely to arise by reason of delay, the cost of taking the case forward to a conventional trial in relation to the amount involved, the course of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Other factors have since been added to the list including the cost of litigation, the time involved in the summary trial, whether credibility is a critical factor in the determination of the dispute, whether the summary trial may create an unnecessary complexity in the resolution of the dispute, and whether the application would result in litigating in slices; see </w:t>
      </w:r>
      <w:r>
        <w:rPr>
          <w:rFonts w:ascii="arial" w:eastAsia="arial" w:hAnsi="arial" w:cs="arial"/>
          <w:i/>
          <w:color w:val="000000"/>
          <w:sz w:val="20"/>
          <w:lang w:val="en-US" w:eastAsia="en-US" w:bidi="ar-SA"/>
        </w:rPr>
        <w:t>Dahl v. Royal Bank</w:t>
      </w:r>
      <w:r>
        <w:rPr>
          <w:rFonts w:ascii="arial" w:eastAsia="arial" w:hAnsi="arial" w:cs="arial"/>
          <w:color w:val="000000"/>
          <w:sz w:val="20"/>
          <w:lang w:val="en-US" w:eastAsia="en-US" w:bidi="ar-SA"/>
        </w:rPr>
        <w:t xml:space="preserve">, </w:t>
      </w:r>
      <w:hyperlink r:id="rId446" w:history="1">
        <w:r>
          <w:rPr>
            <w:rFonts w:ascii="arial" w:eastAsia="arial" w:hAnsi="arial" w:cs="arial"/>
            <w:i/>
            <w:color w:val="0077CC"/>
            <w:sz w:val="20"/>
            <w:u w:val="single"/>
            <w:shd w:val="clear" w:color="auto" w:fill="FFFFFF"/>
            <w:lang w:val="en-US" w:eastAsia="en-US" w:bidi="ar-SA"/>
          </w:rPr>
          <w:t>2005 BCSC 1263</w:t>
        </w:r>
      </w:hyperlink>
      <w:r>
        <w:rPr>
          <w:rFonts w:ascii="arial" w:eastAsia="arial" w:hAnsi="arial" w:cs="arial"/>
          <w:color w:val="000000"/>
          <w:sz w:val="20"/>
          <w:lang w:val="en-US" w:eastAsia="en-US" w:bidi="ar-SA"/>
        </w:rPr>
        <w:t xml:space="preserve"> at para. 12 aff'd </w:t>
      </w:r>
      <w:hyperlink r:id="rId447" w:history="1">
        <w:r>
          <w:rPr>
            <w:rFonts w:ascii="arial" w:eastAsia="arial" w:hAnsi="arial" w:cs="arial"/>
            <w:i/>
            <w:color w:val="0077CC"/>
            <w:sz w:val="20"/>
            <w:u w:val="single"/>
            <w:shd w:val="clear" w:color="auto" w:fill="FFFFFF"/>
            <w:lang w:val="en-US" w:eastAsia="en-US" w:bidi="ar-SA"/>
          </w:rPr>
          <w:t>2006 BCCA 369</w:t>
        </w:r>
      </w:hyperlink>
      <w:r>
        <w:rPr>
          <w:rFonts w:ascii="arial" w:eastAsia="arial" w:hAnsi="arial" w:cs="arial"/>
          <w:color w:val="000000"/>
          <w:sz w:val="20"/>
          <w:lang w:val="en-US" w:eastAsia="en-US" w:bidi="ar-SA"/>
        </w:rPr>
        <w:t xml:space="preserve">; and summarized and restated in </w:t>
      </w:r>
      <w:r>
        <w:rPr>
          <w:rFonts w:ascii="arial" w:eastAsia="arial" w:hAnsi="arial" w:cs="arial"/>
          <w:i/>
          <w:color w:val="000000"/>
          <w:sz w:val="20"/>
          <w:lang w:val="en-US" w:eastAsia="en-US" w:bidi="ar-SA"/>
        </w:rPr>
        <w:t>Gichuru v. Pallai</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2013 BCCA 60</w:t>
        </w:r>
      </w:hyperlink>
      <w:r>
        <w:rPr>
          <w:rFonts w:ascii="arial" w:eastAsia="arial" w:hAnsi="arial" w:cs="arial"/>
          <w:color w:val="000000"/>
          <w:sz w:val="20"/>
          <w:lang w:val="en-US" w:eastAsia="en-US" w:bidi="ar-SA"/>
        </w:rPr>
        <w:t xml:space="preserve"> at para.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Most recently, </w:t>
      </w:r>
      <w:r>
        <w:rPr>
          <w:rFonts w:ascii="arial" w:eastAsia="arial" w:hAnsi="arial" w:cs="arial"/>
          <w:i/>
          <w:color w:val="000000"/>
          <w:sz w:val="20"/>
          <w:lang w:val="en-US" w:eastAsia="en-US" w:bidi="ar-SA"/>
        </w:rPr>
        <w:t>Hryniak v. Mauldin</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2014 SCC 7</w:t>
        </w:r>
      </w:hyperlink>
      <w:r>
        <w:rPr>
          <w:rFonts w:ascii="arial" w:eastAsia="arial" w:hAnsi="arial" w:cs="arial"/>
          <w:color w:val="000000"/>
          <w:sz w:val="20"/>
          <w:lang w:val="en-US" w:eastAsia="en-US" w:bidi="ar-SA"/>
        </w:rPr>
        <w:t xml:space="preserve"> added an apparent gloss or dimension to Rule 9-7(15). In </w:t>
      </w:r>
      <w:r>
        <w:rPr>
          <w:rFonts w:ascii="arial" w:eastAsia="arial" w:hAnsi="arial" w:cs="arial"/>
          <w:i/>
          <w:color w:val="000000"/>
          <w:sz w:val="20"/>
          <w:lang w:val="en-US" w:eastAsia="en-US" w:bidi="ar-SA"/>
        </w:rPr>
        <w:t>Morin v. 0865580 BC Ltd.</w:t>
      </w:r>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2015 BCCA 502</w:t>
        </w:r>
      </w:hyperlink>
      <w:r>
        <w:rPr>
          <w:rFonts w:ascii="arial" w:eastAsia="arial" w:hAnsi="arial" w:cs="arial"/>
          <w:color w:val="000000"/>
          <w:sz w:val="20"/>
          <w:lang w:val="en-US" w:eastAsia="en-US" w:bidi="ar-SA"/>
        </w:rPr>
        <w:t xml:space="preserve"> the British Columbia Court of Appeal had the opportunity to consider </w:t>
      </w:r>
      <w:r>
        <w:rPr>
          <w:rFonts w:ascii="arial" w:eastAsia="arial" w:hAnsi="arial" w:cs="arial"/>
          <w:i/>
          <w:color w:val="000000"/>
          <w:sz w:val="20"/>
          <w:lang w:val="en-US" w:eastAsia="en-US" w:bidi="ar-SA"/>
        </w:rPr>
        <w:t>Hyniak's</w:t>
      </w:r>
      <w:r>
        <w:rPr>
          <w:rFonts w:ascii="arial" w:eastAsia="arial" w:hAnsi="arial" w:cs="arial"/>
          <w:color w:val="000000"/>
          <w:sz w:val="20"/>
          <w:lang w:val="en-US" w:eastAsia="en-US" w:bidi="ar-SA"/>
        </w:rPr>
        <w:t xml:space="preserve"> impact, if any, on Rule 9-7(15). In </w:t>
      </w:r>
      <w:r>
        <w:rPr>
          <w:rFonts w:ascii="arial" w:eastAsia="arial" w:hAnsi="arial" w:cs="arial"/>
          <w:i/>
          <w:color w:val="000000"/>
          <w:sz w:val="20"/>
          <w:lang w:val="en-US" w:eastAsia="en-US" w:bidi="ar-SA"/>
        </w:rPr>
        <w:t>Morin</w:t>
      </w:r>
      <w:r>
        <w:rPr>
          <w:rFonts w:ascii="arial" w:eastAsia="arial" w:hAnsi="arial" w:cs="arial"/>
          <w:color w:val="000000"/>
          <w:sz w:val="20"/>
          <w:lang w:val="en-US" w:eastAsia="en-US" w:bidi="ar-SA"/>
        </w:rPr>
        <w:t xml:space="preserve"> Justice Newbury considered </w:t>
      </w:r>
      <w:r>
        <w:rPr>
          <w:rFonts w:ascii="arial" w:eastAsia="arial" w:hAnsi="arial" w:cs="arial"/>
          <w:i/>
          <w:color w:val="000000"/>
          <w:sz w:val="20"/>
          <w:lang w:val="en-US" w:eastAsia="en-US" w:bidi="ar-SA"/>
        </w:rPr>
        <w:t>Lougheed Estate v. Wilson</w:t>
      </w:r>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2014 BCSC 2073</w:t>
        </w:r>
      </w:hyperlink>
      <w:r>
        <w:rPr>
          <w:rFonts w:ascii="arial" w:eastAsia="arial" w:hAnsi="arial" w:cs="arial"/>
          <w:color w:val="000000"/>
          <w:sz w:val="20"/>
          <w:lang w:val="en-US" w:eastAsia="en-US" w:bidi="ar-SA"/>
        </w:rPr>
        <w:t>. In that case Justice Dardi had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 </w:t>
      </w:r>
      <w:r>
        <w:rPr>
          <w:rFonts w:ascii="arial" w:eastAsia="arial" w:hAnsi="arial" w:cs="arial"/>
          <w:i/>
          <w:color w:val="000000"/>
          <w:sz w:val="20"/>
          <w:lang w:val="en-US" w:eastAsia="en-US" w:bidi="ar-SA"/>
        </w:rPr>
        <w:t>[Hryniak]</w:t>
      </w:r>
      <w:r>
        <w:rPr>
          <w:rFonts w:ascii="arial" w:eastAsia="arial" w:hAnsi="arial" w:cs="arial"/>
          <w:color w:val="000000"/>
          <w:sz w:val="20"/>
          <w:lang w:val="en-US" w:eastAsia="en-US" w:bidi="ar-SA"/>
        </w:rPr>
        <w:t xml:space="preserve"> does not change the approach to the suitability analysis in British Columbia and that trial judges should continue to be guided by the jurisprudence from the [British Columbia]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Justice Newbury wrote that while trial judges should continue to be guided by British Columbia Court of Appeal jurisprudence: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48 ... this does not mean that trial judges should be blind to the objectives of proportionality and efficiency.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Many of the factors that are frequently referred to in determining whether it would be "unjust" to determine a summary trial are engaged on this application.</w:t>
      </w:r>
      <w:r>
        <w:rPr>
          <w:rFonts w:ascii="arial" w:eastAsia="arial" w:hAnsi="arial" w:cs="arial"/>
          <w:sz w:val="20"/>
          <w:lang w:val="en-US" w:eastAsia="en-US" w:bidi="ar-SA"/>
        </w:rPr>
        <w:cr/>
      </w:r>
    </w:p>
    <w:p>
      <w:pPr>
        <w:numPr>
          <w:numId w:val="18"/>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Amounts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Plaza Land was valued by the parties at $500 million. The transaction between the parties was described by the defendants as "a billion-dollar deal". Concord asserts that the damages at issue, though not raised directly on this application, "will likely exceed a hundred million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These figures dwarf the types of claims that are often at issue in a summary trial. Indeed, they exceed, by several multiples, the largest claims ever determined by summary trial. Still further, such sums, manifestly "significant", render concepts of proportionality and access to justice largely academic. The parties to this litigation are commercially sophisticated, have extensive assets and resources and are ably represented.</w:t>
      </w:r>
      <w:r>
        <w:rPr>
          <w:rFonts w:ascii="arial" w:eastAsia="arial" w:hAnsi="arial" w:cs="arial"/>
          <w:sz w:val="20"/>
          <w:lang w:val="en-US" w:eastAsia="en-US" w:bidi="ar-SA"/>
        </w:rPr>
        <w:cr/>
      </w:r>
    </w:p>
    <w:p>
      <w:pPr>
        <w:numPr>
          <w:numId w:val="19"/>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Complexity of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Complex matters are generally less suitable for determination by way of summary trial. In </w:t>
      </w:r>
      <w:r>
        <w:rPr>
          <w:rFonts w:ascii="arial" w:eastAsia="arial" w:hAnsi="arial" w:cs="arial"/>
          <w:i/>
          <w:color w:val="000000"/>
          <w:sz w:val="20"/>
          <w:lang w:val="en-US" w:eastAsia="en-US" w:bidi="ar-SA"/>
        </w:rPr>
        <w:t>Morin</w:t>
      </w:r>
      <w:r>
        <w:rPr>
          <w:rFonts w:ascii="arial" w:eastAsia="arial" w:hAnsi="arial" w:cs="arial"/>
          <w:color w:val="000000"/>
          <w:sz w:val="20"/>
          <w:lang w:val="en-US" w:eastAsia="en-US" w:bidi="ar-SA"/>
        </w:rPr>
        <w:t xml:space="preserve"> Newbury J.A.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59 As far as the more general factors referred to in </w:t>
      </w:r>
      <w:r>
        <w:rPr>
          <w:rFonts w:ascii="arial" w:eastAsia="arial" w:hAnsi="arial" w:cs="arial"/>
          <w:i/>
          <w:color w:val="000000"/>
          <w:sz w:val="20"/>
          <w:lang w:val="en-US" w:eastAsia="en-US" w:bidi="ar-SA"/>
        </w:rPr>
        <w:t>Inspiration Management</w:t>
      </w:r>
      <w:r>
        <w:rPr>
          <w:rFonts w:ascii="arial" w:eastAsia="arial" w:hAnsi="arial" w:cs="arial"/>
          <w:color w:val="000000"/>
          <w:sz w:val="20"/>
          <w:lang w:val="en-US" w:eastAsia="en-US" w:bidi="ar-SA"/>
        </w:rPr>
        <w:t xml:space="preserve"> are concerned, the judge was faced with a complex, fact-intensive, multi-party and multi-issue case. While the "amount involved" is, at this point, unknown, it was clearly not insubstantial. The trial had been set down for ten days -- also not an insubstantial period. I appreciate that a savings of at least ten days of trial time would have been an attractive outcome in a busy court. I also appreciate that summary adjudication may no longer be generally reserved for cases that are "relatively straightforward on their facts" (see </w:t>
      </w:r>
      <w:r>
        <w:rPr>
          <w:rFonts w:ascii="arial" w:eastAsia="arial" w:hAnsi="arial" w:cs="arial"/>
          <w:i/>
          <w:color w:val="000000"/>
          <w:sz w:val="20"/>
          <w:lang w:val="en-US" w:eastAsia="en-US" w:bidi="ar-SA"/>
        </w:rPr>
        <w:t>Cannaday v. Sun Peaks Resort Corp</w:t>
      </w:r>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(1998) 44 B.C.L.R. (3d) 195</w:t>
        </w:r>
      </w:hyperlink>
      <w:r>
        <w:rPr>
          <w:rFonts w:ascii="arial" w:eastAsia="arial" w:hAnsi="arial" w:cs="arial"/>
          <w:color w:val="000000"/>
          <w:sz w:val="20"/>
          <w:lang w:val="en-US" w:eastAsia="en-US" w:bidi="ar-SA"/>
        </w:rPr>
        <w:t xml:space="preserve"> (C.A.). The volume and complexity of the evidence and the issues in this instance, however, should have given the trial judge pause. As the Court stated in </w:t>
      </w:r>
      <w:r>
        <w:rPr>
          <w:rFonts w:ascii="arial" w:eastAsia="arial" w:hAnsi="arial" w:cs="arial"/>
          <w:i/>
          <w:color w:val="000000"/>
          <w:sz w:val="20"/>
          <w:lang w:val="en-US" w:eastAsia="en-US" w:bidi="ar-SA"/>
        </w:rPr>
        <w:t>Hryniak, supra</w:t>
      </w:r>
      <w:r>
        <w:rPr>
          <w:rFonts w:ascii="arial" w:eastAsia="arial" w:hAnsi="arial" w:cs="arial"/>
          <w:color w:val="000000"/>
          <w:sz w:val="20"/>
          <w:lang w:val="en-US" w:eastAsia="en-US" w:bidi="ar-SA"/>
        </w:rPr>
        <w:t>, "proportionality is inevitably comparative; even slow and expensive procedures can be proportionate when they are the fastest and most efficient alternative."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complexity in this case takes various forms. The case involves multiple legal issues, different causes of action and defenses and some potential legal relationship to other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Still further, the parties conducted 14 days of examination for discovery prior to the application. Five separate cross examinations on affidavits were undertaken. I received more than 300 pages of written submissions. Concord's primary written submission had more than 800 footnotes to other evidence or legal authorities. The application record consisted of 10 substantive affidavits and more than 260 tabs of evidence from the examinations for discovery, totaling more than 2000 pages. The parties' Joint Book of Authorities and the additional authorities they submitted totaled well over 100 authorities. The submissions of counsel took five full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Sometimes the volume of paper that is filed on an application for summary trial is intended to create the illusion of complexity. Its purpose is to overwhelm and to deter a summary determination of the issues. Sometimes that intended aura of complexity can be stripped away and the underlying legal issues can be distilled into something that is much more finite and manageable.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Several of the issues that I have identified earlier and that are largely legal in nature can or could, in fact, be determined in the context of this application. Others however cannot. They are legitimately nuanced and complex and turn on disputed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the present circumstances the comments of Goepel J., as he then was, in </w:t>
      </w:r>
      <w:r>
        <w:rPr>
          <w:rFonts w:ascii="arial" w:eastAsia="arial" w:hAnsi="arial" w:cs="arial"/>
          <w:i/>
          <w:color w:val="000000"/>
          <w:sz w:val="20"/>
          <w:lang w:val="en-US" w:eastAsia="en-US" w:bidi="ar-SA"/>
        </w:rPr>
        <w:t>Great Canadian Oil Change Ltd. v. Dynamic Ventures Corp.</w:t>
      </w:r>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2002 BCSC 1295</w:t>
        </w:r>
      </w:hyperlink>
      <w:r>
        <w:rPr>
          <w:rFonts w:ascii="arial" w:eastAsia="arial" w:hAnsi="arial" w:cs="arial"/>
          <w:color w:val="000000"/>
          <w:sz w:val="20"/>
          <w:lang w:val="en-US" w:eastAsia="en-US" w:bidi="ar-SA"/>
        </w:rPr>
        <w:t>, are apposite. In that case Goepel J., at para. 4, described the voluminous material that he been provided with and he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69 That is effectively what has happened on this application. In saying so I mean no criticism of counsel who thoroughly prepared and argued this case and its various issues meticulously. The fact is, however, that at a certain point, the masses of paper necessary to present a case may make such a case unsuitable to be determined under Rule 18A. Before embarking on such applications, counsel should well consider whether the sheer volume of information they have to place before the judge and the number of issues that have to be decided make the matter unsuitable for determination under Rule 18A.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70 In the result I am satisfied that, based on the mass of materials submitted and the complexity of the issues, the copyright aspect of this case is not suitable for determination under Rule 18A.</w:t>
      </w:r>
    </w:p>
    <w:p>
      <w:pPr>
        <w:numPr>
          <w:numId w:val="20"/>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Urgency or Prejudice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There is little or no evidence before me that establishes that this action is causing the defendants any harm. Indeed, Mr. Oei, in his cross-examination, said that he is currently working towards developing the Plaza Lands himself. Finally, the issues of urgency or prejudice were not pressed, in any meaningful way, by counsel for the defendants.</w:t>
      </w:r>
      <w:r>
        <w:rPr>
          <w:rFonts w:ascii="arial" w:eastAsia="arial" w:hAnsi="arial" w:cs="arial"/>
          <w:sz w:val="20"/>
          <w:lang w:val="en-US" w:eastAsia="en-US" w:bidi="ar-SA"/>
        </w:rPr>
        <w:cr/>
      </w:r>
    </w:p>
    <w:p>
      <w:pPr>
        <w:numPr>
          <w:numId w:val="21"/>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Costs of Trial when Compared to Amounts in Dispute and Proportionality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interrelationship between the cost of a conventional trial and the amounts involved in a dispute are clearly related to the concept of proportionality. In this case neither of these considerations weighs in favor of the matter being resolved on a summary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Based on the foregoing considerations I consider that the present application is not suitable for determination under Rule 9-7 (15) and that it would be unjust to proceed on that basis.</w:t>
      </w:r>
      <w:r>
        <w:rPr>
          <w:rFonts w:ascii="arial" w:eastAsia="arial" w:hAnsi="arial" w:cs="arial"/>
          <w:sz w:val="20"/>
          <w:lang w:val="en-US" w:eastAsia="en-US" w:bidi="ar-SA"/>
        </w:rPr>
        <w:cr/>
      </w:r>
    </w:p>
    <w:p>
      <w:pPr>
        <w:numPr>
          <w:numId w:val="22"/>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fact that there are conflicts in the evidence that relate to a number of the central issues in dispute, and the fact that the defendants cannot circumvent those conflicts in the way that they propose, prevents this application from proceeding. Similarly, my conclusion that it would be "unjust" to proceed on a summary basis is a further and independent basis to dismiss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the present circumstances I consider that would be imprudent and inappropriate to address the merits of the various issues that were argued.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defendants'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P.G. VOITH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7" style="position:absolute;z-index:2518814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54"/>
          <w:headerReference w:type="default" r:id="rId455"/>
          <w:footerReference w:type="even" r:id="rId456"/>
          <w:footerReference w:type="default" r:id="rId457"/>
          <w:headerReference w:type="first" r:id="rId458"/>
          <w:footerReference w:type="first" r:id="rId45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60" w:history="1">
        <w:r>
          <w:rPr>
            <w:rFonts w:ascii="arial" w:eastAsia="arial" w:hAnsi="arial" w:cs="arial"/>
            <w:b/>
            <w:bCs/>
            <w:i/>
            <w:color w:val="0077CC"/>
            <w:kern w:val="32"/>
            <w:sz w:val="28"/>
            <w:szCs w:val="32"/>
            <w:u w:val="single"/>
            <w:shd w:val="clear" w:color="auto" w:fill="FFFFFF"/>
            <w:lang w:val="en-US" w:eastAsia="en-US" w:bidi="ar-SA"/>
          </w:rPr>
          <w:t>Dial v. Grewal, [2010] B.C.J. No. 1012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A.W. MacKenzie A.C.J.S.C.</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11-15, 18-22, March 1-4, 15-19 and 22,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27,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M084244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1012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759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189 A.C.W.S. (3d) 384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1335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Narinder Kaur Dial, Plaintiff, and Dhanvir Singh Grewal and Friends Roofing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(276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8"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8" w:name="Keywords_22"/>
      <w:bookmarkEnd w:id="148"/>
      <w:r>
        <w:rPr>
          <w:rFonts w:ascii="arial" w:eastAsia="arial" w:hAnsi="arial" w:cs="arial"/>
          <w:b/>
          <w:color w:val="000000"/>
          <w:sz w:val="20"/>
          <w:lang w:val="en-US" w:eastAsia="en-US" w:bidi="ar-SA"/>
        </w:rPr>
        <w:t>Damages — Types of damages — General damages — For personal injuries — Considerations — Aggravation of pre-existing injury — Extent of incapacity — Pre-existing medical conditions — Cost of future care — Loss of earning capacity — Loss of housekeeping ability — Special damages — Action by Narinder Dial for damages for injuries sustained in a motor vehicle accident allowed in part — The plaintiff was awarded a total of $66,238, including $50,000 in non pecuniary damages, $7,503 in special damages and $3,735 for future care, but she did not prove her claims for past and future loss of earning capacity — The plaintiff experienced back pain and headaches before the accident — The plaintiff's pain gradually improved to the point that she was able to do security work — It was unlikely the plaintiff was unable to perform any work that she was able to perform before the accident.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9" w:name="Case Summary_18"/>
            <w:bookmarkEnd w:id="14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Narinder Dial for damages for injuries sustained in a motor vehicle accident. On October 3, 2006, the defendant Dhanvir Grewal accelerated into a left turn and his van hit the area above the plaintiff's left front tire. The defendants admitted liability. It was common ground that the plaintiff suffered soft tissue injuries to her neck and right shoulder impingement and an exacerbation of her pre-existing low back and headache conditions. The plaintiff also said that she experienced dizziness and pain in her ribs after the accident. At issue was the extent of the plaintiff's new injuries and extent of the aggravation of her pre-existing conditions, and whether they disabled her from working. Prior to the accident the plaintiff had experienced daily headaches since 1995, which lasted a few hours at a time. The plaintiff also suffered low back pain prior to the accident, from her heavy labour work at a greenhouse. In June of 2006 the plaintiff had reported to a neurosurgeon that her back pain was relatively constant. After the accident the plaintiff had difficulty with all household tasks, but was now able to do some cooking and laundry, although she said that these activities caused her pain in the neck, right shoulder and arm. The plaintiff said that she had not been employed since the accident, but admitted that she had accompanied her husband to his security job 10 to 15 times and had worked in his place on occasion between November 2007 and April 2008, sometimes covering his entire eight-hour shift. The plaintiff's low back condition before the accident prevented her from doing any work that involved labour. The plaintiff sought $80,000 on non-pecuniary damages, damages for diminishment of earning capacity, loss of homemaking capacity, special damages and cost of future care.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0" w:name="Holdings of Court_17"/>
            <w:bookmarkEnd w:id="150"/>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awarded a total of $66,238, comprised of $50,000 in non pecuniary damages, $5,000 for loss of homemaking capacity, $7,503 in special damages and $3,735 for the cost of future care. The plaintiff did not prove her claims for past and future loss of earning capacity. The plaintiff was an unreliable witness. The plaintiff did not remember the severity of her low back symptoms and headaches before the accident and she attempted to minimize what she did recall. The plaintiff was in considerable pain in the months following the accident, but her pain gradually improved to the point that she was able to do security work and it was unlikely she was unable to perform any work that she was able to perform before the accident.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1" w:name="Legislation Cited_18"/>
      <w:bookmarkEnd w:id="15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9" style="position:absolute;z-index:251732992" from="0,2pt" to="512pt,2pt" strokecolor="#009ddb" strokeweight="2pt">
            <v:stroke linestyle="single"/>
          </v:line>
        </w:pict>
      </w:r>
    </w:p>
    <w:p>
      <w:pPr>
        <w:spacing w:line="240" w:lineRule="exact"/>
        <w:rPr>
          <w:rFonts w:ascii="arial" w:eastAsia="arial" w:hAnsi="arial" w:cs="arial"/>
          <w:sz w:val="20"/>
          <w:lang w:val="en-US" w:eastAsia="en-US" w:bidi="ar-SA"/>
        </w:rPr>
      </w:pPr>
    </w:p>
    <w:p>
      <w:pPr>
        <w:keepNext/>
        <w:spacing w:before="240" w:line="340" w:lineRule="atLeast"/>
        <w:rPr>
          <w:rFonts w:ascii="arial" w:eastAsia="arial" w:hAnsi="arial" w:cs="arial"/>
          <w:sz w:val="20"/>
          <w:lang w:val="en-US" w:eastAsia="en-US" w:bidi="ar-SA"/>
        </w:rPr>
      </w:pPr>
      <w:bookmarkStart w:id="152" w:name="Counsel_22"/>
      <w:bookmarkEnd w:id="15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0" style="position:absolute;z-index:2517841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 Randhawa &amp; H. Minhas.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M.D. Murphy.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3" w:name="Judgment_22"/>
      <w:bookmarkEnd w:id="153"/>
      <w:r>
        <w:pict>
          <v:line id="_x0000_s1141" style="position:absolute;z-index:2518353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2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4" w:name="A.W. MacKENZIE A.C.J.S.C."/>
            <w:bookmarkEnd w:id="154"/>
            <w:r>
              <w:rPr>
                <w:rFonts w:ascii="arial" w:eastAsia="arial" w:hAnsi="arial" w:cs="arial"/>
                <w:b/>
                <w:color w:val="000000"/>
                <w:sz w:val="30"/>
                <w:lang w:val="en-US" w:eastAsia="en-US" w:bidi="ar-SA"/>
              </w:rPr>
              <w:t>A.W. MacKENZIE A.C.J.S.C.</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October 3, 2006, the plaintiff, Narinder Kaur Dial, was injured in a motor vehicle accident in Surrey, British Columbia. The defendants admit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It is common ground that the plaintiff suffered soft tissue injuries to her neck and right shoulder impingement (commonly referred to as tendonitis or bursitis) as a result of the accident. It is also common ground that the accident exacerbated the plaintiff's pre-existing low back and headache conditions. What is at issue is the extent of both the plaintiff's new injuries and the aggravation of her pre-existing conditions, and whether they disable her from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seeks non-pecuniary damages of $80,000, as well as damages for diminishment of earning capacity, both past and future, loss of homemaking capacity, special damages and cost of future care. The defendants counter that an appropriate award for non-pecuniary damages is in the range of $27,500 to $35,000, depending on my assessment of the evidence. They contend that the plaintiff's claim for special damages is excessive, and that her remaining claims are unsupported by the evidence. The defendants further submit they have proven a significant failure on the part of the plaintiff to mitigate her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For the reasons that follow, I find on the evidence as a whole that an appropriate award for non-pecuniary damages is $50,000 for the injuries the plaintiff sustained to her neck and right shoulder, the aggravation of her pre-existing low back condition and headaches, and more minor injuries to her ribs, and dizziness. I also award the plaintiff modest damages for loss of homemaking capacity, cost of future care, and most of the special damages claimed. I do not find that the plaintiff has proved her claims for past and future loss of earning capacity, and I therefore make no awards for those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pause at the outset to indicate that I have considered the totality of the evidence tendered at trial but will not review it all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Examination in Chief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has limited knowledge of English and gave her evidence at trial through a translator.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was born in India in 1974 and was 35 at the time of trial. In 1999, she immigrated to Canada with her sister and mother, and settled in Surrey, British Columbia. She married Avtar Singh Dhadwal on December 31, 1999. Mr. Dhadwal joined the plaintiff in Canada in 2001, and they now have three daughters aged 9, 6, and 3. The plaintiff, her husband, her mother, and her three daughters reside in a two bedroom basement suite which they rent in Surrey.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completed grade 12 in India. Before arriving in Canada she learned sewing but did not work outside the home. In Canada, the plaintiff initially worked in a bridal shop and a chicken factory, and then found work at a greenhouse. After injuring her back pulling heavy carts of produce at the greenhouse, she completed a two-week security course and obtained a licence to work as a security guard. At the time of the accident, the plaintiff was on maternity leave after the birth of her third daughter on April 29,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review the plaintiff's evidence as to her employment history in detail later in my discussion of her claim for damages for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accident occurred at approximately 8 p.m. on October 3, 2006. The plaintiff was in a Dodge Caravan heading northbound on 128th Street in Surrey. Her middle daughter was in the back seat behind the driver's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was wearing her seatbelt. She was driving straight and the personal defendant was stopped to make a left turn. As she drove closer, he accelerated into his turn and his van hit the area above the plaintiff's left front tire.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does not remember how her body moved during impact. However, she remembers feeling a cracking sound towards the left side of her neck. She felt as if her neck had broken, and she had a severe headache.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After the impact, the plaintiff was unable to get out of the vehicle to attend to her daughter in the back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police and ambulance attended the scene of the accident. While in the ambulance, the plaintiff felt pain in her neck and right shoulder. The plaintiff's sister, Mrs. Kuldeep Gill, attended and rode in the ambulance to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testified that at the hospital, she could not move her back due to severe pain, but was unable to pinpoint the location of the pain. She had a headache, and pain in her neck, shoulder, and lower back. She was sent for x-rays, given pain relievers (Tylenol 3), and sent home that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At home, the plaintiff's mother attended to her and took care of the children. The plaintiff testified she was unable to stand or pick up her infant daughter due to pain in her head, neck, lower back, shoulder blades, right shoulder and right leg. The following few days she had trouble sleeping because she was in pain and was also reliving the accident. She was taking pain killers and felt intoxicated. The plaintiff described the pain at the time as 10 on a scale of 1 to 10, with 10 being the most extreme.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saw her family doctor, Dr. Kanwarjit Singh, after the accident. She changed doctors in early November 2006 and began seeing Dr. Jiwan Sidhu. Dr. Singh and Dr. Sidhu both recommended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saw a physiotherapist, Mr. Tung of Jaideep Tung Therapists Inc., who treated her neck, shoulders, and lower back. However, the plaintiff said that the physiotherapy exercises were painful and made her neck and back crack.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physiotherapy was also expensive, the plaintiff purchased a massage tool and used it at home to relieve muscle tightness in her shoulder blades, right shoulder, both sides of the neck, right side of the buttock, and low and mid-back. She also bought a large heating pad but did not find it effective.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purchased pain relievers and various rubs and balms (such as Tiger Balm and Rub A535) which her mother, husband, or sometimes daughter, would massage to relieve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underwent various treatments and therapies in the years after the accident. She saw an aquatherapist at the Sun God Sports and Orthopaedic Physiotherapy Clinic for her shoulder, neck, back and leg. From May 2007 to January 2009, she obtained monthly passes for the pool. On the recommendation of the aquatherapist, she walked in the water and alternated between the warm and cold pools. She testified that the pool exercises did not aid in her recovery and so she stopped attending in January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Dr. Sidhu's recommendation, the plaintiff received acupuncture treatment from Dr. Situ, a Chinese medicine doctor at Sunway Clinic in Richmond.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From September 2007 to January 2008, the plaintiff received monthly trigger point injections at various sites to reduce pain, including her neck, mid-back, shoulder blades, lower back and right hip joint area. However, she experienced only very transitory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also received chiropractic treatment, primarily from Dr. Randhir Garcha but on two occasions from Dr. Scott MacKenzie. The chiropractors treated her neck, shoulders, and mid-back by cracking, massaging, and putting heat on the affected areas. The plaintiff received around 90 treatments from Dr. Garcha, but said they did little to reduce her pain. Any relief was temporary.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currently takes pain medication during the day, including Tramacet, Tylenol 3, and Celebrex.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For the first two months after the accident, the plaintiff did not have a car and was afraid to drive. For this reason, and because her English was poor, her sister took her to appointments. The plaintiff started driving to her appointments about three or four months after the accident and took her eldest daughter to assist with English.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Plaintiff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Before the accident, the plaintiff's relationship with her husband, Mr. Dhadwal, was strained. Mr. Dhadwal had difficulties adjusting to life in Canada. He became physically and verbally abusive towards the plaintiff and developed substance abuse problems. The abusive behaviour and addiction lasted from 2001 until he sought treatment in 2007. The plaintiff believes her husband has been clean since early 2008, although he takes prescription methadone daily.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plaintiff's financial situation before the accident was also strained as her husband was dealing with his addiction and she was on maternity leave. She planned to return to work in March or April 2007 after her maternity benefits ceased. The plaintiff testified that she intended to return to work as a security guard, if possible, or to find employment elsewhere. At one point, she testified that she was planning to return to work in the fall of 2006. However, she had done almost nothing to prepare for that event. I find on the evidence, including that she had taken a full year of maternity leave after the birth of her second child, that she would probably have taken the full year of leave. During closing submissions, her counsel conceded that she would probably have been on maternity leave until April 2007, so her past loss of income claim, if accepted, would not start until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terms of her physical health before the accident, the plaintiff admitted to having a pre-existing history of headaches brought on by stress and exacerbated by bright light. During cross-examination, she admitted that the headaches had occurred daily since 1995 and lasted a few hours at a time. The headaches continued even after she saw a specialist, Dr. Knazan, in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plaintiff's evidence about her pre-existing headaches was confusing. For instance, in cross-examination she referred to something Dr. Singh gave her to drink that improved the headaches. We do not know what that was, and Dr. Singh gave no evidence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agreed she also had a history of seizures, and has had about three since coming to Canada. The last one occurred in May 2006. The seizures and loss of consciousness were usually brought on by highly stressful situations, such as the loss of her father in 1991 and her brother in 1995. The plaintiff also had a thyroid condition and high blood pressure before the accident. Both have been, and continue to be, treated with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Before the accident, the plaintiff suffered low back pain from her heavy labour work at the greenhouse. She testified in chief that the pain was not continuous, but came on with heavy work and lifting. The pain would sometimes last two to three days and was treatable with Tylenol. However, I note that this evidence was not accurate and must be tempered by the evidence of Dr. Singh (reviewed below) and the plaintiff's own admissions on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For instance, the plaintiff testified that in April 2005, she had suffered three to four months of severe low back pain. She indicated in chief that the pain decreased with medication and she would then have occasional pain with heavy housework. However, it is significant that she agreed that she had told Dr. Singh on numerous occasions after April 2005 that her low back pain was worsening and persistent. In fact, the plaintiff's low back pain was so severe that Dr. Singh wrote medical notes on four occasions in 2005 (in April, May, June and August), each time advising that the plaintiff was unfit to work for four weeks due to her low back pain. The plaintiff gave the notes to Human Resources Development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gave confusing evidence when asked whether pregnancy worsened her low back pain. She responded, "No. It was not making it worse. I was doing the security job and the pain would increase as I had to sit for a longer time". She also said that she was pregnant and that her weight had gone to the front, and agreed that while she was working as a security guard from the end of December 2005 until leaving for her maternity leave, having to sit increased her pain in her low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testified that her back pain became continuous during pregnancy and after delivery of her youngest daughter in April 2006. In fact, under cross-examination, she agreed with the accuracy of Dr. Winston Gittens' report that in June 2006 "she seem[ed] to be significantly incapacitated" by her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Gittens is a neurosurgeon, and he examined the plaintiff on June 27, 2006. In a report dated June 29, 2006,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understanding that for some time now she has had intermittent lower back pain which was related to her period. Two to three years ago the pain increased and it has been significantly worse since April 2005. Currently the pain is reported to be relatively constant, aggravated by bending, lying flat on her side, and standing. There are two areas of pain localization. One is at the lumbosacral junction and the other one along the iliac crest and the lower portion of the iliac crest. Her symptoms are eased by sitting for a short period of time. There is also radiation of pain into both buttock areas and into the lower extremities bilaterally to the calves. There is numbness in the right foot and cold dysesthesiae in that foot as well. She admits to weakness particularly in the right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accepted this as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did not complain of pain in her neck, right shoulder or shoulder blades before the accident. Medical records indicate a shoulder problem in 2001 but it had resolved long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Dr. Singh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Singh was the plaintiff's family doctor from her arrival in Canada in December 1999 until November 2006. He was called as a witness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Singh's evidence is enlightening as to the plaintiff's medical history before the accident. As earlier noted, the plaintiff's evidence as to her pre-accident low back history is not reliable because of her poor memory. Dr. Singh's evidence is therefore important in accurately demonstrating the seriousness of her pre-existing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Singh recorded approximately 21 visits from the plaintiff in 2000. She complained of neck pain and shoulder pain, which Dr. Singh diagnosed as tendonitis. She also complained of headaches and lower back pain radiating into her legs. The plaintiff gave birth to her first daughter in July 2000. Dr. Singh stated that low back pain is often common during and after pregnancy, as carrying weight in the abdomen puts added pressure on back muscles.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Singh advised the plaintiff to make diet and lifestyle changes, and to begin exercising in order to manage her obesity and resultant health issues. However, on December 29, 2000, Dr. Singh recorded that the plaintiff had "compliance issues", meaning she did not follow his directions or take prescribed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2001, Dr. Singh recorded approximately 30 visits from the plaintiff. She reported domestic stressors (marital problems) and complained of lack of sleep, headaches, nausea and photophobia. Dr. Singh diagnosed her with migraine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2001, the plaintiff first complained to Dr. Singh of low back pain from work at the greenhouse. Dr. Singh observed spasm, decreased movement and tenderness in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October 4, 2001, the plaintiff complained of right shoulder pain. Dr. Singh diagnosed her with tendonitis and prescribed anti-inflammatory medication. On cross-examination, Dr. Singh confirmed that this pain in the plaintiff's right shoulder had resolved and did not reappear until after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Singh recorded approximately 16 visits from the plaintiff in 2002, primarily related to headaches. He diagnosed her with tension headaches. The plaintiff also complained of right leg and lower back pain on July 10, 2002. Dr. Singh prescribed regular Tylenol for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Singh recorded approximately 22 visits from the plaintiff in 2003. The plaintiff gave birth to her second daughter in February 2003. The plaintiff complained of anxiety and migraine headaches, and Dr. Singh prescribed Paxil. On October 21, 2003, Dr. Singh noted that the plaintiff had stopped taking Paxil and he counselled her to resume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many occasions in 2003, the plaintiff complained of low back pain which extended into her right leg. Dr. Singh noted the plaintiff's obesity, concluding that the back pain was mechanical and muscular, not the result of a bone fracture.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June 1, 2003, the plaintiff complained of neck pain. Dr. Singh confirmed on cross-examination that this was the only complaint of neck pain until after the accident in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Singh recorded approximately 23 visits from the plaintiff in 2004. She complained of severe headaches, low mood and stress from ongoing marital and family problems. Dr. Singh diagnosed her with migraine headaches. The plaintiff also reported that her low back pain was getting worse and radiating into her right leg. She had pain and numbness in both legs. Dr. Singh reviewed a CT scan which showed a small disc herniation at the L4, L5 and S1 level. He referred the plaintiff to an orthopaedic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Singh recorded approximately 22 visits from the plaintiff in 2005. The plaintiff again complained of headache and depression brought on by marital discord. She also continued to complain of acute low back pain. Dr. Singh prescribed exercise and told the plaintiff to take time off work. In 2005, Dr. Singh wrote four medical notes for the plaintiff, each advising that she was unable to work for four weeks due to low back pain. He provided these notes on April 26, May 26, late June 2005 and August 1,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Singh recorded approximately 25 visits from the plaintiff in 2006. The plaintiff was pregnant with her third daughter and gave birth via Caesarean section in April 2006. Again, the plaintiff complained of headaches, stress, depression, and low back pain. Dr. Singh again advised the plaintiff to lose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motor vehicle accident occurred on October 3, 2006. Following the accident, the plaintiff complained to Dr. Singh of right shoulder pain, persistent neck pain, lack of sleep, and worsening low back pain. Her last visit to Dr. Singh was on November 6,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summary, Dr. Singh recorded a history of depression, headaches, obesity and low back pain. On cross-examination, he agreed that the plaintiff did not report any neck pain for two years before the motor vehicle accident, or any shoulder pain for five years before the accident. He also stated that the plaintiff's tension and migraine headaches were "well managed" with medication. Finally, Dr. Singh admitted that frequent lower back pain is often related to pregnancy and child birth, which the plaintiff experienced in 2000, 2002-2003, and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Plaintiff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Dizziness: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For the first couple of months after the accident, the plaintiff said she experienced dizziness every time she stood up. The dizziness gradually reduced in frequency over the following several months. She has not felt dizzy in the last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testified that she feels pain in her neck on a daily basis, and that the pain persists even when she takes medication such as Tramacet and Tylenol 3. From the time of the accident until trial, the plaintiff described her neck pain as 8 to 9 out of 10. Treatment by a physiotherapist, acupuncturist or chiropractor eases the pain only for a short time, and it returns within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 testified that from the date of the accident until trial, she has had continuous pain in her right shoulder that ranges from 4-5 to 8-9 out of 10. It is exacerbated by household activities such as preparing meals, combing her children's hair, doing laundry and other chores that require her to lift her arms. The plaintiff is right handed.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also said that she has had continuous pain in her shoulder blades since the time of the accident to the present. The pain ranges from 4-5 to 8 out of 10, and is exacerbated by lying down, which makes sleeping difficult. Massage, chiropractic treatment and medication help alleviate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Ribs: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 first noticed soreness in her ribs when she returned home from the hospital after the accident. This pain lasted for two to three months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Headache: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 had a severe headache on the day of the accident. The intense pain decreased a few days afterward, but has remained at 5-6 out of 10, as it is now. However, I observe that she had serious headaches before the accident, as already noted.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Low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 felt pain in her low back immediately after the accident which continues to this day. It begins above the waist and radiates through the right buttock and into the right leg. She described the pain as 4-5 out of 10, and said that it worsens with physical activity such as standing, walking, and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May 2007, the plaintiff saw Dr. Gittens again about her low back pain (she had previously seen him in June 2006 before the accident). In a letter to Dr. Singh, Dr. Gittens noted the plaintiff had "chronic mechanical lower back pain". He recommended that she receive a series of epidural steroid injections, perform certain exercises and lose weight. The plaintiff stated that she was not able to perform the exercises but that she reduced her food intake to try to lose weight. This was ineffective.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On September 7, 2007, the plaintiff attended Surrey Memorial Hospital for her low back and right leg pain. The plaintiff did not recall telling the hospital staff about her pre-accident history of lower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 xml:space="preserve">Effect on the Plaintiff's Life: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Household chores: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 testified that before the accident, she did most of the cooking, cleaning, bathing and clothing of the children, laundry, grocery shopping and banking. Her mother sometimes assisted with chores and care of the children. As the defendants point out, Mrs. Gill, the plaintiff's sister, must also have assisted, given that she lived with the plaintiff's family until she married in early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Since the accident, the plaintiff has had difficulty with all household tasks, especially cooking, which requires stirring, kneading dough, and lifting. She also struggles with laundry, as it requires her to lift heavy wet clothes.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As the plaintiff has been unable to perform all her household work, her mother, husband, and sister have provided significant assistance. The plaintiff's husband helps bathe the children, vacuums, and does the heavy lifting and grocery shopping, often unaccompanied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 said she is now able to do some cooking and comb the children's hair. She is also able to do some laundry, using her left hand to lift and hang clothes. However, she said all of these activities cause her pain in the neck, right shoulder and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the summer of 2008, the plaintiff travelled to India with her middle daughter while the rest of the family stayed in Canada. While in India, the plaintiff lived at her maternal grandparents' home. She did no household work, the climate was warmer and she felt less pain in her low back upon return to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 testified that she has not been employed since the accident. She continues to receive monthly CPP benefits of $1133. However, she admitted that she has accompanied her husband to his security guard job, and on 10 - 15 occasions, has worked in his place when he was occupied at another job. She usually worked up to three hours until he arrived. Significantly, on four or five occasions, she covered her husband's entire eight-hour shift.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 testified that before the accident, she planned to eventually upgrade her English skills and continue working until age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Social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Before the accident, the plaintiff attended the Sikh Temple three or four times a week. She did not attend the Temple after the accident, and now does so only once every few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Marital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 testified that her marital life has been "fine" over the two years since early 2008 after her husband was treated for drug addiction. She testified that before the accident, their intention was to have another child, but now she has difficulty caring for the children they already have. However, in cross-examination, the plaintiff testified, as did her husband, that they intend to have a fourth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Reliability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plaintiff's testimony was vague and inconsistent with respect to various matters, and I found her to be an unreliable witness. In so finding, I have taken into consideration that she testified through an interpreter.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 failed to describe the severity of her lower back condition before the accident, not only to the Court in her examination in chief, but also to Dr. Vaisler and other medical personnel who dealt with her, including staff at Surrey Memorial Hospital. I was surprised to learn during her cross-examination just how serious both her pre-existing low back condition and headaches were before the accident. To her credit, the plaintiff admitted the accuracy of the contents of various clinical records put to her in cross-examination. She generally testified that if something was written down, it was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conclude both that the plaintiff did not remember the severity of her low back symptoms and headaches before the accident, and that she attempted to minimize what she did recall. I certainly agree with the observation of Dr. Singh that she is a poor historian.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cannot rely on the plaintiff's use of the pain scale to describe the severity of her symptoms at various intervals after the accident. The scale (based on escalating pain from 0 to 10) was overused and inconsistent with the vagueness of her evidence in general. The plaintiff described extreme levels of pain which were unpersuasive when considered with her activities at those times. This includes, for instance, video surveillance of the plaintiff grocery shopping with her family in April 2009. The video showed her walking around a grocery store for about 40 minutes, reaching up with her right arm for bread, and squatting without apparent discomfort. The plaintiff testified that she would take two Tylenol 3 tablets before going grocery shopping; however, that would not seem to account for the apparent ease with which she reached, squatted and walked about for 40 minutes. I can only conclude she was feeling much better by the time of the video.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 also substituted as a security guard for her husband on 10 - 15 occasions from November 2007 to April 2008, which was inconsistent both with her testimony that she had not worked since the accident and the intensity of pain she described.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further observe that Dr. Vaisler, in his medical report of September 21, 2009, noted at p. 8 that on examination of the plaintiff on March 12, 2009, "she did not appear to be in any obvious discomfort during the interview nor did she exhibit any definite findings of pain behaviour during the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find that the plaintiff did not accurately recall the degree of her pain to the detail and over the length of time elicited in her direct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unreliable nature of the plaintiff's evidence, and resulting inaccuracy as to her pre-accident low back condition and headaches, was offset by the accuracy of the evidence of Dr. Singh, a witness called by the defendants whom I found to be a thorough and forthright witness. His evidence provides a clear picture of the severity of the plaintiff's low back problems and headaches before the accident. Dr. Singh's testimony, together with Dr. Gittens' report of June 29, 2006, with which the plaintiff agreed, provide a vivid picture of the serious nature of her pre-existing back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Drs. Singh, Sidhu, and Garcha and Mr. Schalk testified at trial and used their clinical records to refresh their memories. The clinical or hospital records of non-witnesses were not admitted into evidence for their truth, but only for the purposes agreed to by counsel. Their agreement was to the effect that: observations and treatments by the doctors are facts and admissible for their truth; statements made by the patient are admissible for the fact they were made but not for their truth; and, diagnoses made by the doctors are admissible for the fact they were made but not for their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However, the contents of the records that were put to the plaintiff in cross-examination are admissible for their truth because she agreed with them. She often indicated her agreement by saying simply, "If it is written there, then it is true". I do not recall any instance in which she failed to agree with the contents of a record put to her, and thus she adopted as true those passages in her testimony. The effect was to confirm, in my view, the severity of both her pre-existing lower back condition and her headaches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Court is also not without evidence of the plaintiff's ongoing symptoms because there are various objective findings of the medical professionals that support certain of the symptoms she described. Her counsel provided a helpful summary of objective findings on the physical examinations conducted by the treating and assessing doctors and caregivers that support the nature and extent of what I find to be the plaintiff's injuries. The objective findings also support some of the plaintiff's evidence about ongoing symptoms, which are not as debilitating as she described.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plaintiff's evidence as to the intensity of her pain was not entirely reliable. Therefore, I have based my conclusions on the objective findings of the medical personnel. I have also relied on the reports of Drs. Vaisler and Regan, which are not in serious conflict as to her current symptoms, diagnosis, and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Collateral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Dhadwal, the plaintiff's husband, and Mrs. Gill, the plaintiff's sister, testified that after the accident, they assisted the plaintiff for some time with homemaking and childcare. Mrs. Gill provided extensive assistance in this regard. She also said the plaintiff was in pain, as reflected in her behaviour. Mrs. Gill was a more precise witness, and very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Avtar Bhatti was called by the defendants. He testified that he had spoken to the plaintiff at his berry farm on two occasions that he could recall. On one occasion in July or August 2007, the plaintiff told him that she was there to assist her mother to pick berries for an hour or so. The plaintiff denied that she had spoken to Mr. Bhatti, but agreed she did attend Mr. Bhatti's berry farm with her mother who worked at picking berries in the summer of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accept Mr. Bhatti's evidence and find that either the plaintiff did not remember talking to Mr. Bhatti, as the incidents were brief, or that she was not telling the truth. It is more likely that Mr. Bhatti's evidence represented one more example of how the plaintiff's poor memory made her a poor historian. His evidence further underscores my finding that the plaintiff's evidence was unreliable and her evidence difficult to assess.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Video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defendants tendered video surveillance evidence of the plaintiff taken at various times until April 2009. It depicts the plaintiff doing leg exercises for 20 minutes at the gym on November 28, 2007, without any apparent difficulty. Additionally, it shows her on December 7, 2007, walking with a child and carrying a light laundry basket with her right hand. She walks fairly slowly, speaks to a man sitting in a car, appears to limp a bit. I have already referred to the video of the plaintiff grocery shopping in April 2009. I did not otherwise find the video surveillance to be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Treating Physicians and Professionals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Dr. Jeevan Sidhu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Dr. Sidhu became the plaintiff's family doctor in November 2006, a month after the accident. He did not have a complete picture of the plaintiff's condition before the accident, but was very forthright under cross-examination as to the records that related to her previous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When Dr. Sishu first saw the plaintiff on November 6, 2006, he found that although she had full range of motion in her neck, she had tenderness and pain at the maximum limits of movement. His treatment plan was to have her start physiotherapy and chiropractic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plaintiff saw Dr. Sidhu a few more times between that first visit and December 13, 2006, when he noted that she had lower back pain, and pain in all directions of her cervical spine. He diagnosed myofascial pain involving her neck and lower back muscles.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Between December 13, 2006 and February 20, 2007, either Dr. Sidhu or another physician at the same clinic saw the plaintiff. She was assessed by Dr. Tewr, who noted bilateral neck pain and lower back pain. He confirmed soft tissue injuries and recommended massage, aquatherapy, and continued chiropractic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There followed a few more visits at the same clinic. Dr. Sidhu's records then reflect that on March 21, 2007, the plaintiff reported that her lower back pain had worsened since she started the pool therapy. His records indicate that over the next two-and-a-half years, she continued to have bilateral neck pain, as well as right shoulder and lower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his entry for June 15, 2009, Dr. Sidhu noted that the plaintiff reported that her neck and back pain were not improving, and that treatments only helped temporarily. The plaintiff then suggested that she wanted to try acupuncture and acupressure treatment, which Dr. Sidhu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Sidhu readily agreed that the plaintiff had back pain before the accident, and that the findings in the March 2007 MRI were consistent with the plaintiff's complaints when she saw Dr. Gittens in June 2006. This confirms her significant low back problem prior to the accident. Dr. Sidhu also confirmed that the findings in the two CT scans of the plaintiff's low back done in December 2004 and July 2005 were consistent with her complaints of low back pain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Dr. Randhir Garcha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plaintiff received chiropractic treatment from Dr. Garcha on more than 85 occasions, starting a month after the accident and continuing until about the end of April 2008. At that point, Dr. Garcha advised the plaintiff that he had done all he could for her, and that she should stop treatment and attend only when she had flare-ups or increased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plaintiff only attended on three further occasions. She did, however, try another chiropractor, Dr. MacKenzie, but with no further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Garcha's findings on the plaintiff's first appointment on November 7, 2006 were that she had reduced range of motion of her neck and lower back, and that she presented with neck pain bilaterally, headaches, lower back pain bilaterally with pain to the knees, and right shoulder and arm pain to the wrist. He noted difficulties sleeping, sitting, and standing and walking for more than ten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Dr. Garcha noted that heat and massage relieved the plaintiff's pain. He administered various treatments, including heat and stretches. Several times, Dr. Garcha advised the plaintiff to engage in an active lifestyle, including walking, stretching, and exercising, but not to lift heavy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Kevin Schalk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Schalk is a physiotherapist. He treated the plaintiff from February 26, 2007 until November 25, 2007. In the history she related to him on her first visit, the plaintiff said she had no problems before the accident; she did not mention her low back, headaches or sleeping problems.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assigned two numbers to this paragraph. LexisNexis Canada has removed the second number but retained the Court's subsequent paragraph numbering.]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Schalk testified the plaintiff had tight sub-occipital muscles (at the base of the skull) and tight upper fibers of the trapezius. He said there was no change in her pain or condition over the time he treated her. He did not observe a gradual decrease in pain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Schalk noted on June 27, 2007, that the plaintiff was not interested in doing exercises and he saw little effort on her part. He felt her motivation and effort were a bit low. He noted on July 18, 2007, that the plaintiff had a noticeable limp and was not weight bearing as much on her right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Schalk said the plaintiff was increasing her exercises very little as time went by, although she was increasing them. He saw her several times with her small children, and thought they were with her quite often. The plaintiff denied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Mr. Schalk said that the plaintiff simply stopped attending for physiotherapy in late November 2007 without providing a reason. He continued to see her occasionally at the pool.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Dr. Barry Vaisler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Dr. Vaisler is an orthopaedic surgeon who testified on behalf of the plaintiff. He assessed the plaintiff on March 12, 2009, and provided a medical report dated September 21,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found Dr. Vaisler to be a fair and objective witness. I accept his opinion, except, for reasons I discuss later, as to the plaintiff's inability to work because of her right shoulder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Dr. Vaisler's report sets out the history of the plaintiff's injury in some detail. This summary is useful because it provides a concise and thorough history of the plaintiff's visits to medical personnel, diagnoses, procedures and treatments from the time of the accident to his examination of her on March 12, 2009. It is based on the clinical records that he reviewed and which are subject to counsels' agreement as to the purpose for which they are admissible. They also form part of the foundation for Dr. Vaisler's opinion. This medical history is consistent with and gathers together the other evidence, which supports its accuracy.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Dr. Vaisler's review of the history of the plaintiff's injuries was not disputed, except insofar as it contained the plaintiff's subjective complaints, which are hearsay in any event. The defendants argue that her testimonial evidence about her complaints was unreliable.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 observe that the plaintiff's complaints as noted in Dr. Vaisler's post-accident history are generally consistent with the parts of her testimony that I accept. They are also consistent with the objective findings regarding her injuries. Thus, the hearsay nature of the plaintiff's statements in Dr. Vaisler's summary is not of great concern. Of course, it is the testimonial evidence of the plaintiff that I must assess, and not her hearsay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following review of the plaintiff's post-accident history derives substantially from Dr. Vaisler's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After the accident, the plaintiff was taken by ambulance to Surrey Memorial Hospital. The ambulance crew report noted that she was complaining of neck and low back pain, along with a frontal headache. On admission to the emergency department, she was assessed and diagnosed as having sustained a soft tissue injury. X-rays of her lumbar spine were reported to be normal, but x-rays of her cervical spine demonstrated a probable stable fracture of the spinous process of the C2 vertebrae. Arrangements were made for a CT scan and the plaintiff was discharged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plaintiff advised Dr. Vaisler that over the following number of days, she had a significant exacerbation of the pain in her neck, low back, posterior shoulders and, specifically, her right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plaintiff saw Dr. Singh on October 4, 2006, at which time she reported headache, neck pain and right shoulder symptoms. Dr. Singh noted painful restricted movement of her cervical spine with no neurovascular abnormalities, and diagnosed a cervical strain. A CT scan of her cervical spine the following day indicated a well corticated bony fragment between the spinous process of the C2 and C3 vertebrae. The bony fragment was reported by the radiologist to most likely be an old healed fracture fragment. No acute injury was noted. The plaintiff was also noted to have moderate right foraminal narrowing due to uncovertebral degenerative change at C2/3 and C3/4.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plaintiff saw Dr. Singh on October 6, 2006, complaining of painful restricted movement of her right shoulder, along with moderate tenderness.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On October 10, 2006, the plaintiff was seen in the emergency department of Delta Hospital. She complained of ongoing neck, left shoulder and upper back pain. She was noted on examination to have a full range of motion of her neck with tenderness on the left side of her neck and left shoulder. X-rays of her right shoulder taken on October 13, 2006 were reported to be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plaintiff saw Dr. Singh three times between October 16 and November 6, 2006. She reported persistent pain in her neck, low back and right shoulder, as well as headaches. Dr. Singh started her on physiotherapy, and also referred her to Dr. Shahid for an orthopaedic consultation.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plaintiff saw Dr. Shahid on December 1, 2006, and reported pain throughout her entire back. He noted that she was attending for physiotherapy and chiropractic treatments. On examination, Dr. Shahid noted that the plaintiff had full range of motion of her trunk but that she complained of pain with movement. He also noted that downward pressure applied on her shoulders provoked pain in her low back. She had diffuse tenderness over her thoracic and lumbosacral paraspinous muscles with tenderness mainly over the left posterior iliac crest. He did not note any muscle spasm or neurologic abnormalities. Dr. Shahid diagnosed the plaintiff as having sustained a soft tissue injury, and instructed her in the principles of back care. He also recommended that she be referred to the Canadian Back Institute for a muscle conditioning programme.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plaintiff saw Dr. Sidhu on January 16 and February 2, 2007, reporting of neck and low back pain. Dr. Sidhu noted that she had a full range of motion but had pain with movement.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plaintiff was referred to Sun God Sports and Orthopaedic Physiotherapy Clinic. At an assessment on February 26, 2007, she reported pain in her neck and low back. The plaintiff was noted to have a restricted range of motion of her cervical spine, and painful extension of her lumbar spine. Her physiotherapist noted on that date that she had no problems before the accident. The plaintiff continued to report shoulder, neck and lumbar spine symptoms on subsequent visits on May 4 and June 5,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When the plaintiff saw Dr. Sidhu on March 7, 2007, she was still complaining of neck and low back pain, along with headaches. On examination, he noted paracervical and paralumbar tenderness, along with limited flexion of her lumbar spine to her knee and a full range of motion of her cervical spine but with pain with movement.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An MRI of the plaintiff's lumbar spine was carried out on March 14, 2007. It was reported as showing a small annular tear with a moderate-sized diffuse disc bulge at L4/5. The bulge was flattening the anterior thecal sac. There was mild bilateral foraminal narrowing especially involving the L4 nerve root on the right. There was an annular tear at the L5/S1 level with a posterocentral and right paracentral broad based disc protrusion which was contracting the posterocentral and right paracentral broad based disc protrusion which was contracting the right S1 never root.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plaintiff saw Dr. Sidhu on March 21, 2007, and continued to report low back pain. Dr. Sidhu advised her to limit activity, engage only in pool therapy and avoid any lifting or repetitive bending. He also referred her to Dr. Gittens for a neurosurgical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plaintiff saw Dr. Gittens on May 2, 2007. Dr. Gittens reviewed the MRI findings with her and recommended referral to Surrey Memorial Hospital for a series of epidural injections, weight loss and further rehabilitation or an exercise program. He did not feel surgery was indicated.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When she saw Dr. Sidhu on May 11, 2007, the plaintiff was continuing to complain of neck and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plaintiff saw Dr. Regan for an independent orthopaedic medical examination on July 23, 2007. I discuss his report in detail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plaintiff was assessed at the Surrey Memorial Hospital Pain and Symptom Management Clinic on September 7, 2007 for management of her low back and right leg pain. On examination, she was noted to be ambulating with a limp. Muscle strength in her right lower limb appeared to be slightly weaker than the left, and she had reduced sensation to light touch on the lateral aspect. She was tender from L3 to S1 over the coccyx and especially over the iliotibial band and her right sacroiliac joint. She was diagnosed as having iliotibial band syndrome, along with radicular pain from her L4/5 disc injury. The plaintiff was given trigger point injections over her right iliotibial band and right sacroiliac joint, and she was advised to speak with Dr. Sidhu with regards to antidepressants for her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plaintiff attended the clinic again on November 2, 2007. The examining physician noted no improvement as a result of the trigger point injections. The plaintiff was given an epidural steroid injection. She attended for a follow-up appointment on December 6, 2007 and was noted to have improvement in the pain radiating down her legs but continuing low back and right sacroiliac joint pain. She was given facet joint injections at L3/4 and L4/5, as well as in the right sacroiliac joint. At an appointment on January 17, 2008, the plaintiff was noted to have improved but was still complaining of low back pain and had some tenderness of her iliotibial band. She was given injections in the right sacroiliac joint and bilateral blind facet joints.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plaintiff saw Dr. Sidhu on February 6, April 4, September 17 and October 16, 2008. She consistently reported pain in her neck, low back (primarily on the right side), and pain radiating either down her right leg or to her right hip. At the October 16 appointment, Dr. Sidhu also noted the plaintiff's complaints of shoulder pain. He concluded that she was incapable of pursuing any gainful occupation and that he did not expect any change. He saw the plaintiff again in November 2008 when she complained of persistent shoulder pain. He arranged for her to undergo an MRI examination, which was subsequently carried out on December 16,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MRI indicated a small partial bursal-sided tear in the subscapularis tendon and a partial articular sided tear of the posterior subraspinatus and anterior infraspinatus tendon. A Type 1 acromion was noted. Dr. Sidhu arranged for the plaintiff to see Dr. Telfer for an orthopaedic opinion with regards to her right shoulder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plaintiff informed Dr. Vaisler that she was subsequently managed with an injection into her right shoulder, but that it failed to relieve her symptoms. She also informed him that her right should pain had worsened for three or four months prior to his seeing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Dr. Vaisler's opinion is that as a result of the accident, the plaintiff sustained a soft tissue musculo-ligamentous injury to her neck and low back, along with subacromial impingement of her right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With respect to the plaintiff's neck, Dr. Vaisler indicated that he expected her neck symptoms to improve with the treatment recommendations he provided, which included a regular program of neck strengthening and postural exercises, and attendance at a neck and back education program. Dr. Vaisler further stated, at p. 10 of his report, that "at this point in time, over 2 1/2 years after the motor vehicle accident, it is more likely than not that she will continue to complain of intermittent and disabling neck pain from time to time with the above noted activities for the foreseeable future." Those activities included, for example, prolonged sitting and driving (which, in terms of relevance to her claim for loss of future earning capacity, security guard work does not seem to require).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With respect to the plaintiff's low back, Dr. Vaisler noted that she had a history of back problems before the accident and in his (undisputed) opinion, the accident probably aggravated pre-existing symptoms she was having before. He reviewed Dr. Singh's pre-accident clinical records and noted that the plaintiff had had complaints of low back and right lower limb pain since at least July 20, 2002. He observed that when seen by Dr. Sidhu on December 20, 2004, the plaintiff was complaining of pain radiating to both lower limbs with associated numbness, and that the pain appeared to be worsening since April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Dr. Vaisler also noted that Dr. Gittens saw the plaintiff on June 29, 2006, at which time she complained of constant low back pain, with radiation to both calves and associated numbness and weakness of her right foot. He further observed that two CT scans of the plaintiff's lumbosacral spine carried out on December 11, 2004 and July 8, 2005 demonstrated disc bulging at L4/5 and L5/S1. Dr. Vaisler observed that Dr. Gittens was arranging for the plaintiff to have an MRI scan of her lumbar spine when he saw her on June 29, 2006. The MRI was not done until March 2007,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Dr. Vaisler opined, at p. 10 of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More likely than not, her pre-existing lumbar degenerative disc disease with mild disc protrusions at L.4/5 and L.5/S.1 rendered her more at risk for sustaining a back injury as a result of the accident of October 3, 2006 and is at least in part responsible for the prolongation and severity of her current back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With respect to treatment, Dr. Vaisler said that the plaintiff should engage in back and abdominal muscle strengthening exercises, which would be helped by attendance at a back and neck education program. He also said that she should improve her general physical conditioning and make use of an Obus Forme back support. With these treatment recommendations, Dr. Vaisler opined, at p. 11, that "it is more likely than not that her low back symptoms will gradually improve, but more likely than not that she will continue to complain of intermittent pain and disability related to her low back with the above noted activities for the foreseeable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It is common ground between the parties that the plaintiff's right shoulder injury was caused by the accident. Dr. Vaisler's opinion with respect to her shoulder was as follows, at p.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view of the persistence of right shoulder symptoms 2 1/2 years after the motor vehicle accident, it is more likely than not that her shoulder symptoms will continue to persist in spite of the above noted treatment recommendations. If she feels she is not managing, the next step is proceeding with an arthroscopic subacromial decompression of her right shoulder which is carried out under general anaesthetic on a day care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Dr. Vaisler explained that if the plaintiff had the surgery, her post-operative physiotherapy would probably require 3-4 months, followed by a graduated return to activities over the following 2-3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Dr. Vaisler was of the view that the plaintiff was not capable of working competitively on a part-time or full-time basis when he saw her on March 12, 2009. He also expressed the view that if her right shoulder symptoms failed to respond to treatment, she would most probably be unable to return to work involving sustained or repetitive reaching at or above shoulder level, or heavy lifting above the waist.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As counsel for the defendants point out, however, Dr. Vaisler is not an occupational therapist. Further, he relied to some extent on the plaintiff's self-reporting that she had not worked since the accident, which was untrue. As earlier noted, she worked as a security guard in substitute for her husband on numerous occasions between November 2007 and April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Additionally, the only work the plaintiff could return to after her third maternity leave was that of a security guard. Her low back condition before the accident prevented her from doing any work that involved labour. According to the evidence, work as a security guard does not require any sustained or repetitive reaching at and above shoulder level, or heavy lifting above waist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For these reasons, I do not accept Dr. Vaisler's opinion with respect to the plaintiff's inability to work as a result of the injury to her right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Dr. Vaisler also stated that the plaintiff should undergo his treatment recommendations for the pain on the lateral aspect of her right hip and shoulder. He said she may require further epidural steroid injections for sciatica and that would be best done under the supervision of Dr. Gittens.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In his testimony at trial, Dr. Vaisler said that the results of his physical examination of the plaintiff's low back were very similar to those of Dr. Gittens, except that Dr. Gittens found some weakness in the plaintiff's right leg. Dr. Vaisler confirmed the annular tear at L4-5 and L5-S1 vertebrae in the low back were, in fact, herniations of the disc at those levels, and that the CT scan done in July 2005 showed evidence of pressure on the thecal sac that would result in pain in the low back and radiating down the legs.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Dr. Vaisler agreed that the CT scan of the lumbar spine done in July 2005 referred to an impingement on the nerve root that can cause pain and can be very disabling.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Furthermore, Dr. Vaisler agreed that the annular tear, if pressing against the nerve root, could cause pain. He said the symptoms from tears can take weeks, months, or years to disappear, and may never disappear.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Dr. Vaisler observed that Dr. Gittens, based on what the plaintiff had told him in late June 2006, said the plaintiff was "significantly incapacitated" as a result of her low back/leg pain. Dr. Vaisler confirmed that the findings of the March 2007 MRI were consistent with the plaintiff's complaints in late June 2006 when she saw Dr. Gittens, just three months before the accident. I do observe, however, that late June 2006 was only two months after the plaintiff gave birth by Caesarean section to her third child, and that pregnancy and working as a security guard exacerbated her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Dr. Vaisler was clear that the plaintiff's pre-accident low back pain was the result of the abnormalities in the discs and/or the degeneration of the discs. He indicated that the herniations were probably causing the pain, but it may have been from the facet joints or the degeneration.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Dr. Vaisler agreed that the plaintiff's low back condition before the accident would affect her ability to function at work and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Dr. William Regan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Dr. William Regan is an orthopaedic surgeon who specializes in joints of the upper extremity and knees. He provided an opinion on behalf of the defendants. Dr. Regan conducted physical examinations of the plaintiff and completed two medical reports, one dated July 26, 2007, and the other, December 1,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In both his reports, particularly that of December 2009, Dr. Regan reviewed the plaintiff's medical history as derived from her clinical records. However, Dr. Vaisler had a greater number of the plaintiff's clinical records, and as I have already summarized his review of the plaintiff's medical history, I will not go through it again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 xml:space="preserve">July 26, 2007 Report: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In completing the July 26, 2007 report for the plaintiff's ICBC claim adjuster, Dr. Regan reviewed the plaintiff's CL-19 medical report prepared by Dr. Sidhu and the Surrey Memorial Hospital emergency room records. The records in Dr. Regan's possession indicated that immediately following the accident, the plaintiff felt headache, back pain, and neck pain radiating into her right shoulder and low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On cross-examination, Dr. Regan said that he did not have the records of the plaintiff's physiotherapists and chiropractor, whom she had visited numerous times. He also agreed that he did not have a copy of Dr. Gittens' consultation report from before the motor vehicle accident, and that this record would have been important, as it made clear that the plaintiff had low back pain before the accident. He only received Dr. Gittens' report the morning he testified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In addition to reviewing medical records, Dr. Regan also conducted a physical examination of the plaintiff on July 23, 2007. He noted at p. 2 of his report that the plaintiff's chief complaints were "low back pain radiating down her right buttock, right sided cervical spine pain radiating into her right shoulder with associated headaches and right shoulder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On examination, Dr. Regan noted that the plaintiff's neck pain was in the region of the C7/T1 level with spinous process pain in this area. He did not note any paraspinal spasm, but did note pain along the right trapezius. The plaintiff's cervical spine had a full range of motion and there was no cervico-thoracic pain. On stance phase, she had low back pain on the right, radiating into the right gluteal fold.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Dr. Regan's objective findings were that the plaintiff had poor lumbar spine movement and her right shoulder had a full range of motion with moderately positive impingement signs - that is, pain elicited upon lifting the arm. Dr. Regan noted crepitation, a palpable or audible noise, in the right shoulder that was not seen on the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Dr. Regan diagnosed the plaintiff with paraspinal cervical and lumbar spine pain; right trapezial muscle strain; degenerative disc disease in the lumbar spine, radiating to her right buttock; and mild impingement syndrome in the right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 xml:space="preserve">Opinion: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At p. 5 of his report, Dr. Regan expressed his opinion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clear there was previous evidence of injury to her cervical spine, as evidenced by an old corticated bone fragment between the C2/3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However, during cross-examination, Dr. Regan admitted that while there was clear evidence of prior damage to that area, it could have been asymptomatic for a number of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Dr. Regan continued, at pp. 5-6 of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she had previous problems with her low back, as evidenced by a prior CT scan showing degenerative disc disease and disc bulging at the L4/5 and L5/S1 levels. As a result, the motor vehicle accident of October 3, 2006 has served to aggravate pre-existing soft tissue injuries to the cervical and lumbar spine, but is not causative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Under cross-examination, Dr. Regan clarified that the accident did cause the plaintiff's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With respect to the plaintiff's right shoulder, Dr. Regan also opined at p. 6 of his report that the "mild impingement syndrome right shoulder is temporally the result of the motor vehicle accident of October 3,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Dr. Regan expressed his view that no surgical intervention would help the plaintiff's neck or low back, and he agreed with Dr. Gittens' recommendations for conservative care, stating that local injections and/or acupuncture for her low back were advised. In addition, Dr. Regan supported the use of an Obus Forme pillow to support the neck, continued pool exercise, physiotherapy and stretching. He also observed that the plaintiff's flat affect did not bode well for her recovery from her physical ailments, and indicated that she might need counselling to deal with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Dr. Regan stated that the plaintiff's best possibility of gaining significant pain relief lay with abdominal strengthening and weight reduction. He opined that losing a significant amount of weight would help her low back pain and likely her neck pain. Dr. Regan recommended an MRI for clarity of diagnosis to plan further treatment in the event the plaintiff's right shoulder did not settle with a combination of pool exercises and weight reduction.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 xml:space="preserve">December 1, 2009 Report: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As earlier noted, Dr. Regan reviewed an array of clinical records in preparing his second report. He also conducted a physical examination of the plaintiff on November 20, 2009. He summarized her chief complaints at the time as follows, at p. 5 of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complains of pain predominantly noted in her spine. This is predominantly on her right and left side of her neck, radiating to the posterolateral aspect of her right shoulder. She has associated headaches with proximal radiation of her neck pain, and her pain radiates distally to her elbow and forearm. She notes no numbness into her right upper extremity.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On examination, Dr. Regan once again found that the plaintiff had a flat affect and was significantly out of shape and overweight for her height. He found that her right shoulder moved with guarding to 145 degrees of active forward elevation, and he noted continued crepitation over the subacromial space right shoulder, not seen on the left. He also noted pain over the posterolateral and lateral aspect of the right shoulder. Most of her pain was over the right side of the paraspinal area in the thoraco-lumbar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Dr. Regan diagnosed the plaintiff with right greater than left paraspinal muscle pain, cervical; trapezial muscle pain on the right; impingement syndrome in the right shoulder; and degenerative disc disease in the lumbar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 xml:space="preserve">Opinion: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Dr. Regan's opinion in his second report remained consistent with that in the earlier July 26, 2007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At p. 8, Dr. Regan considered the fact that the plaintiff had a prior history of cervical spine trauma with evidence of a corticated bone fragment and degenerative changes at the C2/3 and C3/4 levels.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clear that she had previous degenerative disc disease lumbar spine, as evidenced by previous CT scans and consultation with spine surgeon, Dr. Robert Schweigel, prior to the accident in question. As a result, her motor vehicle accident of October 3, 2006 has aggravated these pre-existing problems, but is not causative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At trial, Dr. Regan testified that the plaintiff's right shoulder pain was caused by a combination of irritation of her neck from the accident and consequent pain radiating to the shoulder, pain referred from the trapezius muscle which was injured in the accident, and some intrinsic pathology of her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With respect to the plaintiff's prognosis, Dr. Regan wrote as follows, at p.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prognosis is guarded at this time. She used to function as a security guard. She has had a great deal of conservative care to manage her back and neck pain, which is her most significant complaint. In spite of everyone's best effort, she has not responded well to a conservative treatment algorithm. She has been assessed by a neurosurgeon, who does not feel operative intervention is indicated.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Dr. Regan opined that the mainstay of treatment was for the plaintiff to get her body weight in line with her height, which would significantly help her low back pain. He suggested an aqua-exercise program and further injections. In addition, Dr. Regan opined that the plaintiff required help with her mood disorder and proper control of her diabetes and hypothyroidism.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Dr. Regan agreed with Dr. Vaisler's opinion against operative intervention for the plaintiff's right shoulder, opting instead for conservative care. He believed that results of surgery in her case would be poor and should be avoided at all cost; the additional trauma of surgery could worsen her chronic pain, and she would not easily rehabilitate because of her mood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On cross-examination, Dr. Regan agreed that the prognosis for full recovery from neck and back pain after two years of symptoms is very poor unless some corrective measures are taken. He believes the plaintiff will continue to experience pain in the neck, shoulder, and low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The principles of causation from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5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466-468, were concisely summarized by Ross J. in </w:t>
      </w:r>
      <w:r>
        <w:rPr>
          <w:rFonts w:ascii="arial" w:eastAsia="arial" w:hAnsi="arial" w:cs="arial"/>
          <w:i/>
          <w:color w:val="000000"/>
          <w:sz w:val="20"/>
          <w:lang w:val="en-US" w:eastAsia="en-US" w:bidi="ar-SA"/>
        </w:rPr>
        <w:t>McCreight v. Currie</w:t>
      </w:r>
      <w:r>
        <w:rPr>
          <w:rFonts w:ascii="arial" w:eastAsia="arial" w:hAnsi="arial" w:cs="arial"/>
          <w:color w:val="000000"/>
          <w:sz w:val="20"/>
          <w:lang w:val="en-US" w:eastAsia="en-US" w:bidi="ar-SA"/>
        </w:rPr>
        <w:t xml:space="preserve">, </w:t>
      </w:r>
      <w:hyperlink r:id="rId461" w:history="1">
        <w:r>
          <w:rPr>
            <w:rFonts w:ascii="arial" w:eastAsia="arial" w:hAnsi="arial" w:cs="arial"/>
            <w:i/>
            <w:color w:val="0077CC"/>
            <w:sz w:val="20"/>
            <w:u w:val="single"/>
            <w:shd w:val="clear" w:color="auto" w:fill="FFFFFF"/>
            <w:lang w:val="en-US" w:eastAsia="en-US" w:bidi="ar-SA"/>
          </w:rPr>
          <w:t>2007 BCSC 127</w:t>
        </w:r>
      </w:hyperlink>
      <w:r>
        <w:rPr>
          <w:rFonts w:ascii="arial" w:eastAsia="arial" w:hAnsi="arial" w:cs="arial"/>
          <w:color w:val="000000"/>
          <w:sz w:val="20"/>
          <w:lang w:val="en-US" w:eastAsia="en-US" w:bidi="ar-SA"/>
        </w:rPr>
        <w:t xml:space="preserve"> at para. 112, as follows:</w:t>
      </w:r>
      <w:r>
        <w:rPr>
          <w:rFonts w:ascii="arial" w:eastAsia="arial" w:hAnsi="arial" w:cs="arial"/>
          <w:sz w:val="20"/>
          <w:lang w:val="en-US" w:eastAsia="en-US" w:bidi="ar-SA"/>
        </w:rPr>
        <w:cr/>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 is established where the plaintiff proves, to the civil standard of a balance of probabilities, that the defendant caused or contributed to the injury;</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"but for" test is the general test for causation. Where this test is unworkable, causation is established where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the injury;</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injury; so long as it is a material cause, the defendant will be liable;</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apportionment between tortuous and non-tortuous causes;</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is to be restored to the position she would have been in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Therefore, the defendant need not compensate the plaintiff for the debilitating effects of pre-existing conditions which the plaintiff would have experienced anyway; and</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is a measurable risk that a pre-existing condition would have detrimentally affected the plaintiff in the future, that must be taken into account and the award reduced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application of those principles requires comparing the plaintiff's condition before and after the accident. This exercise is difficult because, as discussed earlier, the plaintiff was a poor historian. Her evidence as to her pre-accident condition was vague and inaccurate until she agreed with the contents of certain clinical records when they were put to her in cross-examination. These records revealed the severity of her pre-accident low back condition and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plaintiff had a pre-existing history of headaches brought on by stress. She also suffered low back pain from her heavy labour work at the greenhouse. The pain had worsened by April 2005, such that Dr. Singh wrote four medical notes that year, each indicating that she was unable to work for four weeks due to her low back pain. The plaintiff was "significantly incapacitated" with back pain in late June 2006, just two months after the birth of her third child by Caesarean section, and had seen a specialist about it. However, in the ensuing months from July to the end of September 2006, the plaintiff's low back pain was improving such that just before the accident, she was able to do light packing for the family's move, as well as light housekeeping and cooking.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Mr. Dhadwal, the plaintiff's husband, testified that the plaintiff had a lower back problem in 2005 but he did not recall much.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Both Mr. Dhadwal and Mrs. Gill, the plaintiff's sister, supported the plaintiff's evidence that she was in considerable pain in the months after the accident. They both significantly assisted in household tasks and childcare. Mr. Dhadwal said that Mrs. Gill cleaned the house, bathed the children, and prepared food for them. This went on for approximately three years after the accident until six months before he testified in early March 2010. I do note, however, that the plaintiff could only do light chores and light packing even before the accident, and was incapacitated as of late June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experts and other objective evidence of injury do support a finding that the plaintiff was in considerable pain in the months after the accident. The pain gradually improved to the point that she was able to do security work, as demonstrated by her substituting for her husband on 10 - 15 occasions between November 2007 and April 2008. It is likely that she was unable to perform any more than that amount of work immediately before the accident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Although Dr. Regan's description of the plaintiff's injuries is consistent with that of Dr. Vaisler, I find Dr. Vaisler's report to be more reliable because he had all of the information about the plaintiff's pre-existing condition that Dr. Regan did not. Further, Dr. Regan referred in his report to a pre-existing shoulder injury that he said was aggravated by the accident. However, the plaintiff had been asymptomatic with respect to her shoulder for years before the accident, and I consider that the accident caused her right shoulder impingement.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objective findings of injury and pain described in the evidence of the medical witnesses - Drs. Regan, Vaisler, Garcha and Sidhu - all provide support for a conclusion that the accident caused the plaintiff's right shoulder impingement, and soft tissue injury (musculo-ligamentous) to her low back and neck (with associated headaches). The injury to her low back prolonged and aggravated the plaintiff's pre-existing back condition. The accident exacerbated the intensity and frequency of the plaintiff's pre-existing headache condition, which has now likely returned to its pre-accident state. The accident also caused dizziness, which essentially resolved about six months before trial, and musculo-ligamentous injury to the plaintiff's ribs, which resolved two or three months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Dr. Vaisler and Dr. Regan agree on the nature of the plaintiff's shoulder injury, which I find is the most prolonged of the injuries caused by the accident. She has a right shoulder impingement. It causes the plaintiff pain with sustained use and lifting of her right arm. It is probable that her shoulder symptoms will continue in spite of the treatment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Dr. Regan agreed that conservative care of the plaintiff's right shoulder should be advocated at all costs, and he noted that Dr. Vaisler said surgical intervention should be held as a last resort. Dr. Regan said the impingement is in an area not usually helped with operative intervention.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 plaintiff has full range of motion in her neck and did so when Dr. Vaisler saw her on March 12, 2009. She had no paracervical muscle spasm but pain at the extremes of movement. I find that he plaintiff's neck injury is an ongoing, but intermittent, problem that will probably improve if she is more active, as suggested by Dr. Vaisler. If she carries out a regular program of neck strengthening and postural exercises on her own, and attends a neck and back education program such as that offered by the Canadian Back Institute or Karp Rehabilitation, it will improve significantly.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The plaintiff should also obtain an Obus Forme back support for prolonged sitting and driving as Dr. Vaisler recommended, and embark upon a regular physical fitness routine, such as swimming or Pilates. She must follow the advice of Dr. Regan who said, "[t]he mainstay of treatment for her is to get her body weight in line with her height, which will significantly help her low back pain." He also suggested an aqua-exercise program for her and perhaps further trigger point injections. Dr. Vaisler similarly said that weight loss would also be beneficial.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Significantly, the accident aggravated the plaintiff's pre-existing low back injury (including degenerative disc disease) and pain by imposing a soft tissue injury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However, I find that at least by April 2008, the exacerbation of the plaintiff's low back pain caused by the accident had resolved to a state approximately similar to its state just before the accident, when she was able to do light packing and household work. Were this not the case, she would not have been able to substitute for her husband as a security guard. Although she generally worked two to three hours at a time, she did three to four full time shifts, and she would not have been able to do more than that immediately before the accident, in any event. I therefore find that the plaintiff returned to her pre-accident state regarding her low back injury about 14 - 18 months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I note, as well, the evidence of Dr. Vaisler that when he examined the plaintiff on March 12, 2009, her back had returned to its pre-accident condition, as described by Dr. Gittens in his report of late June 2006, and as it had improved somewhat over the summer of 2006, just before the accident. This is consistent with the video surveillance of the plaintiff grocery shopping in April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Non Pecuniary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The purpose of a non-pecuniary damage award is to compensate a plaintiff for pain, suffering, loss of enjoyment of life and loss of amenities. While each award must be made with reference to the particular facts of the case, other decisions may assist the court in arriving at an award that is fair to both parties: </w:t>
      </w:r>
      <w:r>
        <w:rPr>
          <w:rFonts w:ascii="arial" w:eastAsia="arial" w:hAnsi="arial" w:cs="arial"/>
          <w:i/>
          <w:color w:val="000000"/>
          <w:sz w:val="20"/>
          <w:lang w:val="en-US" w:eastAsia="en-US" w:bidi="ar-SA"/>
        </w:rPr>
        <w:t>Smaill v. Williams</w:t>
      </w:r>
      <w:r>
        <w:rPr>
          <w:rFonts w:ascii="arial" w:eastAsia="arial" w:hAnsi="arial" w:cs="arial"/>
          <w:color w:val="000000"/>
          <w:sz w:val="20"/>
          <w:lang w:val="en-US" w:eastAsia="en-US" w:bidi="ar-SA"/>
        </w:rPr>
        <w:t xml:space="preserve">, </w:t>
      </w:r>
      <w:hyperlink r:id="rId462" w:history="1">
        <w:r>
          <w:rPr>
            <w:rFonts w:ascii="arial" w:eastAsia="arial" w:hAnsi="arial" w:cs="arial"/>
            <w:i/>
            <w:color w:val="0077CC"/>
            <w:sz w:val="20"/>
            <w:u w:val="single"/>
            <w:shd w:val="clear" w:color="auto" w:fill="FFFFFF"/>
            <w:lang w:val="en-US" w:eastAsia="en-US" w:bidi="ar-SA"/>
          </w:rPr>
          <w:t>2010 BCSC 73</w:t>
        </w:r>
      </w:hyperlink>
      <w:r>
        <w:rPr>
          <w:rFonts w:ascii="arial" w:eastAsia="arial" w:hAnsi="arial" w:cs="arial"/>
          <w:color w:val="000000"/>
          <w:sz w:val="20"/>
          <w:lang w:val="en-US" w:eastAsia="en-US" w:bidi="ar-SA"/>
        </w:rPr>
        <w:t xml:space="preserve"> at para.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Staply v. Hejslet</w:t>
      </w:r>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263 D.L.R. (4th) 19</w:t>
        </w:r>
      </w:hyperlink>
      <w:r>
        <w:rPr>
          <w:rFonts w:ascii="arial" w:eastAsia="arial" w:hAnsi="arial" w:cs="arial"/>
          <w:color w:val="000000"/>
          <w:sz w:val="20"/>
          <w:lang w:val="en-US" w:eastAsia="en-US" w:bidi="ar-SA"/>
        </w:rPr>
        <w:t xml:space="preserve"> at para. 46, Kirkpatrick J.A., for the majority, set out a non-exhaustive list of factors to consider in assessing general damages:</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463"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w:t>
      </w:r>
      <w:hyperlink r:id="rId463"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xml:space="preserve">  The defendants submit that damages in the range of $25,000 to $35,000 are appropriate under this head, with $27,500 as the upper end of reasonable. They rely on the following authorities: </w:t>
      </w:r>
      <w:r>
        <w:rPr>
          <w:rFonts w:ascii="arial" w:eastAsia="arial" w:hAnsi="arial" w:cs="arial"/>
          <w:i/>
          <w:color w:val="000000"/>
          <w:sz w:val="20"/>
          <w:lang w:val="en-US" w:eastAsia="en-US" w:bidi="ar-SA"/>
        </w:rPr>
        <w:t>Job v. Van Blankers</w:t>
      </w:r>
      <w:r>
        <w:rPr>
          <w:rFonts w:ascii="arial" w:eastAsia="arial" w:hAnsi="arial" w:cs="arial"/>
          <w:color w:val="000000"/>
          <w:sz w:val="20"/>
          <w:lang w:val="en-US" w:eastAsia="en-US" w:bidi="ar-SA"/>
        </w:rPr>
        <w:t xml:space="preserve">, </w:t>
      </w:r>
      <w:hyperlink r:id="rId464" w:history="1">
        <w:r>
          <w:rPr>
            <w:rFonts w:ascii="arial" w:eastAsia="arial" w:hAnsi="arial" w:cs="arial"/>
            <w:i/>
            <w:color w:val="0077CC"/>
            <w:sz w:val="20"/>
            <w:u w:val="single"/>
            <w:shd w:val="clear" w:color="auto" w:fill="FFFFFF"/>
            <w:lang w:val="en-US" w:eastAsia="en-US" w:bidi="ar-SA"/>
          </w:rPr>
          <w:t>2009 BCSC 230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Perreault v. Wolczuk</w:t>
      </w:r>
      <w:r>
        <w:rPr>
          <w:rFonts w:ascii="arial" w:eastAsia="arial" w:hAnsi="arial" w:cs="arial"/>
          <w:color w:val="000000"/>
          <w:sz w:val="20"/>
          <w:lang w:val="en-US" w:eastAsia="en-US" w:bidi="ar-SA"/>
        </w:rPr>
        <w:t xml:space="preserve">, </w:t>
      </w:r>
      <w:hyperlink r:id="rId465" w:history="1">
        <w:r>
          <w:rPr>
            <w:rFonts w:ascii="arial" w:eastAsia="arial" w:hAnsi="arial" w:cs="arial"/>
            <w:i/>
            <w:color w:val="0077CC"/>
            <w:sz w:val="20"/>
            <w:u w:val="single"/>
            <w:shd w:val="clear" w:color="auto" w:fill="FFFFFF"/>
            <w:lang w:val="en-US" w:eastAsia="en-US" w:bidi="ar-SA"/>
          </w:rPr>
          <w:t>2001 BCSC 195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Campbell v. Makela</w:t>
      </w:r>
      <w:r>
        <w:rPr>
          <w:rFonts w:ascii="arial" w:eastAsia="arial" w:hAnsi="arial" w:cs="arial"/>
          <w:color w:val="000000"/>
          <w:sz w:val="20"/>
          <w:lang w:val="en-US" w:eastAsia="en-US" w:bidi="ar-SA"/>
        </w:rPr>
        <w:t xml:space="preserve">, </w:t>
      </w:r>
      <w:hyperlink r:id="rId466" w:history="1">
        <w:r>
          <w:rPr>
            <w:rFonts w:ascii="arial" w:eastAsia="arial" w:hAnsi="arial" w:cs="arial"/>
            <w:i/>
            <w:color w:val="0077CC"/>
            <w:sz w:val="20"/>
            <w:u w:val="single"/>
            <w:shd w:val="clear" w:color="auto" w:fill="FFFFFF"/>
            <w:lang w:val="en-US" w:eastAsia="en-US" w:bidi="ar-SA"/>
          </w:rPr>
          <w:t>2003 BCSC 634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In my view, these decisions provide a range of non-pecuniary damages that is too low based on the circumstances of the present case, where the plaintiff continues to suffer from neck and shoulder injuries three-and-a-half years after the accident, and has chronic pain. The accident aggravated her previous low back injury, which did not resolve to its pre-accident condition until sometime between November 2007 and April 2008, about 18 months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The plaintiff relies on the following cases in support of her submission that $80,000 is the appropriate quantum for non-pecuniary damages: </w:t>
      </w:r>
      <w:r>
        <w:rPr>
          <w:rFonts w:ascii="arial" w:eastAsia="arial" w:hAnsi="arial" w:cs="arial"/>
          <w:i/>
          <w:color w:val="000000"/>
          <w:sz w:val="20"/>
          <w:lang w:val="en-US" w:eastAsia="en-US" w:bidi="ar-SA"/>
        </w:rPr>
        <w:t>Kasic v. Leyh</w:t>
      </w:r>
      <w:r>
        <w:rPr>
          <w:rFonts w:ascii="arial" w:eastAsia="arial" w:hAnsi="arial" w:cs="arial"/>
          <w:color w:val="000000"/>
          <w:sz w:val="20"/>
          <w:lang w:val="en-US" w:eastAsia="en-US" w:bidi="ar-SA"/>
        </w:rPr>
        <w:t xml:space="preserve">, </w:t>
      </w:r>
      <w:hyperlink r:id="rId467" w:history="1">
        <w:r>
          <w:rPr>
            <w:rFonts w:ascii="arial" w:eastAsia="arial" w:hAnsi="arial" w:cs="arial"/>
            <w:i/>
            <w:color w:val="0077CC"/>
            <w:sz w:val="20"/>
            <w:u w:val="single"/>
            <w:shd w:val="clear" w:color="auto" w:fill="FFFFFF"/>
            <w:lang w:val="en-US" w:eastAsia="en-US" w:bidi="ar-SA"/>
          </w:rPr>
          <w:t>2009 BCSC 649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Predinchuk v. Spencer</w:t>
      </w:r>
      <w:r>
        <w:rPr>
          <w:rFonts w:ascii="arial" w:eastAsia="arial" w:hAnsi="arial" w:cs="arial"/>
          <w:color w:val="000000"/>
          <w:sz w:val="20"/>
          <w:lang w:val="en-US" w:eastAsia="en-US" w:bidi="ar-SA"/>
        </w:rPr>
        <w:t xml:space="preserve">, </w:t>
      </w:r>
      <w:hyperlink r:id="rId468" w:history="1">
        <w:r>
          <w:rPr>
            <w:rFonts w:ascii="arial" w:eastAsia="arial" w:hAnsi="arial" w:cs="arial"/>
            <w:i/>
            <w:color w:val="0077CC"/>
            <w:sz w:val="20"/>
            <w:u w:val="single"/>
            <w:shd w:val="clear" w:color="auto" w:fill="FFFFFF"/>
            <w:lang w:val="en-US" w:eastAsia="en-US" w:bidi="ar-SA"/>
          </w:rPr>
          <w:t>2009 BCSC 1396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Thomas v. Bounds</w:t>
      </w:r>
      <w:r>
        <w:rPr>
          <w:rFonts w:ascii="arial" w:eastAsia="arial" w:hAnsi="arial" w:cs="arial"/>
          <w:color w:val="000000"/>
          <w:sz w:val="20"/>
          <w:lang w:val="en-US" w:eastAsia="en-US" w:bidi="ar-SA"/>
        </w:rPr>
        <w:t xml:space="preserve">, </w:t>
      </w:r>
      <w:hyperlink r:id="rId469" w:history="1">
        <w:r>
          <w:rPr>
            <w:rFonts w:ascii="arial" w:eastAsia="arial" w:hAnsi="arial" w:cs="arial"/>
            <w:i/>
            <w:color w:val="0077CC"/>
            <w:sz w:val="20"/>
            <w:u w:val="single"/>
            <w:shd w:val="clear" w:color="auto" w:fill="FFFFFF"/>
            <w:lang w:val="en-US" w:eastAsia="en-US" w:bidi="ar-SA"/>
          </w:rPr>
          <w:t>2009 BCSC 462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Lee v. Metheral</w:t>
      </w:r>
      <w:r>
        <w:rPr>
          <w:rFonts w:ascii="arial" w:eastAsia="arial" w:hAnsi="arial" w:cs="arial"/>
          <w:color w:val="000000"/>
          <w:sz w:val="20"/>
          <w:lang w:val="en-US" w:eastAsia="en-US" w:bidi="ar-SA"/>
        </w:rPr>
        <w:t xml:space="preserve">, </w:t>
      </w:r>
      <w:hyperlink r:id="rId470" w:history="1">
        <w:r>
          <w:rPr>
            <w:rFonts w:ascii="arial" w:eastAsia="arial" w:hAnsi="arial" w:cs="arial"/>
            <w:i/>
            <w:color w:val="0077CC"/>
            <w:sz w:val="20"/>
            <w:u w:val="single"/>
            <w:shd w:val="clear" w:color="auto" w:fill="FFFFFF"/>
            <w:lang w:val="en-US" w:eastAsia="en-US" w:bidi="ar-SA"/>
          </w:rPr>
          <w:t>2006 BCSC 1841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I find, conversely, that these cases support higher awards than is fair in this case because the defendants have no obligation to compensate the plaintiff for symptoms attributable to her pre-accident low back condition. That said, I find that an award that is just and fair to both parties is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As I have already discussed, the plaintiff's testimony about her symptoms and pain was at times vague and at others, exaggerated. Nevertheless, I accept that she suffered substantial pain for months after the accident, as is supported by the medical evidence in this case. Her pain gradually improved, and she was able to substitute for her husband at work about 14 to 18 months after the accident, albeit primarily for a few hours at a time but also with a few full-time shifts. By that time, her neck and shoulder pain were manageable. The aggravation of her pre-existing low back condition had also resolved such that her back had returned to its pre-accident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A plaintiff has a duty to take reasonable steps to minimize any loss relating to her injuries. The requirement that a plaintiff mitigate her losses prevents her from recovering for harm and loss caused by her own neglect. However, the defendant bears the onus of proving that the plaintiff could reasonably have avoided some part of her loss by mitigation: </w:t>
      </w:r>
      <w:r>
        <w:rPr>
          <w:rFonts w:ascii="arial" w:eastAsia="arial" w:hAnsi="arial" w:cs="arial"/>
          <w:i/>
          <w:color w:val="000000"/>
          <w:sz w:val="20"/>
          <w:lang w:val="en-US" w:eastAsia="en-US" w:bidi="ar-SA"/>
        </w:rPr>
        <w:t>Graham v. Rogers</w:t>
      </w:r>
      <w:r>
        <w:rPr>
          <w:rFonts w:ascii="arial" w:eastAsia="arial" w:hAnsi="arial" w:cs="arial"/>
          <w:color w:val="000000"/>
          <w:sz w:val="20"/>
          <w:lang w:val="en-US" w:eastAsia="en-US" w:bidi="ar-SA"/>
        </w:rPr>
        <w:t xml:space="preserve">, </w:t>
      </w:r>
      <w:hyperlink r:id="rId471" w:history="1">
        <w:r>
          <w:rPr>
            <w:rFonts w:ascii="arial" w:eastAsia="arial" w:hAnsi="arial" w:cs="arial"/>
            <w:i/>
            <w:color w:val="0077CC"/>
            <w:sz w:val="20"/>
            <w:u w:val="single"/>
            <w:shd w:val="clear" w:color="auto" w:fill="FFFFFF"/>
            <w:lang w:val="en-US" w:eastAsia="en-US" w:bidi="ar-SA"/>
          </w:rPr>
          <w:t>2001 BCCA 432</w:t>
        </w:r>
      </w:hyperlink>
      <w:r>
        <w:rPr>
          <w:rFonts w:ascii="arial" w:eastAsia="arial" w:hAnsi="arial" w:cs="arial"/>
          <w:color w:val="000000"/>
          <w:sz w:val="20"/>
          <w:lang w:val="en-US" w:eastAsia="en-US" w:bidi="ar-SA"/>
        </w:rPr>
        <w:t xml:space="preserve">, </w:t>
      </w:r>
      <w:hyperlink r:id="rId471" w:history="1">
        <w:r>
          <w:rPr>
            <w:rFonts w:ascii="arial" w:eastAsia="arial" w:hAnsi="arial" w:cs="arial"/>
            <w:i/>
            <w:color w:val="0077CC"/>
            <w:sz w:val="20"/>
            <w:u w:val="single"/>
            <w:shd w:val="clear" w:color="auto" w:fill="FFFFFF"/>
            <w:lang w:val="en-US" w:eastAsia="en-US" w:bidi="ar-SA"/>
          </w:rPr>
          <w:t>90 B.C.L.R. (3d) 69</w:t>
        </w:r>
      </w:hyperlink>
      <w:r>
        <w:rPr>
          <w:rFonts w:ascii="arial" w:eastAsia="arial" w:hAnsi="arial" w:cs="arial"/>
          <w:color w:val="000000"/>
          <w:sz w:val="20"/>
          <w:lang w:val="en-US" w:eastAsia="en-US" w:bidi="ar-SA"/>
        </w:rPr>
        <w:t xml:space="preserve">, leave to appeal refused </w:t>
      </w:r>
      <w:hyperlink r:id="rId472" w:history="1">
        <w:r>
          <w:rPr>
            <w:rFonts w:ascii="arial" w:eastAsia="arial" w:hAnsi="arial" w:cs="arial"/>
            <w:i/>
            <w:color w:val="0077CC"/>
            <w:sz w:val="20"/>
            <w:u w:val="single"/>
            <w:shd w:val="clear" w:color="auto" w:fill="FFFFFF"/>
            <w:lang w:val="en-US" w:eastAsia="en-US" w:bidi="ar-SA"/>
          </w:rPr>
          <w:t>[2001] S.C.C.A. No. 467</w:t>
        </w:r>
      </w:hyperlink>
      <w:r>
        <w:rPr>
          <w:rFonts w:ascii="arial" w:eastAsia="arial" w:hAnsi="arial" w:cs="arial"/>
          <w:color w:val="000000"/>
          <w:sz w:val="20"/>
          <w:lang w:val="en-US" w:eastAsia="en-US" w:bidi="ar-SA"/>
        </w:rPr>
        <w:t>, per Rowles J.A., for the majority.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In the present case, the defendants say that the plaintiff unreasonably failed to follow the advice of doctors and medical personnel, including Dr. Vaisler and Dr. Regan, to lose weight and to exercise. Dr. Sidhu also testified that losing weight and exercise would be very beneficial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Dr. Vaisler agreed that Dr. Gittens' recommendations in June 2006 that the plaintiff lose weight and undertake an exercise program, given her low back complaints, were appropriate. The plaintiff told Dr. Vaisler that she had not been doing any exercises for her low back. Her evidence on examination for discovery was that she had not been doing any regular exercises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The plaintiff acknowledged that she was advised by doctors, both before and after the accident, to lose weight, primarily to improve her lower back symptoms. This included Dr. Vaisler and Dr. Regan.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The surveillance video shows the plaintiff using an exercise machine at the gym. She decided not to renew her gym membership in January 2009, saying that exercising did not improve her symptoms. I understood her to be mainly referring to her low back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The plaintiff blames her weight on a thyroid problem, but no evidence was called to support this theory. She also argues that there is a trend of weight loss of almost 25 pounds documented by the various medical practitioners. Despite this weight loss over the period from the accident to late 2008, it did not make any difference to her medical condition. Accordingly, she submits that the defendants have not met the burden of proof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There is no evidence of the plaintiff's weight at the time she testified at trial in early 2010. She is overweight, and may have gained back any previously lost weight. There is also no evidence that she followed any medically prescribed diet or diet of her own. All that the plaintiff said was that she reduced her food intake, but did not lose any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The plaintiff's evidence about walking (as exercise) was inconsistent as between cross-examination and examination for discovery. Her evidence in the area of exercise and weight loss was defensive.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All that said, it is my interpretation of the evidence that the medical advice to lose weight was directed at the plaintiff's low back condition, which I find had returned to its pre-accident state by at least April 2008. I do not find on the evidence that any failure to exercise or to lose weight had any negative effect on the plaintiff's chronic neck and right shoulder impingement, which were the new injuries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If I am wrong in that conclusion, then, as Dr. Sidhu testified, I find that the plaintiff's injuries made it difficult for her to exercise or lose weight. It is also difficult to do either when suffering from low mood or depression, which, based on the medical evidence, the plaintiff had both before and after the accident. The defendants must take the plaintiff as they found her, including her emotional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Therefore, all things considered, I cannot find that the defendants have proven a failure to mitigate that is relevant to the plaintiff's ongoing injuries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PAST AND 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The plaintiff testified about her employment history after emigrating to Canada in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From December 1999 until the birth of her first child in July 2000, the plaintiff worked at a bridal shop, arranging flowers and doing other jobs at the owner's request. She worked six days a week for minimum wage.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In 2000, after a six month maternity leave, the plaintiff worked for about one month packing chickens at a factory. She worked five days a week, earning $8.50 per hour. Her tax return for 2000 reflected total earnings of $5,600, and Employment Insurance benefits of $3,955 while on maternity leave (her eldest daughter was born in July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In about March 2001, the plaintiff found work at a greenhouse through a labour contractor. The job involved picking tomatoes and packing them into crates. She worked nine hours a day, six days a week during the busy season, and eight hours a day when there was less work. The rate of pay started at $7.15 per hour with gradual 25 cent increases.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The plaintiff's tax return for 2001 showed earnings from her greenhouse work of $8,642. She also received Workers' Compensation Benefits of $3,589 for an injury to her right ankle while working at the greenhouse, and $175 in Employment Insurance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In 2002, the plaintiff earned $7,781 from her work at the greenhouse.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In 2003, the plaintiff received $13,024 in Employment Insurance benefits while on a year of maternity leave for her second child, born February 22,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In 2004, the plaintiff earned $10,373 through her work at the greenhouse, and some janitorial work at a jail in Coquitlam. She also received Employment Insurance benefits of $1,104 for an injury to her right toe that occurred at home when she dropped something on it. The injury resolved within about a month and a 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In 2005, the plaintiff earned $8,899 from the greenhouse work and the janitorial job. She also received Employment Insurance benefits of $3,808 because she injured her low back pulling heavy carts of tomatoes at the greenhouse. The plaintiff did not apply for benefits for about a month after leaving her job because she hoped to recover and return to work. However, as she found the pain did not improve, she applied for sick benefits and also completed a security guard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The plaintiff started working for Active Security in late December 2005. Her job entailed attending stores, construction sites, schools and factories, and making rounds, checking doors and locks, and performing other duties as required by the client. The work was usually in eight-hour shifts, but the plaintiff sometimes worked up to 12 hours or an eight-hour shift supplemented by a four-hour shift at another company. (In February 2006, she obtained work from Agilent to supplement income from Active Security). She was paid $9.36 per hour and worked until going on maternity leave in mid-April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At the time of the accident, the plaintiff was still on maternity leave after the birth of her third daughter on April 29, 2006.</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The plaintiff says that she had a consistent work history before the accident, and that she returned to work after her previous two maternity leaves. She says that but for the accident, she would have also returned to work after her third maternity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The plaintiff submits that her past loss in this area can be assessed as either a past loss of earning capacity or as a loss of opportunity to earn income. However, she says a pure mathematical calculation would not be appropriate. Taking into account the various contingencies and her earning history before the accident, the plaintiff submits that a global award of $50,000 would be appropriate under this head of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The defendants say the evidence fails to prove any past loss of income. Instead, they say, the evidence shows the following:</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a very sporadic work history;</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unable to continue working at the greenhouse as of April 2005 because of significant low back problems;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leaving her job at the greenhouse, the plaintiff did not return to any type of employment until the end of December 2005;</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Even more sedentary security guard work increased her pre-existing low back problem and she was "significantly incapacitated" by the end of June 2006. (I observe that the plaintiff's evidence was confusing on this issue, as she initially agreed with this statement but then said her low back pain increased as a security guard because she was pregnant and her weight was carried at the front);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had significant headaches that existed for years before the accident and continued afterwards;</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evidence of opportunities available to the plaintiff to work in any capacity as at the date of the accident or afterward. Despite saying that she wanted to return to work in October 2006, she did not look for work after the birth of her third child and before the accident;</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caring for three very young children while her husband worked full-time at a glass shop (starting in January 2007) and on call as a security guard. She had applied for and received a full year of maternity leave benefits so had no recorded intention of returning to work until April 2007, despite saying she wanted to return earlier;</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described herself to doctors and therapists as a housewife and stay-at-home mom, both before and after the accident;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opinion evidence from an expert as to the plaintiff's ability to work in any capacity or any field of endeavour; and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did work on many occasions as a substitute security guard for her husband between November 2007 and April 2008, so either she was capable of doing so or had the same back problems when doing so as she had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I agree with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The plaintiff's sporadic employment history included time off for back pain, (Dr. Sidhu wrote four letters from late April 2005 to August 2005 in support of her taking four weeks off work each time), time off for a foot injury that occurred at home, three maternity leaves and time off when her mother had surgery. The plaintiff's back pain and delivery by Caesarean section left her incapacitated in the spring of 2006. She did not plan to return to work after the birth of her third child in April 2006 until April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The plaintiff said that before the accident, she and her husband intended to have a fourth child. She planned to leave three to three-and-a-half years between children, so the fourth child would have been born between about April and October 2009. She would have taken maternity leave of at least one year as in the past. Her low back pain would likely have flared up and required her to be off work well before the delivery date. The plaintiff had experienced a serious bout of low back pain before and after the delivery of her third child, and had low back pain for years before then. She also had other health problems including frequent headaches, a thyroid condition and high blood pressure.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xml:space="preserve">  A plaintiff is entitled to be compensated for the loss of the value of the work she would have performed but for the injuries sustained in the accident: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325"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In my view, however, there is insufficient evidence to support the plaintiff's claim for loss of past earning capacity as a result of the accident. She had limited earning capacity even before the accident. As Dr. Vaisler stated, the plaintiff's low back condition before the accident would have affected her ability to function at work and at home in any event of the accident. Taking into account the significant negative contingencies in the period from April 2007 (the end of maternity leave after her third child) to approximately April 2009 (the start of maternity leave for the birth of her fourth child), I decline to make an award for loss of past earning capacity.</w:t>
      </w:r>
      <w:r>
        <w:rPr>
          <w:rFonts w:ascii="arial" w:eastAsia="arial" w:hAnsi="arial" w:cs="arial"/>
          <w:sz w:val="20"/>
          <w:lang w:val="en-US" w:eastAsia="en-US" w:bidi="ar-SA"/>
        </w:rPr>
        <w:cr/>
      </w:r>
    </w:p>
    <w:p>
      <w:pPr>
        <w:numPr>
          <w:numId w:val="1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The plaintiff submits that she was employed for many years before the accident, and that her time off work was mainly for maternity leaves. She was forced by her mechanical back injury to leave her greenhouse labouring job, but she then took a two-week course to become a security guard. I observe that given her lack of education and inability to speak English, the plaintiff's employment options were limited before the accident; her only real opportunity after the accident is as a security guard.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The plaintiff argues that her commitment to employment was demonstrated by the fact that she renewed her security licence after the accident. However, she says she is unemployable because of the injuries she suffered in the accident. She seeks $100,000 in damages for the loss of the capital asset that is her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In my view, the evidence simply does not support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473"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Garson J.A., for the Court, set out, at para. 30, the basic principles articulated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5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335"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and</w:t>
      </w:r>
    </w:p>
    <w:p>
      <w:pPr>
        <w:numPr>
          <w:numId w:val="1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loss of earnings but, rather, loss of earning capacity for which compensation must be made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at 251].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At para. 32, Garson J.A. discussed the alternative approaches to assessing this type of loss. She indicated that a plaintiff must always prove that there is a real and substantial possibility of a future event leading to an income loss. If the plaintiff discharges this burden, then she may prove the quantification of that loss of earning capacity either on an earnings approach or a capital asset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In the present case, I find that the plaintiff has not proven a real and substantial possibility of a future event leading to an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The plaintiff's mechanical low back injury means that she cannot return to the labouring work that she left permanently in April 2005. The only work for which she is trained is that of a security guard. The plaintiff started work in that capacity in late December 2005, and had had serious bouts of back pain earlier that year. A serious flare-up of pain interfered with her security guard work in the spring of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The plaintiff's primary problems are her low back and right shoulder symptoms. Her neck injury is not sufficiently serious to prevent her from working. The plaintiff's own evidence revealed that work as a security guard does not require her to engage in lifting or repetitive activities that involve raising her right arm above her shoulder. She confirmed that work as a security guard is not physical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As I have already discussed, I do not accept Dr. Vaisler's opinion on this issue, as the plaintiff did not tell him that she had replaced her husband as a security guard on 10 to 15 occasions between November of 2007 and April 2008. His concern was her neck and shoulder symptoms but I do not find any link between those injuries and an inability to work as a security guard. Indeed, the plaintiff demonstrated that she was able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There is no persuasive evidence that the plaintiff would not be able to return to work as a security guard if she so chose and was able to find such work. Further, any impediment to her working in that capacity derives from her pre-existing lower back injury and headaches, for which the defendants have no obligation to compensate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Significantly, I think it highly doubtful that the plaintiff would have returned to work absent the accident because she planned to have fourth child, and her husband's income was improving with his recovery from his addictions. The cumulative effect of the demands of caring for four young children, the severity of her pre-existing mechanical low back problem, the frequency of her pre-existing headaches, and her other health problems such as high blood pressure, low mood and thyroid condition create so many negative contingencies that I cannot find on the evidence that she has proven a real and substantial possibility of a future event leading to an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I decline to make an award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HOMEMAKING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xml:space="preserve">  The law is now settled that loss of homemaking capacity is compensable. Huddart J.A. summarized it as follows in </w:t>
      </w:r>
      <w:r>
        <w:rPr>
          <w:rFonts w:ascii="arial" w:eastAsia="arial" w:hAnsi="arial" w:cs="arial"/>
          <w:i/>
          <w:color w:val="000000"/>
          <w:sz w:val="20"/>
          <w:lang w:val="en-US" w:eastAsia="en-US" w:bidi="ar-SA"/>
        </w:rPr>
        <w:t>McTavish v. MacGillivray</w:t>
      </w:r>
      <w:r>
        <w:rPr>
          <w:rFonts w:ascii="arial" w:eastAsia="arial" w:hAnsi="arial" w:cs="arial"/>
          <w:color w:val="000000"/>
          <w:sz w:val="20"/>
          <w:lang w:val="en-US" w:eastAsia="en-US" w:bidi="ar-SA"/>
        </w:rPr>
        <w:t xml:space="preserve">, </w:t>
      </w:r>
      <w:hyperlink r:id="rId474" w:history="1">
        <w:r>
          <w:rPr>
            <w:rFonts w:ascii="arial" w:eastAsia="arial" w:hAnsi="arial" w:cs="arial"/>
            <w:i/>
            <w:color w:val="0077CC"/>
            <w:sz w:val="20"/>
            <w:u w:val="single"/>
            <w:shd w:val="clear" w:color="auto" w:fill="FFFFFF"/>
            <w:lang w:val="en-US" w:eastAsia="en-US" w:bidi="ar-SA"/>
          </w:rPr>
          <w:t>2000 BCCA 164</w:t>
        </w:r>
      </w:hyperlink>
      <w:r>
        <w:rPr>
          <w:rFonts w:ascii="arial" w:eastAsia="arial" w:hAnsi="arial" w:cs="arial"/>
          <w:color w:val="000000"/>
          <w:sz w:val="20"/>
          <w:lang w:val="en-US" w:eastAsia="en-US" w:bidi="ar-SA"/>
        </w:rPr>
        <w:t xml:space="preserve">, </w:t>
      </w:r>
      <w:hyperlink r:id="rId474" w:history="1">
        <w:r>
          <w:rPr>
            <w:rFonts w:ascii="arial" w:eastAsia="arial" w:hAnsi="arial" w:cs="arial"/>
            <w:i/>
            <w:color w:val="0077CC"/>
            <w:sz w:val="20"/>
            <w:u w:val="single"/>
            <w:shd w:val="clear" w:color="auto" w:fill="FFFFFF"/>
            <w:lang w:val="en-US" w:eastAsia="en-US" w:bidi="ar-SA"/>
          </w:rPr>
          <w:t>74 B.C.L.R. (3d) 281</w:t>
        </w:r>
      </w:hyperlink>
      <w:r>
        <w:rPr>
          <w:rFonts w:ascii="arial" w:eastAsia="arial" w:hAnsi="arial" w:cs="arial"/>
          <w:color w:val="000000"/>
          <w:sz w:val="20"/>
          <w:lang w:val="en-US" w:eastAsia="en-US" w:bidi="ar-SA"/>
        </w:rPr>
        <w:t xml:space="preserve"> at para. 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we have seen, it is now well established that a plaintiff whose ability to perform housekeeping services is diminished in part or in whole ought to be compensated for that loss. It is equally well established that the loss of housekeeping capacity is the plaintiff's and not that of her family. When family members have gratuitously done the work the plaintiff can no longer do and the tasks they perform have a market value, that value provides a tangible indication of the loss the plaintiff has suffered and enables the court to assign a specific economic value in monetary terms to the loss. This does not mean the loss is that of the family members or that they are to be compensated. Their provision of services evidences the plaintiff's loss of capacity and provides a basis for valuing that loss. The loss remains the plaintiff's loss of economic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Kroeker v. Jansen</w:t>
      </w:r>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(1995), 4 B.C.L.R. (3d) 178</w:t>
        </w:r>
      </w:hyperlink>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123 D.L.R. (4th) 652</w:t>
        </w:r>
      </w:hyperlink>
      <w:r>
        <w:rPr>
          <w:rFonts w:ascii="arial" w:eastAsia="arial" w:hAnsi="arial" w:cs="arial"/>
          <w:color w:val="000000"/>
          <w:sz w:val="20"/>
          <w:lang w:val="en-US" w:eastAsia="en-US" w:bidi="ar-SA"/>
        </w:rPr>
        <w:t xml:space="preserve"> (C.A.), the majority held that loss of housekeeping capacity was compensable as damages distinct from non-pecuniary damages, and that where appropriate, such an award should be made regardless of whether help was acquired. As Gibbs J.A. put it at p. 183 (cited to the B.C.L.R.), "... housekeeping and other spousal services have economic value for which a claim by an injured party will lie even where those services are replaced gratuitously from within the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The plaintiff seeks damages under this head in the amount of $10,000. The defendants counter that while the plaintiff's mother and husband did some household chores and assisted with child care after the accident, both also did these chores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There is no question, based on the evidence of the plaintiff, and supported by that of her sister and her husband, that Mrs. Gill undertook much of the plaintiff's homemaking work after the accident. She did the housekeeping, bathed the children, and helped prepare food.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I find that the household work performed by Mrs. Gill, in particular, did replace expenses to a significant extent. Her services were over and above what would be expected from a sister. I disagree with the defendants that Mrs. Gill's evidence lacks particularity as to when she attended, what chores she did, or for how long. Instead, I found her to be a credible witness whose evidence was reliable. She clearly undertook a significant burden of the household work after the plaintiff's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The plaintiff can only be compensated under this head of damages for loss of homemaking capacity caused by her low back condition up to approximately April 2008, by which time her back had returned to its pre-accident condition. However, her right shoulder and neck pain continue to interfere with her homemaking activities, depending on what chores she undertakes.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There is no evidence before me as to how the plaintiff arrived at the figure of $10,000 as a reasonable award under this head of damages. As well, some caution and restraint are required when assessing an appropriate award, particularly where, as here, the plaintiff had pre-existing physical limitations. I find that $5,000 is a just and fair award for loss of homemaking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The plaintiff is entitled to compensation for any proven special expenses incurred as a result for the injuries she suffered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The plaintiff seeks $8,003.11 as special damages in accordance with the schedule of special damages set out in her Book of Documents - Volume III. She submits that she reasonably incurred those expenses for various items and treatments, according to the receipts provided, as a result of the injuries sustained in the accident. The Court also heard from her treating practitioners as to the treatments they recommended.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The defendants submit that there is little medical evidence as to whether the extent of the physiotherapy and chiropractic treatment the plaintiff undertook was medically necessary and reasonable. They also say that the plaintiff told her doctors and therapists on numerous occasions that neither the physiotherapy or chiropractic treatment improved her symptoms. They add that there are no records and no evidence about the acupressure/acumassage and about whether this type of treatment was medically "necessary", as opposed to merely "beneficial." Finally, the defendants say there was little, if any, change in the plaintiff's low back condition after the accident, and that they should not have to bear any costs of treatment, other than for a short period to deal with a minor aggravation, depending on the Court's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I observe that Dr. Sidhu recommended both chiropractic treatment and aquatherapy for mobility and pain relief. The aquatherapy was to avoid impact exercises on the plaintiff's back. Clearly, it was reasonable, as was the gym pass for fitness until January 2009 when the plaintiff stopped attending the gym. Dr. Sidhu also did not tell her to cease chiropractic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Dr. Garcha had been treating the plaintiff for her neck, shoulder and upper back, as well as her lower back injury. It was not until April 2008 that Dr. Garcha told the plaintiff not to return for further chiropractic treatment, as it was not improving her condition. I have already found that the plaintiff's low back condition had returned to its pre-accident condition by that time. I conclude that all the chiropractic treatment the plaintiff undertook was entirely reasonable in the circumstances, as she was motivated to try to improve her condition over the long-term.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Dr. Sidhu also confirmed that he recommended and approved the acupuncture. He said the plaintiff wanted to try it, and he "okayed it". The plan was for her to try acupuncture and acupressure.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The defendants admit that the plaintiff did purchase the prescriptions set out in the second Agreed Statement of Facts on the days indicated. However, they say that some of the medications were for her low back condition for which (at least past April 2008) they are not responsible. They also say the amount of Tramacet, Celebrex and Tylenol 3 shown on the list is less than the amount the plaintiff described having taken, so it does not accord with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Even though the defendants need not compensate the plaintiff for lower back symptoms after April 2008, the same medications were also to alleviate the plaintiff's neck and shoulder symptoms which were, and sometimes remain, very painful. I further note that the plaintiff was not required to pay for medication that exceeded a certain threshold level, and that her doctor provided her with samples of medication to avoid some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I have studied the plaintiff's schedule of expenses, and have also considered the defendants' able arguments. Even accepting that her low back condition had returned to its pre-accident state at least by April 2008, I do not find any of those expenses unreasonable. Between the accident and April 2008, the plaintiff reasonably incurred those expenses for her back, neck and shoulder injuries. After April 2008 until trial, she required some chiropractic treatment, the medications, and acupuncture and acupressure massage for her neck and shoulder, in any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I am not, however, satisfied with the figure of $1,000 for transportation, parking and non-prescription medicine. The evidence in support of that amount is unsatisfactory. Instead, I allow $500 for that part of the claim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Thus, I award special damages in the amount of $7,503.11.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xml:space="preserve">  The test for establishing a claim for the cost of future case is set out in </w:t>
      </w:r>
      <w:r>
        <w:rPr>
          <w:rFonts w:ascii="arial" w:eastAsia="arial" w:hAnsi="arial" w:cs="arial"/>
          <w:i/>
          <w:color w:val="000000"/>
          <w:sz w:val="20"/>
          <w:lang w:val="en-US" w:eastAsia="en-US" w:bidi="ar-SA"/>
        </w:rPr>
        <w:t>Milana v. Bartsch</w:t>
      </w:r>
      <w:r>
        <w:rPr>
          <w:rFonts w:ascii="arial" w:eastAsia="arial" w:hAnsi="arial" w:cs="arial"/>
          <w:color w:val="000000"/>
          <w:sz w:val="20"/>
          <w:lang w:val="en-US" w:eastAsia="en-US" w:bidi="ar-SA"/>
        </w:rPr>
        <w:t xml:space="preserve"> </w:t>
      </w:r>
      <w:hyperlink r:id="rId338"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where McLachlin J. (as she then was) said, at p. 84: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test for determining the appropriate award under the heading of cost of future care, it may be inferred, is an objective one based on medical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authorities establish (1) that there must be a medical justification for claims for cost of future care; and (2) that the claims must be reasonable.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award for cost of care should reflect what the evidence establishes is reasonably necessary to preserve the plaintiff's health.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assigned two numbers to this paragraph. LexisNexis Canada has removed the second number but retained the Court's subsequent paragraph numbering.]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xml:space="preserve">  Relying on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476"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w:t>
      </w:r>
      <w:hyperlink r:id="rId476" w:history="1">
        <w:r>
          <w:rPr>
            <w:rFonts w:ascii="arial" w:eastAsia="arial" w:hAnsi="arial" w:cs="arial"/>
            <w:i/>
            <w:color w:val="0077CC"/>
            <w:sz w:val="20"/>
            <w:u w:val="single"/>
            <w:shd w:val="clear" w:color="auto" w:fill="FFFFFF"/>
            <w:lang w:val="en-US" w:eastAsia="en-US" w:bidi="ar-SA"/>
          </w:rPr>
          <w:t>8 B.C.L.R. (4th) 227</w:t>
        </w:r>
      </w:hyperlink>
      <w:r>
        <w:rPr>
          <w:rFonts w:ascii="arial" w:eastAsia="arial" w:hAnsi="arial" w:cs="arial"/>
          <w:color w:val="000000"/>
          <w:sz w:val="20"/>
          <w:lang w:val="en-US" w:eastAsia="en-US" w:bidi="ar-SA"/>
        </w:rPr>
        <w:t>, for the proposition that it is not necessary that "specific items of cost of future care be approved by medical experts", the plaintiff claims cost of future care in the amount of $30,000. She submits that an award under this head is abstract in the sense that it is not simply a mathematical calculation as it is necessary to consider her current medical condition, pre-existing circumstances, the expert opinions, and her life expectancy.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Thus, the plaintiff relies on Dr. Regan's suggestion in his first report that a pool pass would be helpful to her physical and mental state, as well as on the recommendations in his second report that she take an aqua-exercise program and perhaps further trigger point injections.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The plaintiff also points to her own evidence that she used medications and treatments such as a Rub A535, Tiger Balm, Tylenol 3, physiotherapy, exercise, chiropractic and acupuncture to assist her to manage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In that Dr. Regan opined that her prognosis is guarded more than three years after the accident, the plaintiff submits she will experience pain for the foreseeable future and will require treatment to manage it. Dr Vaisler also said in his report that it is more likely than not that her shoulder symptoms will continue to persist in spite of his treatment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The plaintiff also relies on the cost of a community centre gym pass at $45 per month, $540 per year. The schedule of special damages sets out the substantial amounts that she has incurred for other forms of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The plaintiff says that assuming she spends an average of $2,000 per year on various treatments (including physiotherapy, chiropractic, and acupuncture) and medications until she is 80, the amount would total $45,890.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Although the plaintiff acknowledges that she did have lower back symptoms before the accident, she submits she was functional and managing her symptoms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The defendants respond that the evidence fails to support a claim for cost of future care. They say that much of the medication that the plaintiff took was directed toward her pre-existing back injury, and they point out that she was prescribed these same types of medications in the three months leading up to the accident for her low back problem and ongoing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I note that Dr. Vaisler indicated that the plaintiff would benefit from an Obus Forme-type back support, as well as a regular physical fitness routine, such as swimming or Pilates. He also recommended a neck and back education program, such as that offered at the Canadian Back Institute or Karp Rehabilitation. However, such a program would mainly treat the plaintiff's back condition, and the defendants need not compensate her for any ongoing low back pain. Dr. Regan suggested weight loss, an aqua-exercise program and trigger point injections. However, these were also mainly for her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Both Dr. Vaisler and Dr. Regan opined that surgery on the plaintiff's shoulder should be a last resort.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It seems to me that the evidence of Dr. Vaisler and Dr. Regan does provide some medical justification for a small award for cost of future care to promote and maintain the plaintiff's mental and physical health, which will improve her neck and shoulder symptoms. However, there is an unsatisfactory lack of specific evidence with respect to this head of damage, and certainly none anywhere near sufficient to support a claim of $30,000.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The best I can do in the circumstances is to base this award on specific items that are supported by the evidence and that relate to the plaintiff's ongoing neck and shoulder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A regular fitness regime would improve the plaintiff's shoulder and neck symptoms, and elevate her mood which, in turn, would further improve those symptoms. The plaintiff paid $45 a month for a pass to the Sun God Sports and Orthopaedic Physiotherapy Clinic, or $545 a year. A reasonable length of time for a gym pass would be about three years for a total cost of $1635.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I do not believe the plaintiff is motivated to undertake any further chiropractic treatment, as it did not provide more than transient pain relief. She might take further physiotherapy, but she previously stopped going without providing a reason. If she takes it again in the future for her neck and shoulder, it probably will not be for long, as she will be able to learn the exercises and do them on her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The defendants are not responsible for the plaintiff's current low back condition. Therefore, I consider a few more sessions of physiotherapy for the plaintiff to learn neck and shoulder exercises to be medically justified and reasonable. The receipts show a cost of $25 as a user fee for each physiotherapy session with Mr. Schalk. If the plaintiff went approximately four times a year for three years as a refresher to learn exercises (by which time her neck will be much better if she uses it normally as Dr. Vaisler recommended), the cost would be about $300.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I do not know how much medication the plaintiff will take in the future to address her shoulder and neck symptoms, as opposed to her pre-existing back and headache conditions. Nor was I given any suggestion as to how long she would take those medications. The evidence is simply unsatisfactory in that area. The plaintiff's neck and shoulder conditions are chronic, even though the neck will likely improve with normal use. Given the unsatisfactory nature of the evidence, I can only find it reasonable to make a modest award of $50 a month for three years. Thus, the total amount that is fair under this head of damage and consistent with my view of the evidence is $1800.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Thus, the total amount awarded for cost of future care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882"/>
        <w:gridCol w:w="1569"/>
        <w:gridCol w:w="63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Gym pass</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$1,635</w:t>
            </w:r>
          </w:p>
        </w:tc>
        <w:tc>
          <w:tcPr>
            <w:tcW w:w="62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301"/>
        <w:gridCol w:w="1150"/>
        <w:gridCol w:w="63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Physiotherapy</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$300</w:t>
            </w:r>
          </w:p>
        </w:tc>
        <w:tc>
          <w:tcPr>
            <w:tcW w:w="62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1464"/>
        <w:gridCol w:w="63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Medication</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$1,800</w:t>
            </w:r>
          </w:p>
        </w:tc>
        <w:tc>
          <w:tcPr>
            <w:tcW w:w="62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778"/>
        <w:gridCol w:w="1673"/>
        <w:gridCol w:w="63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$3,735</w:t>
            </w:r>
          </w:p>
        </w:tc>
        <w:tc>
          <w:tcPr>
            <w:tcW w:w="62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In summary, the Court makes the following awards: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1568"/>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869"/>
        <w:gridCol w:w="1046"/>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homemaking capacity</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033"/>
        <w:gridCol w:w="2195"/>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$7,503.11</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1568"/>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$3,735</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$66,238.11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Court order interest is awarded on the award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The plaintiff seeks costs in accordance with the Tariff. Counsel may speak to costs if they are unable to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A.W. MacKENZIE A.C.J.S.C.</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2" style="position:absolute;z-index:2518824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77"/>
          <w:headerReference w:type="default" r:id="rId478"/>
          <w:footerReference w:type="even" r:id="rId479"/>
          <w:footerReference w:type="default" r:id="rId480"/>
          <w:headerReference w:type="first" r:id="rId481"/>
          <w:footerReference w:type="first" r:id="rId48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83" w:history="1">
        <w:r>
          <w:rPr>
            <w:rFonts w:ascii="arial" w:eastAsia="arial" w:hAnsi="arial" w:cs="arial"/>
            <w:b/>
            <w:bCs/>
            <w:i/>
            <w:color w:val="0077CC"/>
            <w:kern w:val="32"/>
            <w:sz w:val="28"/>
            <w:szCs w:val="32"/>
            <w:u w:val="single"/>
            <w:shd w:val="clear" w:color="auto" w:fill="FFFFFF"/>
            <w:lang w:val="en-US" w:eastAsia="en-US" w:bidi="ar-SA"/>
          </w:rPr>
          <w:t>E. (J.A.K.) [J.A.K.E.] v. British Columbia, [2002] B.C.J. No. 597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Loo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15 - 19 and 22 - 26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21,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C990173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597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418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 B.C.L.R. (4th) 107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112 A.C.W.S. (3d) 595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 (J.A.K.), plaintiff, and The Queen in Right of the Province of British Columbia, Eberhard Hiob, K. Rutczynski, A. Gregoire, Frederick Shaughnessy and Abraham Neufeld,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3" style="position:absolute;z-index:251682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5" w:name="Keywords_23"/>
      <w:bookmarkEnd w:id="155"/>
      <w:r>
        <w:rPr>
          <w:rFonts w:ascii="arial" w:eastAsia="arial" w:hAnsi="arial" w:cs="arial"/>
          <w:b/>
          <w:color w:val="000000"/>
          <w:sz w:val="20"/>
          <w:lang w:val="en-US" w:eastAsia="en-US" w:bidi="ar-SA"/>
        </w:rPr>
        <w:t xml:space="preserve">Crown — Torts by and against Crown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by Crown — Guardian and ward.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6" w:name="Case Summary_19"/>
            <w:bookmarkEnd w:id="15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action by J, a former ward of the Superintendent of Child Welfare, for damages from the Crown for physical and sexual assaults he suffered as a teenager thirty years earlier while in the foster care of ML. J was placed with ML, who lived in an isolated area that was inaccessible by telephone and inaccessible during the winter months. ML's suitability as a foster parent was never evaluated and his trailer was never approved as a foster home. Social workers and probation officers responsible for J did not maintain regular contact with him in order to monitor his placement with ML. During the 14 months that he lived with ML, J was seen by a social worker only once or twice. While he lived with ML, he alleged that he was repeatedly sexually and physically assaulted by him. After living with ML, J was no longer close to his family. As an adult, he experienced depression, nightmares, flashbacks, difficulty sleeping, alcohol problems, and problems with social and sexual relationships. He was in psychotherapy. A psychologist diagnosed that he suffer from an anxiety disorder and post traumatic stress disorder.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7" w:name="Holdings of Court_18"/>
            <w:bookmarkEnd w:id="157"/>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 was awarded $150,000 in general damages, including aggravating damages. He was repeatedly sexually assault by ML. The Superintendent failed in its duty to act in J's best interest, and to use special diligence in providing a suitable foster home for him. No steps were taken to determine whether ML's home would provide a secure and loving environment. J's placement with ML was not properly supervised. The sexual abuse resulted in J's psychological disorders. The impact of the abuse was moderate to severe. He was awarded $40,000 for past loss of earnings. There were times when J could have worked more but for the psychological effects of the abuse. J was also awarded $50,000 for future loss of income. There was a substantial possibility that J would not be able to return to work as a crane operator while he was in psychotherapy. He was awarded $23,000 for the cost of future care for psychotherapy.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8" w:name="Legislation Cited_19"/>
      <w:bookmarkEnd w:id="15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4" style="position:absolute;z-index:2517340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Juvenile Delinquents Act, R.S.B.C. 1952, c. 160, s.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Limitation Act, </w:t>
      </w:r>
      <w:hyperlink r:id="rId484" w:history="1">
        <w:r>
          <w:rPr>
            <w:rFonts w:ascii="arial" w:eastAsia="arial" w:hAnsi="arial" w:cs="arial"/>
            <w:i/>
            <w:color w:val="0077CC"/>
            <w:sz w:val="20"/>
            <w:u w:val="single"/>
            <w:shd w:val="clear" w:color="auto" w:fill="FFFFFF"/>
            <w:lang w:val="en-US" w:eastAsia="en-US" w:bidi="ar-SA"/>
          </w:rPr>
          <w:t>R.S.B.C. 1996, c. 299, s. 3</w:t>
        </w:r>
      </w:hyperlink>
      <w:r>
        <w:rPr>
          <w:rFonts w:ascii="arial" w:eastAsia="arial" w:hAnsi="arial" w:cs="arial"/>
          <w:color w:val="000000"/>
          <w:sz w:val="20"/>
          <w:lang w:val="en-US" w:eastAsia="en-US" w:bidi="ar-SA"/>
        </w:rPr>
        <w:t>(4).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Protection of Children Act, R.S.B.C. 1960, c. 303.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59" w:name="Counsel_23"/>
      <w:bookmarkEnd w:id="15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5" style="position:absolute;z-index:2517852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Ellis and S. Aldinger, for the plaintiff. R.J. Meyer,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0" w:name="Judgment_23"/>
      <w:bookmarkEnd w:id="160"/>
      <w:r>
        <w:pict>
          <v:line id="_x0000_s1146" style="position:absolute;z-index:25183641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1" w:name="LOO J."/>
            <w:bookmarkEnd w:id="161"/>
            <w:r>
              <w:rPr>
                <w:rFonts w:ascii="arial" w:eastAsia="arial" w:hAnsi="arial" w:cs="arial"/>
                <w:b/>
                <w:color w:val="000000"/>
                <w:sz w:val="30"/>
                <w:lang w:val="en-US" w:eastAsia="en-US" w:bidi="ar-SA"/>
              </w:rPr>
              <w:t>LOO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J., a former ward of the Superintendent of Child Welfare, claims damages from the Provincial Crown for physical and sexual assaults he suffered as a teenager while in the foster care of M.L. ("Mr. L.") between April 1970 and August 1971. Mr. L., a single man in his mid 30's, lived in a trailer in a remote location hundreds of miles away from J.'s family. Telephone communication was non-existent and the area was difficult to access during the winter months. Mr. L. died in November 1982.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the time of the alleged assaults, the defendants Eberhard Hiob, Kazimierz Rutczynski and Ann Gregoire were social workers. The defendant Abraham Neufeld was a probation officer. The defendants were employed by what was variously known during the years of 1968 to 1973 as the Department of Rehabilitation and Social Improvement, the Department of Social Welfare, or the Ministry of Social Services. This government office was responsible for childcare resources, juvenile probation services, and foster care homes pursuant to the provisions of the Protection of Children Act, R.S.B.C. 1960, c. 303.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By court order in December 1968, J. was made a ward of the Superintendent under s. 20 of the Juvenile Delinquents Act, R.S. 1952, c. 160; the duties of the Superintendent under the provisions of the Protection of Children Act therefore applied. It is well established that the duty of the Superintendent is to use special diligence in providing a suitable foster home for a child and to act in the best interest of the child. Responsibility for performance of that duty cannot be delegated: B. (K. L.) v. British Columbia </w:t>
      </w:r>
      <w:hyperlink r:id="rId485" w:history="1">
        <w:r>
          <w:rPr>
            <w:rFonts w:ascii="arial" w:eastAsia="arial" w:hAnsi="arial" w:cs="arial"/>
            <w:i/>
            <w:color w:val="0077CC"/>
            <w:sz w:val="20"/>
            <w:u w:val="single"/>
            <w:shd w:val="clear" w:color="auto" w:fill="FFFFFF"/>
            <w:lang w:val="en-US" w:eastAsia="en-US" w:bidi="ar-SA"/>
          </w:rPr>
          <w:t>(2001), 87 B.C.L.R. (3d) 52</w:t>
        </w:r>
      </w:hyperlink>
      <w:r>
        <w:rPr>
          <w:rFonts w:ascii="arial" w:eastAsia="arial" w:hAnsi="arial" w:cs="arial"/>
          <w:color w:val="000000"/>
          <w:sz w:val="20"/>
          <w:lang w:val="en-US" w:eastAsia="en-US" w:bidi="ar-SA"/>
        </w:rPr>
        <w:t xml:space="preserve"> (C.A.); </w:t>
      </w:r>
      <w:hyperlink r:id="rId485" w:history="1">
        <w:r>
          <w:rPr>
            <w:rFonts w:ascii="arial" w:eastAsia="arial" w:hAnsi="arial" w:cs="arial"/>
            <w:i/>
            <w:color w:val="0077CC"/>
            <w:sz w:val="20"/>
            <w:u w:val="single"/>
            <w:shd w:val="clear" w:color="auto" w:fill="FFFFFF"/>
            <w:lang w:val="en-US" w:eastAsia="en-US" w:bidi="ar-SA"/>
          </w:rPr>
          <w:t>2001 BCCA 221</w:t>
        </w:r>
      </w:hyperlink>
      <w:r>
        <w:rPr>
          <w:rFonts w:ascii="arial" w:eastAsia="arial" w:hAnsi="arial" w:cs="arial"/>
          <w:color w:val="000000"/>
          <w:sz w:val="20"/>
          <w:lang w:val="en-US" w:eastAsia="en-US" w:bidi="ar-SA"/>
        </w:rPr>
        <w:t xml:space="preserve"> at paras. 10 to 11; B. (M.) v. British Columbia </w:t>
      </w:r>
      <w:hyperlink r:id="rId486" w:history="1">
        <w:r>
          <w:rPr>
            <w:rFonts w:ascii="arial" w:eastAsia="arial" w:hAnsi="arial" w:cs="arial"/>
            <w:i/>
            <w:color w:val="0077CC"/>
            <w:sz w:val="20"/>
            <w:u w:val="single"/>
            <w:shd w:val="clear" w:color="auto" w:fill="FFFFFF"/>
            <w:lang w:val="en-US" w:eastAsia="en-US" w:bidi="ar-SA"/>
          </w:rPr>
          <w:t>(2001), 87 B.C.L.R. (3d) 12</w:t>
        </w:r>
      </w:hyperlink>
      <w:r>
        <w:rPr>
          <w:rFonts w:ascii="arial" w:eastAsia="arial" w:hAnsi="arial" w:cs="arial"/>
          <w:color w:val="000000"/>
          <w:sz w:val="20"/>
          <w:lang w:val="en-US" w:eastAsia="en-US" w:bidi="ar-SA"/>
        </w:rPr>
        <w:t xml:space="preserve"> (C.A.); </w:t>
      </w:r>
      <w:hyperlink r:id="rId486" w:history="1">
        <w:r>
          <w:rPr>
            <w:rFonts w:ascii="arial" w:eastAsia="arial" w:hAnsi="arial" w:cs="arial"/>
            <w:i/>
            <w:color w:val="0077CC"/>
            <w:sz w:val="20"/>
            <w:u w:val="single"/>
            <w:shd w:val="clear" w:color="auto" w:fill="FFFFFF"/>
            <w:lang w:val="en-US" w:eastAsia="en-US" w:bidi="ar-SA"/>
          </w:rPr>
          <w:t>2001 BCCA 227</w:t>
        </w:r>
      </w:hyperlink>
      <w:r>
        <w:rPr>
          <w:rFonts w:ascii="arial" w:eastAsia="arial" w:hAnsi="arial" w:cs="arial"/>
          <w:color w:val="000000"/>
          <w:sz w:val="20"/>
          <w:lang w:val="en-US" w:eastAsia="en-US" w:bidi="ar-SA"/>
        </w:rPr>
        <w:t xml:space="preserve"> at paras. 60 and 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the conclusion of the evidence, the parties remained unable to agree on the issues. However, the primary arguments advanced by the defendants were (1) J.'s credibility; and (2) that his placement with Mr. L. was a result of a court order and not the result of any decision by the Superintendent.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J. was born on August 19, 1952 in [town name omitted], B.C. J.'s mother had a very close, loving relationship with her children, but J.'s father was cruel and abusive. There were happy times when his father would take the family camping, hunting, fishing, or to sporting events, but the good times were overshadowed by the bad times. Mr. E. physically abused his wife and regularly assaulted J. and his brothers with his hands, his fists, or whatever was available: a belt, hoe, rake, or meat hook. He often locked the boys downstairs and forced them to kneel on rice for hours at a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There is a suggestion that J. had a learning disability. He did not do particularly well at school academically, but he was on the school swim team and excelled at track and field, baseball, hockey, soccer, and boxing. He enjoyed drawing and thought about one day becoming a design engineer.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December 1968, when he was 16, J. took his father's truck so he could drive a friend in need to the hospital. His father laid a charge of theft. It was J.'s first encounter with the law, and he pled guilty. On December 12, 1968, in accordance with s. 20 of the Juvenile Delinquents Act, the court ordered J. a ward of the Superintendent and placed him on indefinite probation. He was also ordered to stay away from [home town name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J. was placed in a foster home. In January 1969 he quit school in grade nine. In August 1969 he stole money from his foster parents and was returned to his parents, although he remained a ward of the Superintendent and on indefinite probation.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February 1970 J. again took his father's truck without his consent. This time, his father severely beat him with a three quarter inch pipe and again laid a charge of theft. Again, J. pled guilty to the 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 "Court Report on [J.]" dated April 2, 1970, signed by Frederick Shaughnessy, a social worker in [name of town omitted],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2.4.70. Mr. Neufeld and I have met with [Mr. L.] and discussed his planning for [J.]. Mr. [L.] would like to provide [J.] with a home in Mica Creek, ninety miles from [name of town omitted]. He has intentions of getting [J.] on an apprenticeship training program for heavy and light-duty mechanics. Mr. Neufeld and I feel that Mr. [L.'s] plans for [J.] are sound. With regard to psychiatric consultation, the nearest Mental Health centre to [name of town omitted] is Vernon, which has a Mental Health team travelling to [name of town omitted] once a month. We do not feel that [J.] could benefit much from such sporadic contact. </w:t>
      </w:r>
      <w:r>
        <w:rPr>
          <w:rFonts w:ascii="arial" w:eastAsia="arial" w:hAnsi="arial" w:cs="arial"/>
          <w:color w:val="000000"/>
          <w:sz w:val="20"/>
          <w:u w:val="single"/>
          <w:lang w:val="en-US" w:eastAsia="en-US" w:bidi="ar-SA"/>
        </w:rPr>
        <w:t>We recommend placement of [J.] with [Mr. L.], with the Department of Social Welfare in [name of town omitted] providing supervision.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Efforts to locate Mr. Shaughnessy have been unsuccessful and this action has been discontinued against him. However, Abraham Neufeld testified. Considering his caseload of approximately 120 cases at the time, I was impressed by Mr. Neufeld's memory and his commitment to 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April 1970 Mr. Neufeld had recently completed his in-service training as a probation officer and was posted to Cranbrook. Every week he made the one hour drive to visit J. and his younger brother G.E. who, like J., had been involved in a number of minor "delinquencies". Mr. Neufeld also visited the boys' parents. According to Mr. Neufeld, the family was under severe stress from financial pressures, marital discord, and the father's angry outbursts.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Following J.'s second conviction of theft, Mr. Neufeld explored the limited options available. It was, after all, unusual for a father to bring criminal charges against his son, and there were few resources available in the area for juvenile delinquents. Mr. Neufeld contacted a residential facility for youth, but they could not accommodate J. for six to nine months. Another option was to raise J. to adult court. It was J.'s father who suggested that a friend of his, Mr. L., could look after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Neufeld recalls being in court with J. on April 2, 1970 and the name Mr. L., but he does not recall meeting or interviewing Mr. L. In any event, the responsibility for determining Mr. L.'s suitability as a foster parent, and the suitability of his home as a foster home, fell to the social workers and not the probation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By a court order of April 2, 1970, J. was placed on probation for two years with the following conditions:</w:t>
      </w:r>
      <w:r>
        <w:rPr>
          <w:rFonts w:ascii="arial" w:eastAsia="arial" w:hAnsi="arial" w:cs="arial"/>
          <w:sz w:val="20"/>
          <w:lang w:val="en-US" w:eastAsia="en-US" w:bidi="ar-SA"/>
        </w:rPr>
        <w:cr/>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"proceed to Mica Creek, B.C. to the residence of" Mr. L.;</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carry out all instructions given" by Mr. L; and</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not return [home] without specific permission from the Social Worker at Revelstoke, B.C. providing supervision".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J. knew B.L. and his brother K.L. from school. Apparently, the brothers' grandfather and Mr. L. were brothers. J. had seen Mr. L. at B.L. and K.L.'s home a couple of times, but otherwise did not know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April 7, 1970 J. went to live with Mr. L. in his two-bedroom trailer in the small community of Boat Encampment, 13 miles north of Mica Creek over a gravel road and 113 miles north of Revelstoke.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Whenever a foster child was placed or moved, a Placement Slip or C.W. 39 form was completed by the social worker. A Placement Slip completed by Mr. Shaughnessy on April 14, 1970 states the reason for J.'s placement with Mr. L. was "...to begin apprenticeship program." In the space provided on the form for the type of placement, there are a number of boxes, variously noted as "Paid Foster Home", "Subsidized Home", "Commercial Boarding Home", "Free Home", "Holiday Home", "Pays Own Board", "Institution", and "Adoption Home". Mr. Shaughnessy placed a tick mark beside "Commercial Boarding Home". J.'s file was then transferred to the social worker's office in Revelstoke.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 few days following April 2, 1970, Mr. Neufeld was transferred and had no further contact with J. It seems that the probation officer who replaced Mr. Neufeld was a person by the name of Larry Larson, but efforts to locate him have been unsuccessful.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According to Mr. Neufeld, the social worker in Cranbrook should have arranged for the social worker in Revelstoke to evaluate Mr. L.'s suitability as a foster parent. That was never done. The social workers and probation officers responsible for J. should have had regular contact with him to monitor his placement with Mr. L. That was never done. In his examination for discovery Mr. Neufeld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One of the things that appears to have happened here is that [J.] was given into the care of Mr. [L.] on the understanding that he would be enrolled in an apprenticeship program and he never was.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read that, yes. I have no personal knowledge of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Isn't that something that one would expect that the subsequent probation officer would have some involvement with?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expectation would be that both the social workers and the probation officers would have had close contact with him in the new placement to monitor progress, to find out what's going on, to visit him on a regular basis.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do you mean by close contact?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what I meant by close contact in [name of town omitted] is that I knew these kids exceptionally well. When I went away on two weeks' vacation, I worried that they might be at loose ends. And they were almost like family, part of my caseload.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When I say close contact, when you go into [name of town omitted] you would either see them on the street, stop and chat them up, have a Coke with them or whatever. There was a lot of interaction. It would be a relationship is [sic] established with your client base. And that's what I consider close contact, not just the once a month reporting, signing in and leaving. There was a relationship established between the individual and the probation officer and the social worker.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Indeed, the Superintendent's internal Policy and Procedures Manual at the time, stated that once a child came under the Superintendent's care, the social worker's responsibility was to find, study, and evaluate foster homes; to ensure that a foster home provided a secure, loving home situation; to place the child in the most suitable home; and to supervise the child in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What should have happened never happened. Mr. L. was never approved as a foster parent, and his trailer was never approved as a foster home. The entire fourteen months J. lived with Mr. L., he was seen by a social worker only twice.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Most of the people who lived in Boat Encampment were involved in the construction of the Mica Dam project. Boat Encampment had a gas station, a lodge, and a trailer park where most of its residents lived. Mr. L.'s trailer was down by the river about 300 yards away from the other trailers. The trailer had no telephone. It seems that the only means of telecommunication to or from Boat Encampment was through a radiophone at the lodge or the gas station. There was no private telephone line in Boat Encampment. Worse still, Mica Creek received in the range of 500 inches of snow during the winter months, and during those months work on the dam project shut down and access to Boat Encampment became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L. drove a truck on the Mica project. He was a large man at just under six feet tall and 300 pounds. When he was at work, J. generally remained in the trailer, and did the housework and the cooking. No steps were ever taken to enrol J. in school or in an apprenticeship program. Instead, he became Mr. L.'s sex slave.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abuse began about the third day after J. moved into the trailer. Mr. L. went into J.'s bedroom and demanded sex. When he refused, Mr. L. grabbed his 303-calibre rifle, beat J.'s head, shoulders, and back with the rifle butt, dragged him to his bedroom, had forced anal sex, and exclaimed "you're mine now boy". It was just the beginning.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 couple of days later, Mr. L. again entered J.'s bedroom, dragged him by the hair into his bedroom and performed anal sex on him. A few days after that incident, Mr. L. pointed a loaded 303 rifle at J.'s head, forced the barrel into his mouth so that the sight (the high bumps at the end of the rifle) tore the roof of his mouth, and forced J. to perform oral sex 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L. sexually assaulted J. two to three times a week. Once when J. refused to accompany Mr. L. into his bedroom, he was whipped over and over again with a bundle of fishing rods, until the rods broke. On several occasions Mr. L. pointed his rifle at J.'s head, and demanded oral sex. When J. refused his demands, Mr. L. bent J.'s arms behind his back in a wrist lock, forced him down on his knees, and twisted his wrists until he gave in. Once, he bound J.'s hands and legs behind his back and sat him on a hot burner. The scar marks from the burn are still visible.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One evening J. waited until he thought Mr. L. was asleep. He crept into the kitchen and pulled a butcher knife out of a drawer. Mr. L. must have heard because he "blew right through" his bedroom door, knocking it off its hinges, raced into the kitchen and beat J. up. The next day, he beat him up again. When J. ran to the toilet to throw up, Mr. L. came in after him, forced his head down beside the toilet, and performed anal sex on him. As Mr. L. withdrew his penis, J. defecated on it. Mr. L. forced him to lick his penis clean but when J. tried to bite it, he grabbed his head and smashed it against the bathtub. The next thing J. remembers is a yellow light and then waking up in a pool of blood in the bathtub with K.L. and B.L. saying "he's still alive".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Once J. tried to run away on a dirt bike, but he ran out of gas on the way to Golden. He was pushing the bike when Mr. L. drove up and stopped. Once out of this truck, he started whipping J. with willow branches until loggers driving by forced him to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After about three months of abuse, J. stopped fighting. He learned that by being submissive, Mr. L. did not beat him. When Mr. L. wanted J. in his bed, J. went. Mr. L. would fondle J.'s nipples, tell him he loved him, and have J. fondle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Eberhard Hiob had recently become a social worker when he was posted to Revelstoke in November 1969. His geographical area of responsibility included the area around Mica Creek. His supervisor, Kazimierz Rutczynski, worked in Salmon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By the time J.'s file was transferred to Mr. Hiob, J. was already living in Boat Encampment. On May 25, 1970 Mr. Hiob completed a Placement Slip showing that Mr. L. was to be paid the regular maintenance rate and a clothing allowance for looking after J. Mr. Hiob also noted the reason for J.'s move was because he was "on an apprenticeship programme". Mr. Hiob also ticked off the box indicating that the placement was a "Commercial Boarding Home". I accept Mr. Hiob's evidence and find that he did so, not because Mr. L.'s trailer was a commercial boarding home, but because Mr. L. had never been approved as a foster parent. It is clear from the evidence that at all times, the various Departments or Ministries considered J. a foster child and Mr. L. his foster 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Hiob was never made aware of the April 2, 1970 court order, or that under the terms of the court order he was responsible for supervising J. Mr. Hiob freely admits that placing J. with Mr. L. was "very unusual", because Mr. L. was not an approved foster parent and his trailer was not an approved foster home. However, Mr. Hiob did not take any steps to satisfy himself that Mr. L. was a suitable foster parent, because as far as he was concerned, Mr. L. had been approved by Mr. Shaughnessy.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It may be that Mr. Hiob's supervisor, Mr. Rutczynski, had some information that Mr. Hiob was not aware of, but we will never know. Mr. Rutczynski is now 85 years old and mentally incapable of testifying.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Hiob kept a record of his two visits to J. He went to Mica Creek on May 31, 1970, but he could not find J. There was no point telephoning ahead, because there was no telephone. Mr. Hiob did meet J. and Mr. L. on June 23 and September 25, 1970. Mr. Hiob's notes of those two visits show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23.6.70: Visited [J.] and Mr. [L.] at Boat Encampment on June 22nd, 1970.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[L.] seems to be a very cordial type of person who appears to have a sincere interest in [J.'s] welfare. He stated that [J.] has not as yet started on his apprenticeship program but plans are still being made. They will contact us as soon as the final word concerning it is received. In the meantime, [J.] is fishing and more or less relaxing and trying to get a part-time job at the garage which he has not been able to do so far. Otherwise, everything appears to be satisfactory. Mr. [L.] is taking a real interest in [J.] and stated that he is happy with [J.'s] progress.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"E. Hiob"</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26.6.70. E. Hiob/gn</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25.9.70: We visited Mr. [L.] and [J.] on September 21st, 1970 at Boat Encampment. We were informed by Mr. [L.] that [J.] was slowly reverting to his old self again, since the arrival of [name blanked out] from [name of town omitted]. He did want another boy placed in the home to keep [J.] company so that he would have someone his own age there, but felt that since [J.] and [name blanked out] knew each other well from [name of town omitted], this has had a detrimental effect in the home. He is attempting and thinks that it is pretty certain that he can [J.] [sic] on at the Mica Dam Project. He will let us know as soon as this happens.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"E. Hiob"</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30.9.70. E. Hiob/gn</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While Mr. Hiob's notes refer to "we" and "us", Mr. Hiob made his visits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J. recalls only one visit by a social worker, but cannot recall whether it was Mr. Hiob. J. tried to tell the social worker what Mr. L. was doing to him, but apparently without much success. Besides, the social worker did not seem to believe him and Mr. L. had threatened to kill him if he told anyone.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Dealing with his visit with J. on September 25, 1970, Mr. Hiob gave this evidence on his examination for discovery:</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Well, this is five months after [J.] has come to the [name of town omitted] area on the basis that he was going to live with Mr. [L.] and be in an apprenticeship program as you noted in your placement slip, and it would appear that he's still not in the apprenticeship program?</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Okay, what you have to understand is that Mica Creek received something like 500 inches of snow a year, the winter, and they would not start -- like on the camp itself or the work on the dam would be after the first snowfall, it would close down until most of the snow was gone, and that was, you know, late in spring.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Mr. [L.] apparently tells you that he is trying and thinks it's very certain that he can get [J.] on at the Mica Dam project, but your evidence is that that wouldn't be of very much use by late September because by the time the first snowfall came which would probably be what, October, November, the whole place shuts down in any event; is that right?</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winter months it closes down, it closed down, yes.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 your understanding is when you visited in September of 1970 that [J.] wasn't going to school?</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That's correct.</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he wasn't working and hadn't been working?</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That's correct.</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what Mr. [L.] had done was to procure some other boy from [name of town omitted]?</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That's what I understand.</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were you consulted on that placement?</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Absolutely not.</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that boy a child in care?</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don't think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Hiob knew that Mr. L. had three other young boys living with him and he had a number of concerns: Mr. L. had not notified the Superintendent that he had four young boys living with him; Mr. L. lived in a very isolated area that was too far away for Mr. Hiob to properly supervise; there was no home supervision when Mr. L. was away at work; Mr. L's trailer was not an approved foster home; and it was in the boys' best interests that they be returned to the area of their home town. It was, to use Mr. Hiob's words, an "unwholesome arrangement". As a result of his concerns, he wrote the following letter dated February 12, 1971 to Mr. Yzerman, the District Supervisor:</w:t>
      </w:r>
      <w:r>
        <w:rPr>
          <w:rFonts w:ascii="arial" w:eastAsia="arial" w:hAnsi="arial" w:cs="arial"/>
          <w:sz w:val="20"/>
          <w:lang w:val="en-US" w:eastAsia="en-US" w:bidi="ar-SA"/>
        </w:rPr>
        <w:cr/>
      </w: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P.O. Box 462 Revelstoke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R.W. Yzerman, District Supervisor,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Dept. of Rehabilitation &amp; Social Improvement,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Court House,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CRANBROOK, British Columbia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February 12th 71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 [G.E.]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February 4th, 1971, Mr. [L.] of Mica Creek area brought the above-named child to our office requesting that we give financial assistance to him for looking after [G.E.]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 is the third child taken into [Mr. L.'s] home within the last six months. All were taken into the home without our regional or local office receiving prior notification of their coming. We realize that Mr. [L.] probably took things into his own hands and took these boys into his home without giving your office prior notification.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would again reiterate our stand that it is in the best interest of the boys to be returned to [their home town] area for the following reasons: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Boat Encampment, a trailer camp, fourteen miles north of Mica Creek is a very isolated area mainly inhabited by Mica Dam construction workers and loggers. Within a month's time, Mr. [L.] will be working full time at the dam again and there will be no supervision in the home during the day.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[L.'s] home is not an approved foster home. Its only occupants are Mr. [L.] and the boys. This, we feel, could be an unwholesome arrangement. We have met Mr. [L.] only about six times and do not know him well.</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Our Revelstoke Office is too far removed from Boat Encampment (200 miles round trip) to have any proper supervision of any juveniles placed there.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nothing against Mr. [L.] personally, but feel that it would be in the best interest of our Department and the boys that they return to your area.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would appreciate any suggestions which would help us in this situation.</w:t>
      </w:r>
    </w:p>
    <w:p>
      <w:pPr>
        <w:spacing w:before="120"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Eberhard Hiob Social Worker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 Rutczynski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District Supervisor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cc: Regional Director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Vernon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EH/gn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No one in the Department followed up with Mr. Hiob's concerns over the unwholesome arrangement; and neither did Mr. Hiob. In June 1981, J. and another boy left Mr. L.'s, hitchhiked, and arrived at Mr. Hiob's office on June 18, 1971. Mr. Hiob's records show the following entry for that date: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21.6.71: J. came to our Revelstoke Office June 18th, 1971 when the worker was out.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C.W. 39 was made. We are showing [J.] returning home to parents. We are not certain as to whether this is the case. [J.] will turn 19 years of age on August 19th, 1971 when he would automatically be discharged.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defence contends that J. is not a credible witness; that his story is inconsistent; that each time he tells the story it is somewhat different; and that it would have been impossible for him to be treated in the way he complains he was treated, with others present. The defence also argues that J.'s memory is not reliable because he abused alcohol and drugs for some time and he has had a number of concussions from boxing and a car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recognize that credibility is an important issue in this case because of the serious nature of the allegations, the length of time that has past, and the fact that Mr. L. is no longer alive. However, for a number of reasons, some of which follow, I accept J.'s evidence and find that he was sexually abused by Mr. 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Within six to eight weeks of staying with Mr. L., J.'s personality took a dramatic turn. J.'s older brother died on May 17, 1970. Mr. L. drove J. home so that he could attend the funeral service, which I assume took place within a couple of weeks of the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According to G.E. and M.H., J.'s younger brother and older sister, J. had changed. Despite being questioned by G.E. about what was happening in J.'s new life in Boat Encampment, J. was unwilling to talk about anything. According to M.H., J. just sat there with his head hanging down. Although he had been away for just two months or so, he was not the J. they were used to. Where he used to be fun loving and outgoing, he was now quiet and withdrawn.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Something occurred during the funeral that led G.E. to conclude that he needed to get his brother away from Mr. L. After reporting to the RCMP that he suspected Mr. L. was "gay", G.E. hitchhiked to Boat Encampment twice, and stayed in Mr. L.'s trailer to "gather evidence" for the police. He saw Mr. L. chasing and beating J. with a fishing rod, he saw Mr. L. drag J. to his bedroom, and he saw Mr. L. beat J. so that he had bruises on his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J.T., a 68 year old retired snowmobile manufacturer sales representative, knew Mr. L. through snowmobile racing. It was something they both enjoyed. Mr. L. visited J.T. and his family in the Okanagan once or twice a month during snowmobiling season. J.T. also visited Mr. L. two or three times. On one of his visits to J.T.'s, Mr. L. brought along J. and two other boys he described as being "awarded by the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According to J.T., Mr. L. verbally abused J., and screamed and hollered at him for no apparent reason. He described J. then as a quiet young boy, who was very timid and "crouched in fear" when Mr. L. was around.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two or three occasions, J.T. saw that J.'s arms were black and blue with bruises. When he asked J. how he got "all banged up", Mr. L. replied and said that J. had fallen down. Another time, J. had a black eye, and Mr. L. said that he had walked into a door. While he never saw Mr. L. physically abuse J., J.T. was suspicious about the reasons Mr. L. gave for J.'s various bruises.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Another time, J.T. was staying in a motel in [name of town omitted], as was Mr. L. and J. They were all on their way to a snowmobile race. J.T. dropped in on Mr. L.'s room just as he had gone into the bathroom to take pictures of J. in the shower.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Four men (G.E., B.L., D.F. and R.L.), who were teenagers when they lived with Mr. L. at or about the same time as J., testified that they were sexually assaulted by Mr. L. It was plainly obvious that two of the men testified with great reluctance, if not with outright fear. Counsel for the defendant objected to this evidence on the basis that it was similar fact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Immediately after Mr. L. forced G.E. to have sex with him, he told him that he had "had" J. as well. Counsel for the plaintiff contends that this statement is incomprehensible absent the act which preceded it, and is therefore relevant to Mr. L.'s statement about having "had"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B.L. testified that he shared a room with two beds with Mr. L. and two other boys, and that Mr. L. forced him to have sex, and if he resisted, Mr. L. put him in a wrist lock, and a head lock or choke hold. D.F. testified that Mr. L. raped him. Both B.L. and D.F. testified that they heard moans, mumbles or whispers coming from Mr. L.'s bed whenever he had another boy in bed with him. R.L. testified that Mr. L. sucked his penis.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contends that the evidence is relevant to the issue of what information those responsible for J.'s placement would have learned about Mr. L. on reasonable enquiry. However, in my view, the evidence is not relevant to the issues I have to decide. Furthermore, I do not know whether those responsible for placement routinely asked other teenagers living with a proposed foster parent, what they thought of the parent; nor do I know, and cannot hazard a guess, whether the teenagers would have revealed anything about the abuse. I am satisfied that without the evidence, I am able to conclude that J. is a credible witness and Mr. L. forced him to have sex against his will.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While J.'s evidence is somewhat fragmented, he freely admits that the details of what occurred are scrambled and that the facts will change. At times, he said, details "pop" into his head. This is consistent with the evidence of Dr. Mary Korpach, a psychologist with expertise in the effects of childhood sexual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According to Dr. Korpach, J. first recalls the incidents through sensory channels, and then applies a verbal narrative to that experience. The intense physical and emotional pain, and the sense of helplessness J. experienced at the time of the abuse, interferes with his temporal recollection of events. It is difficult for him to organize his memories in a clear and coherent way. Instead, fragments in his mind connect with other fragments in his mind, so that the resulting narrative may be incoherent or inconsistent. Indeed, J. candidly admits that what he says took place may be inconsistent. He said at numerous times throughout his evidence that he has tried to block out the memories, but they return as flashbacks.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conclude that the Superintendent failed in its duty to act in J.'s best interest, and to use special diligence in providing a suitable foster home for him:</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L. was never approved as a foster parent, his home was not an approved foster home, and no adequate steps were taken to evaluate his suitability as a foster parent;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adequate steps were taken to determine whether Mr. L.'s home would provide a secure, loving environment;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L.'s home was in an isolated location that was inaccessible by telephone, and inaccessible during the winter months. It was impossible for the social worker to properly supervise J.'s placement;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home supervision while Mr. L. was away at work;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J.'s placement with Mr. L. was not properly supervised; two visits in 14 months is not adequate supervision.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do not accept the defence contention that many of J.'s difficulties are largely caused or contributed to by the abuse by his father. Neither Dr. Lingley nor Dr. Korpach share that view, and the defence called no evidence to support its contention.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Korpach interviewed J. extensively in January 2001, and like Dr. Lingley, conducted various psychological tests. In her report dated August 20, 2001, Dr. Korpach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summary, the sexual abuse allegedly perpetrated by Mr. [L.] upon [J.] did not occur at a relatively young age, and was therefore unlikely to cause significant damage to [J.'s] underlying personality core. It is likely that his early experiences with his father's physical abuse, reported alcoholism, and domestic violence had more of a devastating effect upon him in this area. From reports, it appears that this early violence contributed to [J.] behaving in a somewhat socially irresponsible manner, for example, engaging in truancy, and legal infractions. It also appears that this earlier trauma affected his capacity to attend fully to school, and that he lost interest in this at an early age. Consequently, it is my opinion that </w:t>
      </w:r>
      <w:r>
        <w:rPr>
          <w:rFonts w:ascii="arial" w:eastAsia="arial" w:hAnsi="arial" w:cs="arial"/>
          <w:color w:val="000000"/>
          <w:sz w:val="20"/>
          <w:u w:val="single"/>
          <w:lang w:val="en-US" w:eastAsia="en-US" w:bidi="ar-SA"/>
        </w:rPr>
        <w:t>the physical abuse, domestic violence, and alcohol abuse by his father has contributed to his educational difficulties, tendency to be interpersonally reserved and non-trusting of others, and tendency over the years to engage in physical altercations. It is my opinion that the later sexual abuse by Mr. [L.] likely had a greater effect upon [J.'s] occupational choices, sexual and intimate relationship functioning, psychological depression, Post Traumatic Stress Symptoms, and Anxiety</w:t>
      </w:r>
      <w:r>
        <w:rPr>
          <w:rFonts w:ascii="arial" w:eastAsia="arial" w:hAnsi="arial" w:cs="arial"/>
          <w:color w:val="000000"/>
          <w:sz w:val="20"/>
          <w:lang w:val="en-US" w:eastAsia="en-US" w:bidi="ar-SA"/>
        </w:rPr>
        <w: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also do not accept the defence contention that J. was placed with Mr. L. as a result of a court order, and not as a result of any decision by the Superintendent. In April 1970, J. was already a ward of the Superintendent, who recommended to the court that J. be placed with Mr. L. The court accepted the recommendation. It is the duty of the Superintendent to use special diligence in providing a suitable foster home; it is the duty of the Superintendent to act in the best interest of the child. That duty is not absolved simply because the recommended placement becomes a term of a court order. Surely, a court cannot be expected to interview Mr. L.; conduct a home study to ensure that the placement is in the child's best interest, and to supervise the placement. Just as the Crown cannot avoid responsibility for the wrongful acts of a foster parent by maintaining that the foster parent is an independent contractor: B. (M.) v. British Columbia, supra, at para. 39; the Crown cannot avoid responsibility by maintaining that the placement was the result of a court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 also do not accept the limitation defence advanced in relation to the physical assaults suffered by J. The physical assaults were part of the sexual assaults, and therefore s. 3(4) of the Limitation Act, </w:t>
      </w:r>
      <w:r>
        <w:rPr>
          <w:rFonts w:ascii="arial" w:eastAsia="arial" w:hAnsi="arial" w:cs="arial"/>
          <w:i/>
          <w:color w:val="000000"/>
          <w:sz w:val="20"/>
          <w:lang w:val="en-US" w:eastAsia="en-US" w:bidi="ar-SA"/>
        </w:rPr>
        <w:t>R.S.B.C. 1996, c. 299</w:t>
      </w:r>
      <w:r>
        <w:rPr>
          <w:rFonts w:ascii="arial" w:eastAsia="arial" w:hAnsi="arial" w:cs="arial"/>
          <w:color w:val="000000"/>
          <w:sz w:val="20"/>
          <w:lang w:val="en-US" w:eastAsia="en-US" w:bidi="ar-SA"/>
        </w:rPr>
        <w:t xml:space="preserve"> applies. Mr. L. physically assaulted and overpowered J. so that he could have sex with him. A sexual assault is not so narrowly construed that the physical act of sex is considered to be a separate incident from the physical assaults inflicted to force non-consensual sexual demands: B. (K.L.) v. British Columbia, supra, at para. 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Lastly, I do not accept the contention that defendants should be absolved of liability because there were few resources available for juvenile delinquents in and around where J. lived. That is no excuse for failing to investigate Mr. L.'s suitability as a foster parent; no excuse for sending J. to an isolated location, a 200 mile round trip from the nearest social worker; no excuse for sending him to a home that was without a telephone and almost impossible to reach during the winter months; and no excuse for sending him to an unapproved foster parent in an unapproved foster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EFFECTS OF THE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J.'s experience at the hands of Mr. L. left him a changed and troubled person. For the first six months after leaving Mr. L.'s, he lived with his grandparents and worked as a labourer. He avoided his former friends, had little social life, and started drinking.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J. then worked six years for a mining company in the Kootenays. He left after his mother died and he returned to help his father for a couple of months. They got into a fight and his father charged him with assault. Once again, J. pleaded guilty to the charge and was fined $250. By this time, J. was drinking heavily and into drugs, including LSD, MDA, marijuana and hashish. He describes himself then, and for most of his life, as "numb" and trying to forget about the abuse. He never had sex again with another man, but found it difficult to have a relationship with a woman.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J. worked at various labouring jobs and spent 18 months apprenticing as a crane operator. The evidence is not entirely clear, but J. appears to have become a crane operator around 1981 when he was 29 years old. Since then he has worked as a crane operator in various projects throughout the province, including a town in northern British Columbia, where he lived for seven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Between the ages of 19 to 26, he had only two brief relationships with women, the longer lasting only six months. The first time J. mentioned his past, was in 1986 when he started dating R.T., his first serious relationship with a woman. It lasted only a few months, until September 1986 when R.T. realized there was an angry side to J. that frightened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However, it was during his relationship with R.T. that J. began drinking less and started thinking about settling down. He bought a mobile home in northern British Columbia, started working with Search and Rescue, refereeing minor hockey, and jogging. It all ended when his relationship with R.T. ended and J. moved to the Lower Mainland, leaving the bank to seize his mobile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the Lower Mainland J. fell into a deep depression and experienced more nightmares and flashbacks. He worked just enough to survive. He had anxiety attacks when he came into contact with people, and became reclusive. He continues to suffer from stress lesions, and has difficulty sleeping.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accept the evidence of M.H., J.'s older sister, that there is a marked difference between the J. who left to live with Mr. L., and the J. who returned. Before, he was the quiet brother, the peacemaker, and close to his family. After living with Mr. L., J. was aggressive, angry, foul-mouthed, and wanted nothing to do with his family. His family had to reach out to him in order to contact him and when they did, he backed away. For close to 20 years, J. never went home. It is only in the last five years, likely as a result of counselling, that J. has started to see his family. While he still has bouts of aggression, he is much more mellow.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Around 1995 G.E. visited J. and they started talking about Mr. L. G.E., on the advice of his psychiatrist, read a book called Courage To Heal. He encouraged J. to read it because he thought it might help with his anger and depression. J. started reading the book, he could not finish it, but he realized for the first time that he needed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 visit to a chiropractor for back injuries from a car accident started J. on his road to recovery. Discussions with the chiropractor led him to acupuncture treatments which relieved much of his depression then to a lawyer who led him to a counselling psychologist, Dr. David Lingley.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J.'s first of 46 one hour sessions with Dr. Lingley began in December 1997. J. describes the experience of talking about the abuse as being in "kind of a bubble"; "like your head is full of pressure". Dr. Lingley described J. during some of the sessions as quite upset, anxious, and visibly shaken. At times, just talking about his experiences caused so much emotional and physical pain that J. would be sobbing and gasping for breath, doubled over in pain as if he had been kicked in the stomach, and unable to continue with the 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am satisfied from the evidence that the sexual abuse has resulted in J.'s psychological disorders: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While he experiences some minor distress with events associated with physical abuse by his father, the majority of his symptoms appear to stem from the sense of being physically violated by another male. His symptoms in this area include guilt, self-loathing, severe depression, suicidal ideation, sleep disturbance, weight gain, somatization (a tendency to internalize psychological symptoms and to develop physical symptoms), fear of and avoidance of intimacy, sexual dysfunction, and irritability.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[J.] maintains a psychological disorder composed of rather complex symptoms. He appears to manifest an Anxiety Disorder and a Post Traumatic Stress Disorder although these may overlap somewhat. ... He continues to manifest significant dysphoria, which would likely take the form of a diagnosable Depressive Disorder. He also appears to manifest a Personality Disorder, composed of some characteristics which have likely seminated from his father's abuse, and other characteristics which have likely had their origins in the abuse by Mr. [L.]. The latter include a tendency to be self-defeating, present himself as worthless, his constricted affect, his tendency to view the world pessimistically and in a dispirited fashion, and tendency to be quite self-effacing and debasing.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Throughout the years, J. has had a number of accidents. I am satisfied, based on the evidence of Dr. Korpach, that some of the accidents were likely caused by flashbacks of the sexual assaults. The flashbacks cause him to lose concentration momentarily.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It was most likely a flashback that resulted in J. crushing his hand while operating a crane in August 1998. J. returned to the Lower Mainland and spent seven months in rehabilitation. During this time he returned to therapy with Dr. Lingley. After his hand recovered, J. found work in [name of town omitted], Alberta, and stopped seeing Dr. Lingley.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J. benefited from his sessions with Dr. Lingley. Over time, he found he was no longer angry at the whole world, his anxiety lessened, and he began thinking about moving ahead with his life. He wants to return to counselling, but cannot afford it, and there is none available in the small town where he now lives.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Lingley said J. needs a further four to six years of counselling. Dr. Korpach at trial said he needs a further four to six years of treatment although in her report she stated that he requires approximately two years of weekly, intensive psychotherapy, preferably with Dr. Lingley. If not with Dr. Lingley, then with another therapist, in which case the therapy should be extended a further one year in order to develop rapport and trust. I do not think the views of Dr. Lingley or Dr. Korpach contradict each other. They suggest, and I accept, that J. needs intensive therapy for approximately two or three years (depending on whether it is with Dr. Lingley or someone else) and after that, he will need individual counselling from time to time in the following years. He will also need couple's counselling in order to maintain any intimate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J. worked in [name of town omitted] until November 2000 when he injured his back at work. Since then, he has been in rehabilitation, and no decision has been made by Workers' Compensation whether he can return to work as a crane operator or whether he will have to retrain for another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December 1999 J. started a relationship with D.B. In August 2000 they purchased a home together although it is doubtful that the relationship will last. J. emotionally withdraws and will not communicate for two to three days. Their sexual relationship is troubled because he would prefer not to have sex at all. He places restrictions on where and how he can be touched; otherwise he "freezes" or breaks down and cries.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 has satisfied me on a balance of probabilities, that as a result of the abuse at the hands of Mr. L. he suffers from a psychological disorder composed of complex symptoms resulting from a depressive disorder, anxiety disorder, borderline personality disorder, and post-traumatic stress disorder. I accept that the impact of the abuse has been moderate to severe. In terms of sexual dysfunction, his condition is severe. For more than 30 years, or all of his adult life, J. has been unable to enjoy sexual intimacy and his interpersonal relationships have been marred by conflict.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While I accept Dr. Korpach's opinion that J.'s occupational functioning has been significantly impaired by the abuse, I do not agree that his academic functioning has similarly been impacted. J. had educational difficulties before he met Mr. L. While J. may have entertained thoughts about becoming a design engineer, I do not accept his failure to achieve that goal as in any way attributable to Mr. L. I accept, however, that but for his depression and personality disorder caused by the abuse, J. would have worked more hours in his working life rather than just enough to get 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Counsel cited many cases that serve as a guide to the assessment of general damages, including aggravated damages, in a case such as this: Y.(S.) v. C.(F.G.) </w:t>
      </w:r>
      <w:hyperlink r:id="rId487" w:history="1">
        <w:r>
          <w:rPr>
            <w:rFonts w:ascii="arial" w:eastAsia="arial" w:hAnsi="arial" w:cs="arial"/>
            <w:i/>
            <w:color w:val="0077CC"/>
            <w:sz w:val="20"/>
            <w:u w:val="single"/>
            <w:shd w:val="clear" w:color="auto" w:fill="FFFFFF"/>
            <w:lang w:val="en-US" w:eastAsia="en-US" w:bidi="ar-SA"/>
          </w:rPr>
          <w:t>(1996), 26 B.C.L.R. (3d) 155</w:t>
        </w:r>
      </w:hyperlink>
      <w:r>
        <w:rPr>
          <w:rFonts w:ascii="arial" w:eastAsia="arial" w:hAnsi="arial" w:cs="arial"/>
          <w:color w:val="000000"/>
          <w:sz w:val="20"/>
          <w:lang w:val="en-US" w:eastAsia="en-US" w:bidi="ar-SA"/>
        </w:rPr>
        <w:t xml:space="preserve"> (C.A.); A.(T.W.N.) v. Clarke </w:t>
      </w:r>
      <w:hyperlink r:id="rId488" w:history="1">
        <w:r>
          <w:rPr>
            <w:rFonts w:ascii="arial" w:eastAsia="arial" w:hAnsi="arial" w:cs="arial"/>
            <w:i/>
            <w:color w:val="0077CC"/>
            <w:sz w:val="20"/>
            <w:u w:val="single"/>
            <w:shd w:val="clear" w:color="auto" w:fill="FFFFFF"/>
            <w:lang w:val="en-US" w:eastAsia="en-US" w:bidi="ar-SA"/>
          </w:rPr>
          <w:t>(2001), 92 B.C.L.R. (3d) 250</w:t>
        </w:r>
      </w:hyperlink>
      <w:r>
        <w:rPr>
          <w:rFonts w:ascii="arial" w:eastAsia="arial" w:hAnsi="arial" w:cs="arial"/>
          <w:color w:val="000000"/>
          <w:sz w:val="20"/>
          <w:lang w:val="en-US" w:eastAsia="en-US" w:bidi="ar-SA"/>
        </w:rPr>
        <w:t xml:space="preserve"> (S.C.); W.R.B. v. Plint </w:t>
      </w:r>
      <w:hyperlink r:id="rId489" w:history="1">
        <w:r>
          <w:rPr>
            <w:rFonts w:ascii="arial" w:eastAsia="arial" w:hAnsi="arial" w:cs="arial"/>
            <w:i/>
            <w:color w:val="0077CC"/>
            <w:sz w:val="20"/>
            <w:u w:val="single"/>
            <w:shd w:val="clear" w:color="auto" w:fill="FFFFFF"/>
            <w:lang w:val="en-US" w:eastAsia="en-US" w:bidi="ar-SA"/>
          </w:rPr>
          <w:t>(2001), 93 B.C.L.R. (3d) 228</w:t>
        </w:r>
      </w:hyperlink>
      <w:r>
        <w:rPr>
          <w:rFonts w:ascii="arial" w:eastAsia="arial" w:hAnsi="arial" w:cs="arial"/>
          <w:color w:val="000000"/>
          <w:sz w:val="20"/>
          <w:lang w:val="en-US" w:eastAsia="en-US" w:bidi="ar-SA"/>
        </w:rPr>
        <w:t xml:space="preserve"> (S.C.); T.(K.A.) &amp; M.(D.R.) v. B.(J.H.) </w:t>
      </w:r>
      <w:hyperlink r:id="rId490" w:history="1">
        <w:r>
          <w:rPr>
            <w:rFonts w:ascii="arial" w:eastAsia="arial" w:hAnsi="arial" w:cs="arial"/>
            <w:i/>
            <w:color w:val="0077CC"/>
            <w:sz w:val="20"/>
            <w:u w:val="single"/>
            <w:shd w:val="clear" w:color="auto" w:fill="FFFFFF"/>
            <w:lang w:val="en-US" w:eastAsia="en-US" w:bidi="ar-SA"/>
          </w:rPr>
          <w:t>(1998), 51 B.C.L.R. (3d) 259</w:t>
        </w:r>
      </w:hyperlink>
      <w:r>
        <w:rPr>
          <w:rFonts w:ascii="arial" w:eastAsia="arial" w:hAnsi="arial" w:cs="arial"/>
          <w:color w:val="000000"/>
          <w:sz w:val="20"/>
          <w:lang w:val="en-US" w:eastAsia="en-US" w:bidi="ar-SA"/>
        </w:rPr>
        <w:t xml:space="preserve"> (S.C.); N.(L.M.) v. Munday </w:t>
      </w:r>
      <w:hyperlink r:id="rId491" w:history="1">
        <w:r>
          <w:rPr>
            <w:rFonts w:ascii="arial" w:eastAsia="arial" w:hAnsi="arial" w:cs="arial"/>
            <w:i/>
            <w:color w:val="0077CC"/>
            <w:sz w:val="20"/>
            <w:u w:val="single"/>
            <w:shd w:val="clear" w:color="auto" w:fill="FFFFFF"/>
            <w:lang w:val="en-US" w:eastAsia="en-US" w:bidi="ar-SA"/>
          </w:rPr>
          <w:t>[1998] B.C.J. No. 2591</w:t>
        </w:r>
      </w:hyperlink>
      <w:r>
        <w:rPr>
          <w:rFonts w:ascii="arial" w:eastAsia="arial" w:hAnsi="arial" w:cs="arial"/>
          <w:color w:val="000000"/>
          <w:sz w:val="20"/>
          <w:lang w:val="en-US" w:eastAsia="en-US" w:bidi="ar-SA"/>
        </w:rPr>
        <w:t xml:space="preserve"> (S.C.); Guss v. Hammer et al., </w:t>
      </w:r>
      <w:hyperlink r:id="rId492" w:history="1">
        <w:r>
          <w:rPr>
            <w:rFonts w:ascii="arial" w:eastAsia="arial" w:hAnsi="arial" w:cs="arial"/>
            <w:i/>
            <w:color w:val="0077CC"/>
            <w:sz w:val="20"/>
            <w:u w:val="single"/>
            <w:shd w:val="clear" w:color="auto" w:fill="FFFFFF"/>
            <w:lang w:val="en-US" w:eastAsia="en-US" w:bidi="ar-SA"/>
          </w:rPr>
          <w:t>[1998] B.C.J. No. 992</w:t>
        </w:r>
      </w:hyperlink>
      <w:r>
        <w:rPr>
          <w:rFonts w:ascii="arial" w:eastAsia="arial" w:hAnsi="arial" w:cs="arial"/>
          <w:color w:val="000000"/>
          <w:sz w:val="20"/>
          <w:lang w:val="en-US" w:eastAsia="en-US" w:bidi="ar-SA"/>
        </w:rPr>
        <w:t xml:space="preserve">, (April 20, 1998) Vancouver Registry No. C95474 (S.C.); A.(C.) v. C.J.W. </w:t>
      </w:r>
      <w:hyperlink r:id="rId493" w:history="1">
        <w:r>
          <w:rPr>
            <w:rFonts w:ascii="arial" w:eastAsia="arial" w:hAnsi="arial" w:cs="arial"/>
            <w:i/>
            <w:color w:val="0077CC"/>
            <w:sz w:val="20"/>
            <w:u w:val="single"/>
            <w:shd w:val="clear" w:color="auto" w:fill="FFFFFF"/>
            <w:lang w:val="en-US" w:eastAsia="en-US" w:bidi="ar-SA"/>
          </w:rPr>
          <w:t>(1998), 60 B.C.L.R. (3d) 92</w:t>
        </w:r>
      </w:hyperlink>
      <w:r>
        <w:rPr>
          <w:rFonts w:ascii="arial" w:eastAsia="arial" w:hAnsi="arial" w:cs="arial"/>
          <w:color w:val="000000"/>
          <w:sz w:val="20"/>
          <w:lang w:val="en-US" w:eastAsia="en-US" w:bidi="ar-SA"/>
        </w:rPr>
        <w:t xml:space="preserve"> (C.A.); M.T. v. J.L. </w:t>
      </w:r>
      <w:hyperlink r:id="rId494" w:history="1">
        <w:r>
          <w:rPr>
            <w:rFonts w:ascii="arial" w:eastAsia="arial" w:hAnsi="arial" w:cs="arial"/>
            <w:i/>
            <w:color w:val="0077CC"/>
            <w:sz w:val="20"/>
            <w:u w:val="single"/>
            <w:shd w:val="clear" w:color="auto" w:fill="FFFFFF"/>
            <w:lang w:val="en-US" w:eastAsia="en-US" w:bidi="ar-SA"/>
          </w:rPr>
          <w:t>[1998] B.C.J. No. 1459</w:t>
        </w:r>
      </w:hyperlink>
      <w:r>
        <w:rPr>
          <w:rFonts w:ascii="arial" w:eastAsia="arial" w:hAnsi="arial" w:cs="arial"/>
          <w:color w:val="000000"/>
          <w:sz w:val="20"/>
          <w:lang w:val="en-US" w:eastAsia="en-US" w:bidi="ar-SA"/>
        </w:rPr>
        <w:t xml:space="preserve"> (S.C.); P.(J.) v. S.(T.J.) </w:t>
      </w:r>
      <w:hyperlink r:id="rId495" w:history="1">
        <w:r>
          <w:rPr>
            <w:rFonts w:ascii="arial" w:eastAsia="arial" w:hAnsi="arial" w:cs="arial"/>
            <w:i/>
            <w:color w:val="0077CC"/>
            <w:sz w:val="20"/>
            <w:u w:val="single"/>
            <w:shd w:val="clear" w:color="auto" w:fill="FFFFFF"/>
            <w:lang w:val="en-US" w:eastAsia="en-US" w:bidi="ar-SA"/>
          </w:rPr>
          <w:t>[1999] B.C.J. No. 1230</w:t>
        </w:r>
      </w:hyperlink>
      <w:r>
        <w:rPr>
          <w:rFonts w:ascii="arial" w:eastAsia="arial" w:hAnsi="arial" w:cs="arial"/>
          <w:color w:val="000000"/>
          <w:sz w:val="20"/>
          <w:lang w:val="en-US" w:eastAsia="en-US" w:bidi="ar-SA"/>
        </w:rPr>
        <w:t xml:space="preserve"> (S.C.). The range for general and aggravated damages combined is between $50,000 to $250,000, depending on the circumstances and the differing degrees of harm attributed to the wrongful conduct. Counsel for the plaintiff submits that in this case, the appropriate range for general damages, including aggravated damages, is between $125,000 to $185,000.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conclude that an appropriate award for general damages including aggravated damages is $150,000.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PAST AND FUTURE LOSS OF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 find that J. has suffered, and will continue to suffer some interference with his ability to earn an income. It is recognized that psychological injury resulting from abuse may have a negative impact on earning capacity: Beaudry v. Hackett </w:t>
      </w:r>
      <w:hyperlink r:id="rId496" w:history="1">
        <w:r>
          <w:rPr>
            <w:rFonts w:ascii="arial" w:eastAsia="arial" w:hAnsi="arial" w:cs="arial"/>
            <w:i/>
            <w:color w:val="0077CC"/>
            <w:sz w:val="20"/>
            <w:u w:val="single"/>
            <w:shd w:val="clear" w:color="auto" w:fill="FFFFFF"/>
            <w:lang w:val="en-US" w:eastAsia="en-US" w:bidi="ar-SA"/>
          </w:rPr>
          <w:t>(1993), 87 B.C.L.R. (2d) 341</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Past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It is maintained that J. has suffered a wage loss of $100,000. Considering his work history and the evidence of Dr. Korpach and Dr. Lingley, I am persuaded that some income loss has been suffered as a result of the abuse, but not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have the history of J.'s annual earnings from 1980 to 2000. His earnings in the last ten years range from a low of $30,000 in 1995 to $53,200 in 1997 and $80,400 in 2000. The history shows that he was on unemployment insurance for some part of every year, suggesting he works in construction when there is work. In August 1998, he injured his hand, and earned only $36,500 that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J. worked fairly consistently for 18 years before he began experiencing flashbacks, dreams, work-related injuries, and depression. In August 1998, he was working when he had a flashback and his hand got caught in a machine. He spent seven months in rehabilitation. In November 2000, he slipped and fell down a hole while at work and injured his back. He has not been able to return to work since. There is no suggestion that the slip and fall was caused by J. experiencing a flashback, or that this is somehow attributable to the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However, any wage loss J. incurred is more than just the time he lost from work due to a flashback-caused injury. There is also the times he could have worked but because of the psychological effects of the abuse, he worked only enough to get by. I accept that J. is a highly skilled and highly sought-after worker who employers frequently "name request" for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While trying to determine an appropriate figure is largely a question of guesswork, I consider an award of $40,000 for past lost earnings to be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Future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accept that since psychotherapy, J. has become more determined and motivated to work and move ahead in life. He has shifted his view from the past to the present, although flashbacks interfere with his ability to concentrate. He also experiences ongoing symptoms of dissociation, impulsivity and daydreams, which interfere with his occupational functioning. This will foreclose some opportunities for advancement but with continued therapy, I am confident matters will improve. Dr. Korpach contends that therapy will interfere with J.'s ability to concentrate, his condition will deteriorate, and this poses a significant safety risk while working around heavy equipment, that is, it will be dangerous for him to work as a crane operator while undergoing psychological therapy, and he should therefore not work during this time. Dr. Korpach also contends that while undergoing therapy, J. will not be able to concentrate on any retraining course. It is therefore argued that J. should not work while he is in therapy and he claims a wage loss of $398,000 for four years. This is based on having earned $83,000 for ten months worked in 2000, or $99,600 on the basis of twelve months. While I agree it may not be wise for J. to work as a crane operator during therapy, there is nothing to prevent him from working at a different, less-demanding, or less dangerous job, although I recognize that will likely involve a reduced rate of pay from the $31.53 an hour he earned in 2000. However, it is not reasonable for J. to attend counselling for two to three years, and at the same time, remain unemployed in [name of town omitted], and then seek the cost of having to travel to a location where he can obtain psychotherapy.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While J. earned $80,400 in employment income for ten months in 2000 that was by far his best year. His annual income fluctuates. In 1999 he earned $55,600 and in 1998 $16,300, although he injured his hand in August 1998 and was off work for seven months. In 1997 his T4 earnings were $53,200 and in 1996, $50,000. In addition, J. does not work throughout the year. Every year he has received Employment Insurance: $800 in 1999, $8,000 in 1998, $5,400 in 1997 and 1996. Moreover, he has been on Workers' Compensation for at least sixteen months since he injured his back. It has not been determined whether he will be able to return to work as a crane operator or whether he will have to retrain for another job. I am satisfied, however, that there is a substantial possibility he will not be able to return to work as a crane operator, or in a similar capacity while he undergoes psychotherapy, and I assess these damages in the amount of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plaintiff is entitled to $381.33 he seeks to cover the cost of prescription sleeping pills.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plaintiff seeks the cost of psychological counselling, couple's counselling, and acupuncture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5437"/>
        <w:gridCol w:w="1673"/>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three years individual counselling at</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$130 per hour for 50 sessions a year:</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$19,500</w:t>
            </w:r>
          </w:p>
        </w:tc>
        <w:tc>
          <w:tcPr>
            <w:tcW w:w="194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3"/>
        <w:gridCol w:w="5541"/>
        <w:gridCol w:w="1568"/>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w:t>
            </w:r>
          </w:p>
        </w:tc>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couples' counselling at $130 per hour</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42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for 75 hours:</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9,750</w:t>
            </w:r>
          </w:p>
        </w:tc>
        <w:tc>
          <w:tcPr>
            <w:tcW w:w="194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3"/>
        <w:gridCol w:w="5541"/>
        <w:gridCol w:w="1568"/>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w:t>
            </w:r>
          </w:p>
        </w:tc>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acupuncture at $50 a session for 106</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sessions based on twice weekly for 6</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 8 months, followed by weekly</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42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sessions for a year and then monthly:</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5,300</w:t>
            </w:r>
          </w:p>
        </w:tc>
        <w:tc>
          <w:tcPr>
            <w:tcW w:w="194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3136"/>
        <w:gridCol w:w="428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419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$34,500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find that J. will have chronic difficulties in his interpersonal relationships for a number of years. According to Dr. Korpach, he needs couple's counselling on an as-needed basis for anywhere from 50 to 100 sessions over his lifetime, depending on a number of factors, including whether he remains with his current partner. At times, J. also suffers from psychological stress, that is, he has difficulty going to sleep and remaining asleep. He wakes up frequently as a result of nightmares and flashbacks relating to the abuse. He has had success with acupuncture in dealing with his sleeping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have found J. needs intensive individual weekly psychotherapy for approximately two years depending on whether he continues to see Dr. Lingley. After that, he will continue to require counselling from time to time. I also find that over his lifetime he will require couple's counselling from time to time. I accept that he has had success with acupuncture and it will benefit him in the future. While it is difficult to predict with any degree of precision how much in the way of counselling and acupuncture he will need, doing the best I can, I estimate the lump sum of $23,000 to be a reasonable estimate for the cost of counselling and acupuncture.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Lastly, the plaintiff claims mileage expenses totalling $74,250, for the 1,000 kilometre return travel from his home in [name of town omitted], to Calgary, for 50 sessions a year of individual counselling for three years at $0.30 per kilometre, and 75 sessions of couple's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While J. is entitled to a reasonable sum for travel expenses, I find this claim to be unreasonable. The bonds of his current relationship with D.B. are "fairly shaky" and they are talking about separating. In August 2000, he moved from [name of town omitted], Alberta to [name of town omitted], B.C. where they bought a house together. While there is no evidence, I assume that he continued to commute to [name of town omitted], Alberta which is where he was working when he injured his back in November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Over the years, J. has moved a number of times based on where he finds work. I do not think it is reasonable for him to remain in [name of town omitted], when he is not working. There is no evidence of where he will work after he recovers from his hand injury. If the past is any indication, he will most likely move to where the work is. It is not reasonable in his circumstances to claim both the cost of not working while attending therapy, and also the mileage expense to see a therapist in Calgary.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There is no evidence of who or what therapist he would be seeing in Calgary. I accept that it is better if he continues therapy with Dr. Lingley in Maple Ridge, rather than spending an additional year building a rapport with a new therapist. Other than the house he bought with D.B., there seems to be nothing tying J. to [name of town omitted]. In the past, J. has spent a number of months in the Lower Mainland seeking rehabilitation or treatment and I see no reason why he should not move closer to where Dr. Lingley practises. Taking into account these factors, I consider the sum of $20,000 for travel expenses to be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CLAIM AGAINST THE INDIVIDUAL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While I find that the Superintendent and, therefore, the Crown was negligent and failed to act in J.'s best interest and use special diligence when it placed J. in a totally inadequate and inappropriate placement, I am not satisfied that any of the personal defendants breached any duty towards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I agree with the defence contention that no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been made out against Helen Ann Gregoire. The only evidence against her is that she signed a border permit allowing J. to travel to the United States and Mexico with his foster parent, Mr. 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Similarly, there is no evidence that the defendant K. Rutczynski breached any duty of care. Although he did not testify, the only evidence I have, is that he was Mr. Hiob's supervisor.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Neufeld was a probation officer, and the responsibility for determining the suitability of a foster parent and a foster home, rested with the social workers.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While perhaps Mr. Hiob was left to pick up the pieces, he should have been entitled to expect that the social worker that made the initial placement had adequately investigated Mr. L.'s suitability as a foster parent. He was aware that Mr. L. was not an approved foster parent; that his two bedroom trailer was not an approved foster home; that there was no telephone; and that he was unable to supervise the placement for at least five months of the year. He tried to do something and perhaps he should have done more. However, I cannot say that he breached any duty he had towards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763"/>
        <w:gridCol w:w="3346"/>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General Damages</w:t>
            </w:r>
          </w:p>
        </w:tc>
        <w:tc>
          <w:tcPr>
            <w:tcW w:w="327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$150,000.00</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2823"/>
        <w:gridCol w:w="3660"/>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w:t>
            </w:r>
          </w:p>
        </w:tc>
        <w:tc>
          <w:tcPr>
            <w:tcW w:w="358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40,000.00</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3033"/>
        <w:gridCol w:w="3450"/>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w:t>
            </w:r>
          </w:p>
        </w:tc>
        <w:tc>
          <w:tcPr>
            <w:tcW w:w="337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50,000.00</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4182"/>
        <w:gridCol w:w="2927"/>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86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381.33</w:t>
            </w:r>
          </w:p>
        </w:tc>
        <w:tc>
          <w:tcPr>
            <w:tcW w:w="194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23,000.00</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8"/>
        <w:gridCol w:w="3869"/>
        <w:gridCol w:w="3241"/>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Travel Expenses</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20,000.00</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241"/>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47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$283,381.33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AND COURT ORDER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If counsel cannot agree on costs and court order interest, they may make further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LOO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7" style="position:absolute;z-index:2518835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97"/>
          <w:headerReference w:type="default" r:id="rId498"/>
          <w:footerReference w:type="even" r:id="rId499"/>
          <w:footerReference w:type="default" r:id="rId500"/>
          <w:headerReference w:type="first" r:id="rId501"/>
          <w:footerReference w:type="first" r:id="rId50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03" w:history="1">
        <w:r>
          <w:rPr>
            <w:rFonts w:ascii="arial" w:eastAsia="arial" w:hAnsi="arial" w:cs="arial"/>
            <w:b/>
            <w:bCs/>
            <w:i/>
            <w:color w:val="0077CC"/>
            <w:kern w:val="32"/>
            <w:sz w:val="28"/>
            <w:szCs w:val="32"/>
            <w:u w:val="single"/>
            <w:shd w:val="clear" w:color="auto" w:fill="FFFFFF"/>
            <w:lang w:val="en-US" w:eastAsia="en-US" w:bidi="ar-SA"/>
          </w:rPr>
          <w:t>Fulber v. Browns Social House Ltd., [2013] B.C.J. No. 2089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 Gray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20,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August 20,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12-1169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2089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1760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Genevievre Madeleine Fulber, Plaintiff, and Browns Social House Ltd. and Rumpel Investments Ltd.,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8"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2" w:name="Keywords_24"/>
      <w:bookmarkEnd w:id="162"/>
      <w:r>
        <w:rPr>
          <w:rFonts w:ascii="arial" w:eastAsia="arial" w:hAnsi="arial" w:cs="arial"/>
          <w:b/>
          <w:color w:val="000000"/>
          <w:sz w:val="20"/>
          <w:lang w:val="en-US" w:eastAsia="en-US" w:bidi="ar-SA"/>
        </w:rPr>
        <w:t>Civil litigation — Civil procedure — Judgments and orders — Summary judgments — Evidence — To dismiss action — Application by defendant for summary judgment dismissing plaintiff's occupiers' liability action allowed — Plaintiff fell on unwaxed hardwood floor at defendant's restaurant and broke ankle — Plaintiff did not notice anything on floor before or after fall, but felt she slipped on something — Server and manager testified they did not see anything on floor or plaintiff's person before or after fall — Even assuming defendant's systems for addressing risk were inadequate, there was no evidence plaintiff slipped on anything — Accident was over two years ago and there was no reason to think another witness would now come forward.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Occupiers' liability — Duty of occupier — To invitees — Particular situation — Floors — Application by defendant for summary judgment dismissing plaintiff's occupiers' liability action allowed — Plaintiff fell on unwaxed hardwood floor at defendant's restaurant and broke ankle — Plaintiff did not notice anything on floor before or after fall, but felt she slipped on something — Server and manager testified they did not see anything on floor or plaintiff's person before or after fall — Even assuming defendant's systems for addressing risk were inadequate, there was no evidence plaintiff slipped on anything — Accident was over two years ago and there was no reason to think another witness would now come forward.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Practice and procedure — Evidence — Burden of proof — Necessity for evidence — Application by defendant for summary judgment dismissing plaintiff's occupiers' liability action allowed — Plaintiff fell on unwaxed hardwood floor at defendant's restaurant and broke ankle — Plaintiff did not notice anything on floor before or after fall, but felt she slipped on something — Server and manager testified they did not see anything on floor or plaintiff's person before or after fall — Even assuming defendant's systems for addressing risk were inadequate, there was no evidence plaintiff slipped on anything — Accident was over two years ago and there was no reason to think another witness would now come forward.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3" w:name="Case Summary_20"/>
            <w:bookmarkEnd w:id="16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for summary judgment dismissing the plaintiff's occupiers' liability action. The plaintiff fell on the defendant's restaurant premises and broke her ankle, suffering a significant injury and effect on her life. The plaintiff had three glasses of wine and was wearing stilettos. The plaintiff fell near the bar, on an unwaxed wooden floor. The plaintiff did not notice anything on the floor or her person before or after she fell, but felt she slipped on something. The server gave evidence that there was no spillage or debris on the floor where the plaintiff fell, she had traversed that area many times during her shift without difficulty, one of her duties was to survey the floor for debris and spills and she would have cleared anything she noticed. The manager went to the plaintiff's side when she fell and also did not notice anything on the floor or her person. The manager's evidence was that he helped the plaintiff outside, was outside for a minute or so and then retuned and inspected the floor. The plaintiff's evidence was that the manager was outside for five minutes. The plaintiff did not pursue evidence from the bartender or any other employees. The plaintiff argued it would be premature to dismiss the action.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4" w:name="Holdings of Court_19"/>
            <w:bookmarkEnd w:id="164"/>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To succeed in her claim, the plaintiff had to establish there was a hazard on the floor and the defendant did not take reasonable steps to ensure it did not exist. Even if it was assumed the defendant's safety systems were inadequate, there was no evidence of any hazard on the floor. The issues the plaintiff raised about there potentially being too many patrons in the restaurant had nothing to do with her fall. The contradiction between how long the plaintiff said the manager was outside and how long he said he was outside were both estimates of time, which people perceived differently, and not indicative of any credibility issues. The accident occurred over two years ago and there was no reason to believe there were any other witnesses who had seen the accident and would come forward now. There was no reason to think an unwaxed wooden floor was unsafe and required further investigation. The plaintiff fell several feet away from the serving area, so it was unlikely liquid would have sloshed that far.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5" w:name="Legislation Cited_20"/>
      <w:bookmarkEnd w:id="16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9" style="position:absolute;z-index:2517350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Occupiers' Liability Act, R.S.B.C. 337,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9-7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66" w:name="Counsel_24"/>
      <w:bookmarkEnd w:id="16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0" style="position:absolute;z-index:251786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 Aiyadurai.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Rumpel Investments Ltd.: K. McCullagh.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7" w:name="Judgment_24"/>
      <w:bookmarkEnd w:id="167"/>
      <w:r>
        <w:pict>
          <v:line id="_x0000_s1151" style="position:absolute;z-index:2518374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8" w:name="V. GRAY J. (orally)"/>
            <w:bookmarkEnd w:id="168"/>
            <w:r>
              <w:rPr>
                <w:rFonts w:ascii="arial" w:eastAsia="arial" w:hAnsi="arial" w:cs="arial"/>
                <w:b/>
                <w:color w:val="000000"/>
                <w:sz w:val="30"/>
                <w:lang w:val="en-US" w:eastAsia="en-US" w:bidi="ar-SA"/>
              </w:rPr>
              <w:t>V. GRAY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Ms. Fulber fell on February 19, 2011, at the restaurant premises of the defendant, Rumpel Investments Ltd., which I will refer to as "Rumpel".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Ms. Fulber broke bones in her ankle, and I will say more about her injuries shortly. She sued both Rumpel and Browns Social House Ltd. for damages, claiming breach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Her claim against Browns was dismissed by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Rumpel is the operator of a franchise known as the Browns Social House restaurant in Victoria, B.C., and that is where Ms. Fulber was injured. Rumpel has applied to have Ms. Fulber's claim dismissed pursuant to the summary trial rule, which is Rule 9-7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Rumpel argued that the evidence shows that Ms. Fulber cannot establish that there was any liquid or other substance on the floor which caused her fall, and that therefore she cannot establish that any unsafe conditions caused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Fulber is opposed to a determination of the case under the summary trial rule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Aiyadurai, her counsel, argued that it would be premature to decide the issue of liability at a summary trial now and argued that Ms. Fulber ought to be able to pursue other investigations.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Rumpel concedes that it is an occupier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Rumpel also concedes that it owed a duty to Ms. Fulber as a patron of the restaurant to take the care required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Rumpel argued that there is no evidence that Ms. Fulber's fall was caused by any act or omission of Rumpel.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Fulber was a patron of the restaurant on Saturday night, February 19, 2011. It was Ms. Fulber's fifth visit to the restaurant and the restaurant had been open for about eight months. Ms. Fulber was 28 years old. She was at the restaurant for about three hours before the accident, and during that three-hour period she drank three glasses of wine. About halfway through the three hours that she was in the restaurant, she went outside the premises to smoke a cigarette, and her route both going outside and returning to her table took her past the spot where she ultimately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She was wearing high-heeled shoes with a stiletto heel four-and-a-half inches high and a plastic sole. Ms. Fulber had purchased the shoes about six weeks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restaurant floor was hardwood and it was not waxed. There were places where there was decorative mosaic tile, but apparently not at the spot that Ms. Fulber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Fulber fell in an area near the bar and the bar servery. On my very rough estimate, it was about six feet from the servery part of the bar and about four feet from the edge of the bar, but those dimensions are not in evidence. There is a floor plan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Fulber did not notice anything on the floor before she fell. Not surprisingly, she did not notice anything on the floor after she fell either. She did not notice anything on her shoes or her clothes and did not feel any dampness on her bare skin. She deposed that she slipped on something, but from her answers on examination for discovery, it is clear that Ms. Fulber's belief is based on inferences which she has drawn, based essentially on the fact that she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will read Question 532 and part of 533: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532</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think you're telling me that you don't have any information to indicate there was a spill or any foreign substance; is that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I'd -- yeah, I -- I feel that there was something there that I slipped on, but no I don't evidence to say that it was water or it was a lime wedge or it was juice or a drink or anything.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533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reason you suspect is just because you slipped; is that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M'mm-hmm. Yeah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is as much as I will read.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evidence included an affidavit from a server named Ms. Walker, who served Ms. Fulber's party. I am just going to read quickly paragraphs 5 through 8:</w:t>
      </w:r>
      <w:r>
        <w:rPr>
          <w:rFonts w:ascii="arial" w:eastAsia="arial" w:hAnsi="arial" w:cs="arial"/>
          <w:sz w:val="20"/>
          <w:lang w:val="en-US" w:eastAsia="en-US" w:bidi="ar-SA"/>
        </w:rPr>
        <w:cr/>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did not see Ms. Fulber fall, but I saw her on the ground afterwards. I did not observe any spillage in the area of the Plaintiff's fall, either before or after she fell.</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traversed the area in which Ms. Fulber fell many times during my shift on the day of the accident, before the Plaintiff fell. I repeatedly walked through that area during my shift, multiple times per hour.</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My practice while working at Browns was to constantly survey the floor for spills or debris and to clean up any spills immediately. I was mindful of the state of the floor not only for the safety of customers, but also for my own safety as I traversed the floor frequently while carrying food and beverages.</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I had noticed a spill on the floor prior to or after Ms. Fulber's fall I would have cleaned it up immediately or called someone else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Rumpel, who is one of the owners of the restaurant, was the manager on duty that night. A bartender drew his attention to the fact that a woman had fallen and Mr. Rumpel went to Ms. Fulber's side. He crouched beside her. His evidence is that he did not notice anything on the floor at that time, although he did not at that time do a close inspection. His evidence is that he did not see or feel any moisture or foreign material on Ms. Fulber's clothing or her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Rumpel helped Ms. Fulber outside and was assisted in doing that by Ms. Fulber's sister.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Plaintiff's counsel argued that there was a conflict in the evidence about how long Mr. Rumpel stayed outside with Ms. Fulber. Mr. Rumpel estimated that he was outside with her about one-and-a-half minutes, but on examination for discovery he testified that it could have been longer and he did not have a stopwatch with him. In contrast, Ms. Fulber's evidence is that Mr. Rumpel stayed outside with her for five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Rumpel's evidence is that after he went outside with Ms. Fulber, he returned to the restaurant and crouched down and inspected the floor in the area of her fall and saw no spillage or any problem with the floor. Mr. Rumpel deposed that he has not received any report from his staff or anyone else that there was a spill in the area of Ms. Fulber's fall. Mr. Rumpel also deposed that, to his knowledge, no one witnessed Ms. Fulber's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only evidence on this summary trial application about Ms. Fulber's injuries is her evidence. She deposed that she has had three surgeries, one on the evening of the accident and two subsequently. The evidence also shows that there are metal pins in her ankles, that she has significantly reduced the amount of time she spends standing and running and jumping since the accident, and that she has daily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accept that Ms. Fulber's claim for non-pecuniary damages could well be in the range of $45,000 to $55,000 or more, and I also accept that she may have claims for the costs of future care and lost earning capacity. In other words, I accept that Ms. Fulber suffered a significant injury in this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Aiyadurai, counsel for Ms. Fulber, argued that a summary trial was premature at this time. He argued that there should be further investigations concerning the number of people in the restaurant compared with its capacity, concerning whether anyone saw Ms. Fulber's fall, concerning Mr. Rumpel's credibility, and concerning the training of the workers at the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court's summary trial procedure is designed to have cases decided on the basis of written evidence without the need for a full trial and the related expense and delay when that is appropriate. When one party applies for a summary trial, if the other party seeks to pursue further investigations, that party should make those investigations or at least commence them prior to the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Now, in this case, Ms. Fulber's application response includes this paragraph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Further, there are identified parties who may be able to provide direct evidence of what caused the slip and fall. These parties include all those who attended the Premises and all those who worked at the Premises on the night the plaintiff slipped and fell. These parties need to be interviewed, examined by way of discoveries, and/or called as witnesses to give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at a full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Plaintiff's counsel conducted an examination for discovery of Mr. Rumpel in April 2013. Defence counsel had already advised plaintiff's counsel that the defence would be applying for a summary trial. Mr. Rumpel was asked the name of the bartender and gave the name. Mr. Rumpel was asked whether the bartender saw Ms. Fulber's fall and said that to his knowledge no one saw the fall. There were some questions outstanding from Mr. Rumpel's examination for discovery and answers were provided by letter dated July 9,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Plaintiff's counsel has not apparently taken any steps to pursue evidence from the bartender or any other employees of the restaurant. The accident, as I have said, occurred about two and a half years ago. There is simply no reason to think that there is some eyewitness out there who saw Ms. Fulber fall or who saw a substance on the floor in the area before she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parties disagree about whether Rumpel had a reasonable system in place to protect patrons from slipping and falling. It is not necessary for me to make a finding about that. For the purposes of my analysis today, I will assume that Rumpel's systems were unsatisfactory.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am now going to refer to some law concerning what Ms. Fulber must establish to obtain damages from Rumpel.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As lawyers know, this is not a situation where there is what we call strict liability, meaning a situation where an injured person is entitled to receive damages without proving fault. This is a case where an occupier's liability analysis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A useful summary of the law is set out in </w:t>
      </w:r>
      <w:r>
        <w:rPr>
          <w:rFonts w:ascii="arial" w:eastAsia="arial" w:hAnsi="arial" w:cs="arial"/>
          <w:i/>
          <w:color w:val="000000"/>
          <w:sz w:val="20"/>
          <w:lang w:val="en-US" w:eastAsia="en-US" w:bidi="ar-SA"/>
        </w:rPr>
        <w:t>Wilde v. The Cambie Malone Corporation,</w:t>
      </w:r>
      <w:r>
        <w:rPr>
          <w:rFonts w:ascii="arial" w:eastAsia="arial" w:hAnsi="arial" w:cs="arial"/>
          <w:color w:val="000000"/>
          <w:sz w:val="20"/>
          <w:lang w:val="en-US" w:eastAsia="en-US" w:bidi="ar-SA"/>
        </w:rPr>
        <w:t xml:space="preserve"> </w:t>
      </w:r>
      <w:hyperlink r:id="rId504" w:history="1">
        <w:r>
          <w:rPr>
            <w:rFonts w:ascii="arial" w:eastAsia="arial" w:hAnsi="arial" w:cs="arial"/>
            <w:i/>
            <w:color w:val="0077CC"/>
            <w:sz w:val="20"/>
            <w:u w:val="single"/>
            <w:shd w:val="clear" w:color="auto" w:fill="FFFFFF"/>
            <w:lang w:val="en-US" w:eastAsia="en-US" w:bidi="ar-SA"/>
          </w:rPr>
          <w:t>2008 BCSC 704</w:t>
        </w:r>
      </w:hyperlink>
      <w:r>
        <w:rPr>
          <w:rFonts w:ascii="arial" w:eastAsia="arial" w:hAnsi="arial" w:cs="arial"/>
          <w:color w:val="000000"/>
          <w:sz w:val="20"/>
          <w:lang w:val="en-US" w:eastAsia="en-US" w:bidi="ar-SA"/>
        </w:rPr>
        <w:t xml:space="preserve">. I accept Ms. McCullagh's summary of that, and I am just going to read her summary of some of the principles stated in the </w:t>
      </w:r>
      <w:r>
        <w:rPr>
          <w:rFonts w:ascii="arial" w:eastAsia="arial" w:hAnsi="arial" w:cs="arial"/>
          <w:i/>
          <w:color w:val="000000"/>
          <w:sz w:val="20"/>
          <w:lang w:val="en-US" w:eastAsia="en-US" w:bidi="ar-SA"/>
        </w:rPr>
        <w:t>Wilde</w:t>
      </w:r>
      <w:r>
        <w:rPr>
          <w:rFonts w:ascii="arial" w:eastAsia="arial" w:hAnsi="arial" w:cs="arial"/>
          <w:color w:val="000000"/>
          <w:sz w:val="20"/>
          <w:lang w:val="en-US" w:eastAsia="en-US" w:bidi="ar-SA"/>
        </w:rPr>
        <w:t xml:space="preserve"> case:</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goals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are to promote positive action on the part of occupiers to make their premises reasonably safe.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duty imposed by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to take reasonable care in the circumstances to make the premises safe. The duty does not require occupiers to ensure that persons using the premises will be absolutely safe.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care that must be taken by an occupier differs according to the nature and use of the premises.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onus is on the plaintiff to prove on a balance of probabilities that the defendant breached this duty of care. The fact of injury does not create 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must be able to point to some act or failure on the part of the defendant which resulted in the injury.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duty of care does not extend so far as to require the defendant to remove every possibility of danger. The test is one of reasonableness, not perfection.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 will also quote a statement in </w:t>
      </w:r>
      <w:r>
        <w:rPr>
          <w:rFonts w:ascii="arial" w:eastAsia="arial" w:hAnsi="arial" w:cs="arial"/>
          <w:i/>
          <w:color w:val="000000"/>
          <w:sz w:val="20"/>
          <w:lang w:val="en-US" w:eastAsia="en-US" w:bidi="ar-SA"/>
        </w:rPr>
        <w:t>Bauman v. Stein</w:t>
      </w:r>
      <w:r>
        <w:rPr>
          <w:rFonts w:ascii="arial" w:eastAsia="arial" w:hAnsi="arial" w:cs="arial"/>
          <w:color w:val="000000"/>
          <w:sz w:val="20"/>
          <w:lang w:val="en-US" w:eastAsia="en-US" w:bidi="ar-SA"/>
        </w:rPr>
        <w:t xml:space="preserve"> </w:t>
      </w:r>
      <w:hyperlink r:id="rId505" w:history="1">
        <w:r>
          <w:rPr>
            <w:rFonts w:ascii="arial" w:eastAsia="arial" w:hAnsi="arial" w:cs="arial"/>
            <w:i/>
            <w:color w:val="0077CC"/>
            <w:sz w:val="20"/>
            <w:u w:val="single"/>
            <w:shd w:val="clear" w:color="auto" w:fill="FFFFFF"/>
            <w:lang w:val="en-US" w:eastAsia="en-US" w:bidi="ar-SA"/>
          </w:rPr>
          <w:t>(1991), 78 D.L.R. (4th) 118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does not create 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occupier of the premises" whenever a person is injured on the premises. A plaintiff who invokes that section must still be able to point to some act (or some failure to act) on the part of the occupier which caused the injury complained of before liability can be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 will quote from the decision of Mr. Justice Cohen in </w:t>
      </w:r>
      <w:r>
        <w:rPr>
          <w:rFonts w:ascii="arial" w:eastAsia="arial" w:hAnsi="arial" w:cs="arial"/>
          <w:i/>
          <w:color w:val="000000"/>
          <w:sz w:val="20"/>
          <w:lang w:val="en-US" w:eastAsia="en-US" w:bidi="ar-SA"/>
        </w:rPr>
        <w:t>Van Slee v. Canada Safeway Limited</w:t>
      </w:r>
      <w:r>
        <w:rPr>
          <w:rFonts w:ascii="arial" w:eastAsia="arial" w:hAnsi="arial" w:cs="arial"/>
          <w:color w:val="000000"/>
          <w:sz w:val="20"/>
          <w:lang w:val="en-US" w:eastAsia="en-US" w:bidi="ar-SA"/>
        </w:rPr>
        <w:t xml:space="preserve">, </w:t>
      </w:r>
      <w:hyperlink r:id="rId506" w:history="1">
        <w:r>
          <w:rPr>
            <w:rFonts w:ascii="arial" w:eastAsia="arial" w:hAnsi="arial" w:cs="arial"/>
            <w:i/>
            <w:color w:val="0077CC"/>
            <w:sz w:val="20"/>
            <w:u w:val="single"/>
            <w:shd w:val="clear" w:color="auto" w:fill="FFFFFF"/>
            <w:lang w:val="en-US" w:eastAsia="en-US" w:bidi="ar-SA"/>
          </w:rPr>
          <w:t>2008 BCSC 107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Van Slee</w:t>
      </w:r>
      <w:r>
        <w:rPr>
          <w:rFonts w:ascii="arial" w:eastAsia="arial" w:hAnsi="arial" w:cs="arial"/>
          <w:color w:val="000000"/>
          <w:sz w:val="20"/>
          <w:lang w:val="en-US" w:eastAsia="en-US" w:bidi="ar-SA"/>
        </w:rPr>
        <w:t xml:space="preserve"> ], at paragraph 31.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plaintiff must prove: first, what condition or hazard caused her slip and fall; and, second, that the condition or hazard existed due to a breach of duty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 was referred to a number of authorities. I will refer to some of them. One is </w:t>
      </w:r>
      <w:r>
        <w:rPr>
          <w:rFonts w:ascii="arial" w:eastAsia="arial" w:hAnsi="arial" w:cs="arial"/>
          <w:i/>
          <w:color w:val="000000"/>
          <w:sz w:val="20"/>
          <w:lang w:val="en-US" w:eastAsia="en-US" w:bidi="ar-SA"/>
        </w:rPr>
        <w:t>Charlie v. Canada Safeway Limited</w:t>
      </w:r>
      <w:r>
        <w:rPr>
          <w:rFonts w:ascii="arial" w:eastAsia="arial" w:hAnsi="arial" w:cs="arial"/>
          <w:color w:val="000000"/>
          <w:sz w:val="20"/>
          <w:lang w:val="en-US" w:eastAsia="en-US" w:bidi="ar-SA"/>
        </w:rPr>
        <w:t xml:space="preserve">; I was referred to both the trial decision and the Court of Appeal decision. The trial decision of Mr. Justice Parrett is indexed at </w:t>
      </w:r>
      <w:hyperlink r:id="rId507" w:history="1">
        <w:r>
          <w:rPr>
            <w:rFonts w:ascii="arial" w:eastAsia="arial" w:hAnsi="arial" w:cs="arial"/>
            <w:i/>
            <w:color w:val="0077CC"/>
            <w:sz w:val="20"/>
            <w:u w:val="single"/>
            <w:shd w:val="clear" w:color="auto" w:fill="FFFFFF"/>
            <w:lang w:val="en-US" w:eastAsia="en-US" w:bidi="ar-SA"/>
          </w:rPr>
          <w:t>2010 BCSC 618</w:t>
        </w:r>
      </w:hyperlink>
      <w:r>
        <w:rPr>
          <w:rFonts w:ascii="arial" w:eastAsia="arial" w:hAnsi="arial" w:cs="arial"/>
          <w:color w:val="000000"/>
          <w:sz w:val="20"/>
          <w:lang w:val="en-US" w:eastAsia="en-US" w:bidi="ar-SA"/>
        </w:rPr>
        <w:t xml:space="preserve"> and the Court of Appeal decision at </w:t>
      </w:r>
      <w:hyperlink r:id="rId508" w:history="1">
        <w:r>
          <w:rPr>
            <w:rFonts w:ascii="arial" w:eastAsia="arial" w:hAnsi="arial" w:cs="arial"/>
            <w:i/>
            <w:color w:val="0077CC"/>
            <w:sz w:val="20"/>
            <w:u w:val="single"/>
            <w:shd w:val="clear" w:color="auto" w:fill="FFFFFF"/>
            <w:lang w:val="en-US" w:eastAsia="en-US" w:bidi="ar-SA"/>
          </w:rPr>
          <w:t>2011 BCCA 202</w:t>
        </w:r>
      </w:hyperlink>
      <w:r>
        <w:rPr>
          <w:rFonts w:ascii="arial" w:eastAsia="arial" w:hAnsi="arial" w:cs="arial"/>
          <w:color w:val="000000"/>
          <w:sz w:val="20"/>
          <w:lang w:val="en-US" w:eastAsia="en-US" w:bidi="ar-SA"/>
        </w:rPr>
        <w:t>. The case was a summary trial application where a plaintiff's claim was dismissed. She fell near a flower display in a Canada Safeway store. In the course of falling, she knocked over the display and so she noticed that she was in a puddle of water after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that case, the Supreme Court decision was upheld and the Court of Appeal concluded that the plaintiff could not establish the existence of water on the floor at the time she fell. Therefore, she had not proven the existence of a hazard that caused her to slip and fall, and the Court of Appeal upheld the dismissal of her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Van Slee</w:t>
      </w:r>
      <w:r>
        <w:rPr>
          <w:rFonts w:ascii="arial" w:eastAsia="arial" w:hAnsi="arial" w:cs="arial"/>
          <w:color w:val="000000"/>
          <w:sz w:val="20"/>
          <w:lang w:val="en-US" w:eastAsia="en-US" w:bidi="ar-SA"/>
        </w:rPr>
        <w:t>, again, a woman fell in a Canada Safeway store. She said in her affidavit that she was certain she must have slipped on water which had accumulated in front of the customer service desk. She said she had been outside in rainy weather, and that in fact she had been wearing a hood because of the extent of the rain. In that case, the court concluded that she had not proven that there was a hazard of water which caused her to slip and fall, and her claim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other case I want to refer to is </w:t>
      </w:r>
      <w:r>
        <w:rPr>
          <w:rFonts w:ascii="arial" w:eastAsia="arial" w:hAnsi="arial" w:cs="arial"/>
          <w:i/>
          <w:color w:val="000000"/>
          <w:sz w:val="20"/>
          <w:lang w:val="en-US" w:eastAsia="en-US" w:bidi="ar-SA"/>
        </w:rPr>
        <w:t>Burnett v. Canada Safeway</w:t>
      </w:r>
      <w:r>
        <w:rPr>
          <w:rFonts w:ascii="arial" w:eastAsia="arial" w:hAnsi="arial" w:cs="arial"/>
          <w:color w:val="000000"/>
          <w:sz w:val="20"/>
          <w:lang w:val="en-US" w:eastAsia="en-US" w:bidi="ar-SA"/>
        </w:rPr>
        <w:t xml:space="preserve">, </w:t>
      </w:r>
      <w:hyperlink r:id="rId509" w:history="1">
        <w:r>
          <w:rPr>
            <w:rFonts w:ascii="arial" w:eastAsia="arial" w:hAnsi="arial" w:cs="arial"/>
            <w:i/>
            <w:color w:val="0077CC"/>
            <w:sz w:val="20"/>
            <w:u w:val="single"/>
            <w:shd w:val="clear" w:color="auto" w:fill="FFFFFF"/>
            <w:lang w:val="en-US" w:eastAsia="en-US" w:bidi="ar-SA"/>
          </w:rPr>
          <w:t>[1983] B.C.J. No. 1073</w:t>
        </w:r>
      </w:hyperlink>
      <w:r>
        <w:rPr>
          <w:rFonts w:ascii="arial" w:eastAsia="arial" w:hAnsi="arial" w:cs="arial"/>
          <w:color w:val="000000"/>
          <w:sz w:val="20"/>
          <w:lang w:val="en-US" w:eastAsia="en-US" w:bidi="ar-SA"/>
        </w:rPr>
        <w:t>. In that case, the court drew the inference that there had been water on the floor from an employee spraying vegetables in the produce department. The court referred to evidence that water on the floor would not have been visible. In that case, the court did draw the inference that there was water on the floor that caused the fall. The plaintiff had been wearing what Madam Justice MacKenzie said at paragraph 5 women would term "sensible shoes", with a broad heel that was not excessively high. She was also pushing a grocery buggy that would have given her some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As a result of reviewing these cases, I am satisfied that, to succeed in claiming damages from Rumpel for the fall, Ms. Fulber must demonstrate that there was a hazard on the floor, being either liquid or some other foreign substance, which caused her to slip, and also that Rumpel did not take reasonable steps to ensure that such a hazard would not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will now talk about some further areas of investigation that Mr. Aiyadurai suggested should be pursued. First, he talked about investigation of whether there were more patrons in the restaurant than legally permitted. He referred to a floor plan of the premises which set out the number of seats at about 107 or 109. Mr. Rumpel was asked on examination for discovery about the occupancy and he testified that 150 people, including staff, were permitted. He testified that he could not know how many people were in the restaurant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cannot see any basis for further investigation of this issue being required before resolving the summary trial application. There was no suggestion that the number of people in the premises caused the accident. This is not a case where someone who was injured alleged that they were jostled by a crowd or something of that sort. Further investigations about the number of patrons in the premises will simply not establish what Ms. Fulber has to demonstrate, which was that there was a hazard on the floor which caused her to slip.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Next, Mr. Aiyadurai referred to further investigations of others who may have been on the premises that night. As I have said, Mr. Rumpel deposed that he did not know of anyone who witnessed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am going to pause here and refer to the arguments about credibility. Mr. Aiyadurai said that it would be necessary to cross-examine Mr. Rumpel. Mr. Rumpel had deposed that he was only outside with Ms. Fulber for a minute and a half, while she thought it was five minutes. I am not satisfied that that is a contradiction of the nature and type which suggests that Mr. Rumpel's evidence should be rejected.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fact, having seen his discovery evidence that he conceded it might have been longer than a minute and a half, I am not sure that there is a real contradiction. People's estimate of time, particularly when there has been an accident, is variable and I am not satisfied that there is a realistic concern about the credibility of Mr. Rumpel.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As I have said, Mr. Rumpel deposed that he did not know of anyone who witnessed the accident. The accident occurred about two-and-a-half years ago. There is no reason to think that there is a witness out there who did not come forward and tell either Ms. Fulber or one of her companions or someone at the restaurant that they saw something. It is also remarkable that, if there had been something on the floor, it would not have been noticed in the period after Ms. Fulber left. I believe the accident was around 10:00 or 10:30 at night, and it is my expectation that the restaurant was open later than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As is evident from the evidence of the server which I read aloud earlier, if one of the workers had noticed something on the floor, it would be surprising if they had not taken steps to clean it up - not only for the safety of other customers, but also for their own safety in carrying food and beverages.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There is no realistic basis to imagine that Ms. Fulber would find a witness who either saw her fall or saw something on the floor just prior to her fall which would enable her to prove her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Aiyadurai also referred to investigating the slip coefficient of the floor. The floor has apparently not changed since the restaurant opened. There was no suggestion that Ms. Fulber has retained an expert to examine this. There is no reason to think that an unwaxed wooden floor is unreasonably safe. This does not provide an adequate basis for adjourning the summary trial application to permit Ms. Fulber to pursue the coefficient of slippage of the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Aiyadurai suggested other avenues of investigation which would be directed to whether Rumpel had a system in place to protect from spills of liquids and other foreign substances. While one of the things that Ms. Fulber would have to prove to establish liability is that Rumpel did not have an adequate system in place, as I have said, Rumpel focuses its application on the absence of any evidence that there was a hazard on the floor which caused Ms. Fulber's fall. As I have said, I was prepared, for the purposes of this analysis, to assume that it was an inadequate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After considering all of this, I am not satisfied that it is necessary to adjourn the summary trial application to enable Ms. Fulber to make more investigations. There simply is no reasonable basis to think that she would find any helpful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am able to find the facts necessary to decide the case and it would not be unjust to resolve the case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evidence does not establish that there was any hazard on the floor that caused Ms. Fulber to fall, whether it was a liquid or another foreign substance. Neither does the evidence give rise to a reasonable inference that there was liquid or another foreign substance on the place that Ms. Fulber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While the place that she fell was relatively close to the bar, it was a matter of feet from the serving area. It is highly unlikely that a drink would slosh all the way from the serving area to that area on the floor. While it may be possible that there have been times that some liquid has fallen in the place where Ms. Fulber fell, on all the evidence I must conclude that there was not a hazard in the place where Ms. Fulber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As a result, I must allow Rumpel's application. I find that Ms. Fulber has failed to establish that Rumpel is liable for the injuries from the fall and I must dismiss her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Rumpel is entitled to its costs.</w:t>
      </w:r>
      <w:r>
        <w:rPr>
          <w:rFonts w:ascii="arial" w:eastAsia="arial" w:hAnsi="arial" w:cs="arial"/>
          <w:sz w:val="20"/>
          <w:lang w:val="en-US" w:eastAsia="en-US" w:bidi="ar-SA"/>
        </w:rPr>
        <w:cr/>
      </w:r>
    </w:p>
    <w:p>
      <w:pPr>
        <w:numPr>
          <w:numId w:val="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GRAY J.</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2" style="position:absolute;z-index:2518845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16" w:history="1">
        <w:r>
          <w:rPr>
            <w:rFonts w:ascii="arial" w:eastAsia="arial" w:hAnsi="arial" w:cs="arial"/>
            <w:b/>
            <w:bCs/>
            <w:i/>
            <w:color w:val="0077CC"/>
            <w:kern w:val="32"/>
            <w:sz w:val="28"/>
            <w:szCs w:val="32"/>
            <w:u w:val="single"/>
            <w:shd w:val="clear" w:color="auto" w:fill="FFFFFF"/>
            <w:lang w:val="en-US" w:eastAsia="en-US" w:bidi="ar-SA"/>
          </w:rPr>
          <w:t>Haight-Smith v. Neden, [2000] B.C.J. No. 1679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Clancy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6,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16,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Kamloops Registry No. 25294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1679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1233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 C.C.L.T. (3d) 148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98 A.C.W.S. (3d) 1031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Barbara Haight-Smith, plaintiff, and Janice Neden, Wendy Lichlyter, Evelyn Spicer, Tony Dufficy, Ross Dickson, Tarry Trieve, Allan Critchley, Geoff Gibbard, Connie Burris, Alison McLean, Helen Franklin, Jake Bornstein, Ed Babcock, Murray Bymoen, Art Blackwell, Charlien McCauley, Chris Moore, June Neufeld, Barb Williams, Carolyn Riley a.k.a. Carolyn, School District No. 73 (Kamloops/Thompson),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3"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9" w:name="Keywords_25"/>
      <w:bookmarkEnd w:id="169"/>
      <w:r>
        <w:rPr>
          <w:rFonts w:ascii="arial" w:eastAsia="arial" w:hAnsi="arial" w:cs="arial"/>
          <w:b/>
          <w:color w:val="000000"/>
          <w:sz w:val="20"/>
          <w:lang w:val="en-US" w:eastAsia="en-US" w:bidi="ar-SA"/>
        </w:rPr>
        <w:t>Education — Teachers — Discipline of — Industrial relations — Collective agreement, enforcement — Libel and slander — Civil action — When available — Jurisdiction — Defences — Qualified privilege — Employment relationship.</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0" w:name="Case Summary_21"/>
            <w:bookmarkEnd w:id="17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to dismiss the defamation action of the plaintiff Haight-Smith. Smith was an elementary school teacher. She instituted a grievance against her school principal for harassment. An investigator from the provincial teachers' federation attended at the school. The principal spoke to staff members to explain the purpose of this visit. Smith objected to this speech and claimed that it inflamed the situation. The investigator spoke to various staff members. He found there was much tension between Smith and the principal. However, there was no basis to the grievance. The principal complained to the assistant superintendent about Smith's conduct. The superintendent suspended Smith for one day to investigate this complaint. He spoke to 19 staff members and reviewed notes provided by the principal. He suspended Smith for four months without pay. The suspension was upheld by the local school board. Smith commenced this action after her retirement. The defendants consisted of teachers at the school, the principal, the superintendent and assistant superintendent, a school secretary, support worker and a custodian. Smith sued them for defamation because of statements they made in the investigations.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71" w:name="Holdings of Court_20"/>
            <w:bookmarkEnd w:id="171"/>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action was dismissed. The court had no jurisdiction to deal with Smith's claim against the teachers, principal and the superintendents. Smith was subject to a collective agreement with the federation. Her dispute with the teachers and the principal was governed by that agreement. The superintendents stood in the place of the employer. They were also governed by the agreement. The secretary, support worker and custodian were not subject to the agreement. However, their statements were protected by qualified privilege. They had a social and moral duty to respond to the investigator's questions. They acted honestly and in good faith. They were entitled to the support of the court since they acted in the public interest.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2" w:name="Legislation Cited_21"/>
      <w:bookmarkEnd w:id="17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4" style="position:absolute;z-index:2517360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18, 18A, 19(24).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3" w:name="Counsel_25"/>
      <w:bookmarkEnd w:id="17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5" style="position:absolute;z-index:251787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 Betton, for the plaintiff. J.A. Dowler and K.E. Hume,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4" w:name="Judgment_25"/>
      <w:bookmarkEnd w:id="174"/>
      <w:r>
        <w:pict>
          <v:line id="_x0000_s1156" style="position:absolute;z-index:25183846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5" w:name="CLANCY J."/>
            <w:bookmarkEnd w:id="175"/>
            <w:r>
              <w:rPr>
                <w:rFonts w:ascii="arial" w:eastAsia="arial" w:hAnsi="arial" w:cs="arial"/>
                <w:b/>
                <w:color w:val="000000"/>
                <w:sz w:val="30"/>
                <w:lang w:val="en-US" w:eastAsia="en-US" w:bidi="ar-SA"/>
              </w:rPr>
              <w:t>CLANCY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For a period in excess of 30 years, Ms. Haight-Smith was an elementary school teacher in the Kamloops/Thompson district. She retired on September 30, 1997. This litigation involves allegations of defamation,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malice and arbitrary treatment, all of which occurred prior to Ms. Haight-Smith's retirement. The defendants now seek to have her action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May 1996 she initiated a grievance against Mr. Dufficy, the principal of Rayleigh Elementary School, where she taught. The grievance alleged harassment. Mohammed Shamsher, a member of the British Columbia Teachers Federation's ("B.C.T.F.") internal mediation service, was assigned to investigate the grievance.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Over the objections of Ms. Haight-Smith, Mr. Dufficy spoke to the staff of the school on June 24, 1996, and explained the purpose of Mr. Shamsher's visit. Ms. Haight-Smith filed a further grievance as a result of Mr. Dufficy's statements at that meeting. She alleged that Mr. Dufficy had violated the collective agreement by publishing the information thereby inflaming the situation, which should have been treated with confidentiality.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Shamsher conducted his investigation and reported on July 16, 1996, that there was a great deal of tension and difficulty between Ms. Haight-Smith and Mr. Dufficy but that there was insufficient convincing information to sustain the complaint of harassment.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After the staff meeting of June 24, 1996, Mr. Dufficy spoke to Ross Dickson, the assistant superintendent (elementary) of the Kamloops School District No. 73. He told Mr. Dickson that he thought that Ms. Haight-Smith's conduct at the staff meeting had been intimidating. He also described problems he was having placing a special needs child in her class and he told Mr. Dickson that Ms. Haight-Smith had conducted herself in an insubordinate manner on several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his affidavit, Mr. Dickson deposed, that as a result of meeting with Mr. Dufficy and receiving a telephone call from a staff member concerning intimidating comments made by Ms. Haight-Smith at the staff meeting, he determined that it would be appropriate for him as assistant superintendent to investigate the situation at Rayleigh Elementary. He conducted interviews with a number of employees and staff. He suspended Ms. Haight-Smith for one day with pay while he conducted his investigation. She has grieved that suspension.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addition to conducting 19 interviews, Mr. Dickson made reference to a collection of incident notes provided by Mr. Dufficy, in which he had recorded incidents involving staff during his tenure as principal. In particular there were recorded incidents involving Ms. Haight-Smith.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Dickson met with Ms. Haight-Smith and her counsel in August 1996 and again in September 1996. He decided that the plaintiff's conduct warranted a suspension without pay from September 12, 1996, until January 12, 1997. On September 12th he informed the plaintiff of his decision and of her right to a hearing in front of the Board of School Trustees ("the Board"). She requested a hearing before the Board and that hearing was held over the course of two Board meetings held October 19, 1996, and November 7,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Board was provided with the investigation materials and copies of all statements referred to by Mr. Dickson. He and the superintendent, Tarry Grieve, appeared for the district at the Board hearings. Ms. Haight-Smith was represented by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board resolved to suspend the plaintiff without pay from September 12, 1996, to January 12, 1997. Ms. Haight-Smith, through the Kamloops District Teachers' Association ("K.D.T.A.") grieved the Board's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Her suspension was reported to the College of Teachers and the package of materials presented by the district at the hearing was forwarded to the College. The College took no further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plaintiff returned to work at Rayleigh on January 13, 1997. She obtained certain documents relating to the Dickson investigation under the provisions of the Freedom of Information and Protection of Privacy Act, </w:t>
      </w:r>
      <w:r>
        <w:rPr>
          <w:rFonts w:ascii="arial" w:eastAsia="arial" w:hAnsi="arial" w:cs="arial"/>
          <w:i/>
          <w:color w:val="000000"/>
          <w:sz w:val="20"/>
          <w:lang w:val="en-US" w:eastAsia="en-US" w:bidi="ar-SA"/>
        </w:rPr>
        <w:t>R.S.B.C. 1996, c. 165</w:t>
      </w:r>
      <w:r>
        <w:rPr>
          <w:rFonts w:ascii="arial" w:eastAsia="arial" w:hAnsi="arial" w:cs="arial"/>
          <w:color w:val="000000"/>
          <w:sz w:val="20"/>
          <w:lang w:val="en-US" w:eastAsia="en-US" w:bidi="ar-SA"/>
        </w:rPr>
        <w:t>. She brought this action on November 10, 1998. At that time she acted on her own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February 2000, the defendants brought this motion to have the plaintiff's claim dismissed. On April 12, 2000, a notice of change of solicitor was filed, appointing Mr. Betton as solicitor for Ms. Haight-Smith. The defendants named in the statement of claim are teachers at the Rayleigh School, the principal of that school, the superintendent and assistant superintendent, a secretary at the school, a support worker at the school, a custodian at the school, and the school district. The allegations against them are extensive. There are allegations that defamatory statements were made during the investigation process, allegations of continuous negligent malicious or arbitrary acts in the exercise of managerial functions, and allegations of making false statements during that process. Ms. Haight-Smith claims for aggravated, exemplary and punitive damages for injury to her reputation and hindrance to her in carrying on her profession as a teacher.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 considerable volume of material was filed by the defendants, all of which has been taken into account. It gives considerable detail as to the career of Ms. Haight-Smith and the history of the investigatory process. Given the conclusions I have reached, there is no purpose in summarizing that background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bringing their application to dismiss the claim of Ms. Haight-Smith, the defendants rely on Rule 18, Rule 18A, and Rule 19(24) of the Rules of Court. During argument counsel expressed his agreement that the application be considered under Rule 18A. I have proceeded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grounds advanced by the defendants in seeking dismissal are:</w:t>
      </w:r>
      <w:r>
        <w:rPr>
          <w:rFonts w:ascii="arial" w:eastAsia="arial" w:hAnsi="arial" w:cs="arial"/>
          <w:sz w:val="20"/>
          <w:lang w:val="en-US" w:eastAsia="en-US" w:bidi="ar-SA"/>
        </w:rPr>
        <w:cr/>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allegations in the statement of claim are beyond the Court's jurisdiction and properly matters to be resolved under the collective agreement;</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statements alleged to be defamatory are protected by absolute privilege;</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statements alleged to be defamatory are protected by qualified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 transitional collective agreement was in place for School District No. 73. Article A.6.1 of the agreement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parties agree that this article constitutes the method and procedure for a final and conclusive settlement of any dispute (hereinafter referred to as "the grievance") respecting the interpretation, application, operation or alleged violation of this collective Agreement, including a question of whether a matter is arbitrable.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A three-step process is contemplated by the agreement. First the parties attempt to resolve the grievance. If no resolution can be reached, representatives of the union and representatives of the employee meet to attempt to resolve the grievance. If that is unsuccessful, either the employer or the union may refer a grievance to an arbitrator. Arbitration is conducted in accordance with the Labour Relations Code, </w:t>
      </w:r>
      <w:r>
        <w:rPr>
          <w:rFonts w:ascii="arial" w:eastAsia="arial" w:hAnsi="arial" w:cs="arial"/>
          <w:i/>
          <w:color w:val="000000"/>
          <w:sz w:val="20"/>
          <w:lang w:val="en-US" w:eastAsia="en-US" w:bidi="ar-SA"/>
        </w:rPr>
        <w:t>R.S.B.C. 1996, c. 244</w:t>
      </w:r>
      <w:r>
        <w:rPr>
          <w:rFonts w:ascii="arial" w:eastAsia="arial" w:hAnsi="arial" w:cs="arial"/>
          <w:color w:val="000000"/>
          <w:sz w:val="20"/>
          <w:lang w:val="en-US" w:eastAsia="en-US" w:bidi="ar-SA"/>
        </w:rPr>
        <w:t>. That code provides for a final and conclusive settlement of disputes under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position of the defendants is that the claims of Ms. Haight-Smith against the defendants arise out of the interpretation, application, operation or violation of the collective agreement and should be resolved under the provisions of that agreement. Because the matters involved do or could form the subject matter of a grievance under the collective agreement, the Court is without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Authority for that position flows from Weber v. Ontario Hydro </w:t>
      </w:r>
      <w:hyperlink r:id="rId517" w:history="1">
        <w:r>
          <w:rPr>
            <w:rFonts w:ascii="arial" w:eastAsia="arial" w:hAnsi="arial" w:cs="arial"/>
            <w:i/>
            <w:color w:val="0077CC"/>
            <w:sz w:val="20"/>
            <w:u w:val="single"/>
            <w:shd w:val="clear" w:color="auto" w:fill="FFFFFF"/>
            <w:lang w:val="en-US" w:eastAsia="en-US" w:bidi="ar-SA"/>
          </w:rPr>
          <w:t>(1995), 125 D.L.R. (4th) 583</w:t>
        </w:r>
      </w:hyperlink>
      <w:r>
        <w:rPr>
          <w:rFonts w:ascii="arial" w:eastAsia="arial" w:hAnsi="arial" w:cs="arial"/>
          <w:color w:val="000000"/>
          <w:sz w:val="20"/>
          <w:lang w:val="en-US" w:eastAsia="en-US" w:bidi="ar-SA"/>
        </w:rPr>
        <w:t xml:space="preserve"> (S.C.C.). In Weber the Court considered various views or models of binding arbitration clauses in labour legislation. It adopted what was described as the exclusive jurisdiction model. At p. 601-602 McLachlin J. (as she then was)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final alternative is to accept that if the difference between the parties arises from the collective agreement, the claimant must proceed by arbitration and the Courts have no power to entertain an action in respect of that dispute. There is no overlapping jurisdiction.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this approach, the task of the judge or arbitrator determining the appropriate forum for the proceedings centres on whether the dispute or difference between the parties arises out of the collective agreement. Two elements must be considered: the dispute and the ambit of the collective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...Some cases, however, may be less than obvious. The question in each case is whether the dispute, in its essential character, arises from the interpretation, application, administration or violation of the collective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the nature of the dispute and the ambit of the collective agreement will vary from case to case, it is impossible to categorize the classes of case that will fall within the exclusive jurisdiction of the arbitrator. However, a review of decisions over the past few years reveals the following claims among those over which the Courts have been found to lack jurisdiction: wrongful dismissal; bad faith on the part of the union; conspiracy and constructive dismissal; and damage to reputation.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McLachlin J. went on the hold that the Courts are not precluded from hearing all actions between employers and employees. She said at p. 603: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Only disputes which expressly or inferentially arise out of the collective agreement are foreclosed to the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She went on to hold that in considering disputes under the collective agreement, arbitrators have jurisdiction over torts and Charter claims in that, in "fashioning an appropriate remedy, the arbitrator will have regard to whether the breach of the collective agreement also constitutes a breach of common law duty, or of the Charter" (p. 603).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determining whether the dispute here arises out of the collective agreement, the decision of Esson J. (as he then was) in Ram v. Prasad </w:t>
      </w:r>
      <w:hyperlink r:id="rId518" w:history="1">
        <w:r>
          <w:rPr>
            <w:rFonts w:ascii="arial" w:eastAsia="arial" w:hAnsi="arial" w:cs="arial"/>
            <w:i/>
            <w:color w:val="0077CC"/>
            <w:sz w:val="20"/>
            <w:u w:val="single"/>
            <w:shd w:val="clear" w:color="auto" w:fill="FFFFFF"/>
            <w:lang w:val="en-US" w:eastAsia="en-US" w:bidi="ar-SA"/>
          </w:rPr>
          <w:t>(1996), 27 B.C.L.R. (3d) 300</w:t>
        </w:r>
      </w:hyperlink>
      <w:r>
        <w:rPr>
          <w:rFonts w:ascii="arial" w:eastAsia="arial" w:hAnsi="arial" w:cs="arial"/>
          <w:color w:val="000000"/>
          <w:sz w:val="20"/>
          <w:lang w:val="en-US" w:eastAsia="en-US" w:bidi="ar-SA"/>
        </w:rPr>
        <w:t xml:space="preserve">, is of assistance. Esson J. noted that McLachlin J. in Weber had cited with approval the decision of Lowry J. in Forster v. Canadian Airlines International Ltd. </w:t>
      </w:r>
      <w:hyperlink r:id="rId519" w:history="1">
        <w:r>
          <w:rPr>
            <w:rFonts w:ascii="arial" w:eastAsia="arial" w:hAnsi="arial" w:cs="arial"/>
            <w:i/>
            <w:color w:val="0077CC"/>
            <w:sz w:val="20"/>
            <w:u w:val="single"/>
            <w:shd w:val="clear" w:color="auto" w:fill="FFFFFF"/>
            <w:lang w:val="en-US" w:eastAsia="en-US" w:bidi="ar-SA"/>
          </w:rPr>
          <w:t>(1993), 109 D.L.R. (4th) 731</w:t>
        </w:r>
      </w:hyperlink>
      <w:r>
        <w:rPr>
          <w:rFonts w:ascii="arial" w:eastAsia="arial" w:hAnsi="arial" w:cs="arial"/>
          <w:color w:val="000000"/>
          <w:sz w:val="20"/>
          <w:lang w:val="en-US" w:eastAsia="en-US" w:bidi="ar-SA"/>
        </w:rPr>
        <w:t xml:space="preserve"> (B.C.S.C.). That decision involved a claim for damage to reputation. Lowry J. found that the dispute arose out of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Venneri v. Bascom </w:t>
      </w:r>
      <w:hyperlink r:id="rId520" w:history="1">
        <w:r>
          <w:rPr>
            <w:rFonts w:ascii="arial" w:eastAsia="arial" w:hAnsi="arial" w:cs="arial"/>
            <w:i/>
            <w:color w:val="0077CC"/>
            <w:sz w:val="20"/>
            <w:u w:val="single"/>
            <w:shd w:val="clear" w:color="auto" w:fill="FFFFFF"/>
            <w:lang w:val="en-US" w:eastAsia="en-US" w:bidi="ar-SA"/>
          </w:rPr>
          <w:t>(1996), 28 O.R. (3d) 281</w:t>
        </w:r>
      </w:hyperlink>
      <w:r>
        <w:rPr>
          <w:rFonts w:ascii="arial" w:eastAsia="arial" w:hAnsi="arial" w:cs="arial"/>
          <w:color w:val="000000"/>
          <w:sz w:val="20"/>
          <w:lang w:val="en-US" w:eastAsia="en-US" w:bidi="ar-SA"/>
        </w:rPr>
        <w:t xml:space="preserve"> (Ont. Gen. Div.), the Court held at p. 292 that the question is whether the act complained of is "inextricably bound up in the whole factual matrix of the employment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Mr. Betton, on behalf of Ms. Haight-Smith, accepts those general principles. He points out, however, that in Ram v. Prasad, supra, Esson J. specifically stated that on the facts before him it was not clear that any claim had been made on the basis of defamation. In Mr. Betton's submission, defamation is not a claim arising under the collective agreement. In support of that contention, he referred to Kovlaske v. International Woodworkers of America, Local 1-217, </w:t>
      </w:r>
      <w:hyperlink r:id="rId521" w:history="1">
        <w:r>
          <w:rPr>
            <w:rFonts w:ascii="arial" w:eastAsia="arial" w:hAnsi="arial" w:cs="arial"/>
            <w:i/>
            <w:color w:val="0077CC"/>
            <w:sz w:val="20"/>
            <w:u w:val="single"/>
            <w:shd w:val="clear" w:color="auto" w:fill="FFFFFF"/>
            <w:lang w:val="en-US" w:eastAsia="en-US" w:bidi="ar-SA"/>
          </w:rPr>
          <w:t>[1998] B.C.J. No. 1135</w:t>
        </w:r>
      </w:hyperlink>
      <w:r>
        <w:rPr>
          <w:rFonts w:ascii="arial" w:eastAsia="arial" w:hAnsi="arial" w:cs="arial"/>
          <w:color w:val="000000"/>
          <w:sz w:val="20"/>
          <w:lang w:val="en-US" w:eastAsia="en-US" w:bidi="ar-SA"/>
        </w:rPr>
        <w:t>, (13 May 1998) Vancouver Reg. C946506 &amp; C946507, where Madam Justice Loo referred to Weber and Ram v. Prasad in determining whether the action in defamation before her fell within the exclusive jurisdiction of the Labour Arbitration Board. She held that jurisdiction was vested in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Kovlaske the plaintiff was not a party to the collective agreement. The damages claimed were personal to him. That is not the situation before me. Ms. Haight-Smith is subject to the provisions of the collective agreement. Kovlaske does not support the position that actions in defamation fall outside the purview of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It is true, as Mr. Betton points out, that Esson J. stated in Ram v. Prasad that it was not clear that any claim was made on the basis of defamation. He did however, comment that the Supreme Court of Canada had approved the decision in Forster v. Canadian Airlines International Ltd. The decision in Forster is one I should follow in any event. I have not been provided with a reason which persuades me that I should distinguish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Mr. Betton relied as well on Hall v. Puchniak (1995), 43 C.P.C. (3d) 321 (Man. C.A.), where the Court held that defamation was a tort unrelated to the contract of employment. No reference was made in that decision to Weber v. Ontario Hydro. In Kulyk v. Toronto Board of Education </w:t>
      </w:r>
      <w:hyperlink r:id="rId522" w:history="1">
        <w:r>
          <w:rPr>
            <w:rFonts w:ascii="arial" w:eastAsia="arial" w:hAnsi="arial" w:cs="arial"/>
            <w:i/>
            <w:color w:val="0077CC"/>
            <w:sz w:val="20"/>
            <w:u w:val="single"/>
            <w:shd w:val="clear" w:color="auto" w:fill="FFFFFF"/>
            <w:lang w:val="en-US" w:eastAsia="en-US" w:bidi="ar-SA"/>
          </w:rPr>
          <w:t>(1996), 139 D.L.R. (4th) 114</w:t>
        </w:r>
      </w:hyperlink>
      <w:r>
        <w:rPr>
          <w:rFonts w:ascii="arial" w:eastAsia="arial" w:hAnsi="arial" w:cs="arial"/>
          <w:color w:val="000000"/>
          <w:sz w:val="20"/>
          <w:lang w:val="en-US" w:eastAsia="en-US" w:bidi="ar-SA"/>
        </w:rPr>
        <w:t xml:space="preserve"> (Ont. Gen. Div.), the Court did refer to Weber but followed Hall v. Puchniak and refused to dismiss an action which included claims for defamation and mental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Mr. Betton concludes from those authorities that the issue of whether allegations of defamation are outside the collective agreement remains to be resolved. I do not agree. In Forster Lowry J. cited a number of authorities in reaching his conclusion that the Courts have determined that defamation claims fall within the terms of the collective agreement. Forster was cited with approval in Phillips v. Harrison, </w:t>
      </w:r>
      <w:hyperlink r:id="rId523" w:history="1">
        <w:r>
          <w:rPr>
            <w:rFonts w:ascii="arial" w:eastAsia="arial" w:hAnsi="arial" w:cs="arial"/>
            <w:i/>
            <w:color w:val="0077CC"/>
            <w:sz w:val="20"/>
            <w:u w:val="single"/>
            <w:shd w:val="clear" w:color="auto" w:fill="FFFFFF"/>
            <w:lang w:val="en-US" w:eastAsia="en-US" w:bidi="ar-SA"/>
          </w:rPr>
          <w:t>2000 MBQB 6</w:t>
        </w:r>
      </w:hyperlink>
      <w:r>
        <w:rPr>
          <w:rFonts w:ascii="arial" w:eastAsia="arial" w:hAnsi="arial" w:cs="arial"/>
          <w:color w:val="000000"/>
          <w:sz w:val="20"/>
          <w:lang w:val="en-US" w:eastAsia="en-US" w:bidi="ar-SA"/>
        </w:rPr>
        <w:t xml:space="preserve">, </w:t>
      </w:r>
      <w:hyperlink r:id="rId523" w:history="1">
        <w:r>
          <w:rPr>
            <w:rFonts w:ascii="arial" w:eastAsia="arial" w:hAnsi="arial" w:cs="arial"/>
            <w:i/>
            <w:color w:val="0077CC"/>
            <w:sz w:val="20"/>
            <w:u w:val="single"/>
            <w:shd w:val="clear" w:color="auto" w:fill="FFFFFF"/>
            <w:lang w:val="en-US" w:eastAsia="en-US" w:bidi="ar-SA"/>
          </w:rPr>
          <w:t>[2000] M.J. No. 133</w:t>
        </w:r>
      </w:hyperlink>
      <w:r>
        <w:rPr>
          <w:rFonts w:ascii="arial" w:eastAsia="arial" w:hAnsi="arial" w:cs="arial"/>
          <w:color w:val="000000"/>
          <w:sz w:val="20"/>
          <w:lang w:val="en-US" w:eastAsia="en-US" w:bidi="ar-SA"/>
        </w:rPr>
        <w:t>. In that decision Menzies J. refused to follow Hall v. Puchniak and held at para.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Hall decision was issued prior to the landmark decision of the Supreme Court of Canada in Weber. In my opinion, the process outlined by McLachlin J. for determining the 'essential character' of the dispute brings this particular action within the grievance process set out in the RCMP Act, and therefore the Court lacks jurisdiction to hear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Giorno v. Pappas </w:t>
      </w:r>
      <w:hyperlink r:id="rId524" w:history="1">
        <w:r>
          <w:rPr>
            <w:rFonts w:ascii="arial" w:eastAsia="arial" w:hAnsi="arial" w:cs="arial"/>
            <w:i/>
            <w:color w:val="0077CC"/>
            <w:sz w:val="20"/>
            <w:u w:val="single"/>
            <w:shd w:val="clear" w:color="auto" w:fill="FFFFFF"/>
            <w:lang w:val="en-US" w:eastAsia="en-US" w:bidi="ar-SA"/>
          </w:rPr>
          <w:t>(1998), 50 O.T.C. 198</w:t>
        </w:r>
      </w:hyperlink>
      <w:r>
        <w:rPr>
          <w:rFonts w:ascii="arial" w:eastAsia="arial" w:hAnsi="arial" w:cs="arial"/>
          <w:color w:val="000000"/>
          <w:sz w:val="20"/>
          <w:lang w:val="en-US" w:eastAsia="en-US" w:bidi="ar-SA"/>
        </w:rPr>
        <w:t xml:space="preserve">, affirmed </w:t>
      </w:r>
      <w:hyperlink r:id="rId525" w:history="1">
        <w:r>
          <w:rPr>
            <w:rFonts w:ascii="arial" w:eastAsia="arial" w:hAnsi="arial" w:cs="arial"/>
            <w:i/>
            <w:color w:val="0077CC"/>
            <w:sz w:val="20"/>
            <w:u w:val="single"/>
            <w:shd w:val="clear" w:color="auto" w:fill="FFFFFF"/>
            <w:lang w:val="en-US" w:eastAsia="en-US" w:bidi="ar-SA"/>
          </w:rPr>
          <w:t>(1999) 170 D.L.R. (4th) 160</w:t>
        </w:r>
      </w:hyperlink>
      <w:r>
        <w:rPr>
          <w:rFonts w:ascii="arial" w:eastAsia="arial" w:hAnsi="arial" w:cs="arial"/>
          <w:color w:val="000000"/>
          <w:sz w:val="20"/>
          <w:lang w:val="en-US" w:eastAsia="en-US" w:bidi="ar-SA"/>
        </w:rPr>
        <w:t xml:space="preserve"> (O.C.A.), an action in defamation was held to fall within the ambit of the collective agreement. The Court was found to be without jurisdiction. Other decisions reaching similar conclusions are Graham v. Strait Crossing Inc. </w:t>
      </w:r>
      <w:hyperlink r:id="rId526" w:history="1">
        <w:r>
          <w:rPr>
            <w:rFonts w:ascii="arial" w:eastAsia="arial" w:hAnsi="arial" w:cs="arial"/>
            <w:i/>
            <w:color w:val="0077CC"/>
            <w:sz w:val="20"/>
            <w:u w:val="single"/>
            <w:shd w:val="clear" w:color="auto" w:fill="FFFFFF"/>
            <w:lang w:val="en-US" w:eastAsia="en-US" w:bidi="ar-SA"/>
          </w:rPr>
          <w:t>(1998), 160 D.L.R. (4th) 173</w:t>
        </w:r>
      </w:hyperlink>
      <w:r>
        <w:rPr>
          <w:rFonts w:ascii="arial" w:eastAsia="arial" w:hAnsi="arial" w:cs="arial"/>
          <w:color w:val="000000"/>
          <w:sz w:val="20"/>
          <w:lang w:val="en-US" w:eastAsia="en-US" w:bidi="ar-SA"/>
        </w:rPr>
        <w:t xml:space="preserve"> (P.E.I.S.C.); Ortiz v. Patrk (1998), 26 C.P.C. (4th) 56 (Ont. Gen. Div.).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find nothing in the factual circumstances before me to distinguish the latter line of authorities. Ms. Haight-Smith is subject to the collective agreement. The circumstances arise directly from her employment as a teacher and are within the purview of the agreement. Her dispute with the defendants arises from the employment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conclude that the Court is without jurisdiction in respect of the defendants who are teachers, former teachers, principals or vice-principals. They are members of the B.C.T.F. and subject to the provisions of the collective agreement. The action against them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action against the superintendent and assistant superintendent is dismissed as well. Counsel for Ms. Haight-Smith conceded that those officers stand in the shoes of the employer. They too are subject to the provisions of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Submissions were not directed specifically to the question of whether the action could proceed only against the school support worker, the school secretary, and the school custodian. Presumably those persons are not members of the B.C.T.F. and therefore not subject to the provisions of the collective agreement. Accepting that to be so, but not deciding that issue, I find that the distinction does not assist Ms. Haight-Smith.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It may be that absolute privilege may only be claimed by members of the union and staff representing the employer. The action has been dismissed on other grounds against those defendants. I will not therefore deal with absolute privilege. I prefer to consider the complaints against non-member defendants in the context of determining whether or not they enjoy qualified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Mr. Betton accepts that qualified privilege exists where the person making a statement has a social, moral, or legal duty to make the statement, and the person receiving the statement has a social, moral, or legal duty to receive it. He referred in his submission to that principle as an unassailable statement of law. I agree. That principle was expressed in McLoughlin v. Kutasy </w:t>
      </w:r>
      <w:hyperlink r:id="rId527" w:history="1">
        <w:r>
          <w:rPr>
            <w:rFonts w:ascii="arial" w:eastAsia="arial" w:hAnsi="arial" w:cs="arial"/>
            <w:i/>
            <w:color w:val="0077CC"/>
            <w:sz w:val="20"/>
            <w:u w:val="single"/>
            <w:shd w:val="clear" w:color="auto" w:fill="FFFFFF"/>
            <w:lang w:val="en-US" w:eastAsia="en-US" w:bidi="ar-SA"/>
          </w:rPr>
          <w:t>(1979), 8 C.C.L.T. 105</w:t>
        </w:r>
      </w:hyperlink>
      <w:r>
        <w:rPr>
          <w:rFonts w:ascii="arial" w:eastAsia="arial" w:hAnsi="arial" w:cs="arial"/>
          <w:color w:val="000000"/>
          <w:sz w:val="20"/>
          <w:lang w:val="en-US" w:eastAsia="en-US" w:bidi="ar-SA"/>
        </w:rPr>
        <w:t xml:space="preserve"> (S.C.C.). The contention of Ms. Haight-Smith, however, is that qualified privilege is forfeited where there is malice on the part of the person making the statement. Korach v. Moore </w:t>
      </w:r>
      <w:hyperlink r:id="rId528" w:history="1">
        <w:r>
          <w:rPr>
            <w:rFonts w:ascii="arial" w:eastAsia="arial" w:hAnsi="arial" w:cs="arial"/>
            <w:i/>
            <w:color w:val="0077CC"/>
            <w:sz w:val="20"/>
            <w:u w:val="single"/>
            <w:shd w:val="clear" w:color="auto" w:fill="FFFFFF"/>
            <w:lang w:val="en-US" w:eastAsia="en-US" w:bidi="ar-SA"/>
          </w:rPr>
          <w:t>(1991), 1 O.R. (3d) 275</w:t>
        </w:r>
      </w:hyperlink>
      <w:r>
        <w:rPr>
          <w:rFonts w:ascii="arial" w:eastAsia="arial" w:hAnsi="arial" w:cs="arial"/>
          <w:color w:val="000000"/>
          <w:sz w:val="20"/>
          <w:lang w:val="en-US" w:eastAsia="en-US" w:bidi="ar-SA"/>
        </w:rPr>
        <w:t xml:space="preserve"> (Ont. C.A.). Indirect motives other than a sense of duty will serve of proof as malice and do away with any allegation of qualified privilege: Westbank Band of Indians v. Tomat, </w:t>
      </w:r>
      <w:hyperlink r:id="rId529" w:history="1">
        <w:r>
          <w:rPr>
            <w:rFonts w:ascii="arial" w:eastAsia="arial" w:hAnsi="arial" w:cs="arial"/>
            <w:i/>
            <w:color w:val="0077CC"/>
            <w:sz w:val="20"/>
            <w:u w:val="single"/>
            <w:shd w:val="clear" w:color="auto" w:fill="FFFFFF"/>
            <w:lang w:val="en-US" w:eastAsia="en-US" w:bidi="ar-SA"/>
          </w:rPr>
          <w:t>[1989] B.C.J. No. 1638</w:t>
        </w:r>
      </w:hyperlink>
      <w:r>
        <w:rPr>
          <w:rFonts w:ascii="arial" w:eastAsia="arial" w:hAnsi="arial" w:cs="arial"/>
          <w:color w:val="000000"/>
          <w:sz w:val="20"/>
          <w:lang w:val="en-US" w:eastAsia="en-US" w:bidi="ar-SA"/>
        </w:rPr>
        <w:t>, (6 September 1989), Kelowna Reg. 86-205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find that the materials filed disclose no malice on the part of any of the persons involved. On the contrary, the teachers, secretary, support worker and custodian who were interviewed, at the very least, had a social or moral duty to respond to the questions of Mr. Shamsher and Mr. Dickson. They should be commended for speaking honestly despite the threat of litigation which was implied, if not expressly stated, by Ms. Haight-Smith. Good faith disclosures are in the public interest. The furtherance of that public interest requires that persons in the position of the teachers and staff receive the support of the Court when they respond in good faith to investigations such as these.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qualified privilege extended to the investigatory process does not depend on membership in the B.C.T.F. The employees of the school district are equally entitled to the benefit of the protection of qualified privilege. The action against the non-member defendants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APPLICATION TO ADJOURN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During submissions, Mr. Betton applied for an adjournment so that materials could be filed by Ms. Haight-Smith. That application is denied. She had ample time to prepare for the application, notice having been served upon her in February 2000. Mr. Betton was retained in early April. He had approximately two months to respond had he chosen to do so. The circumstances are similar to those in Wendeb Properties Inc. v. Elite Ins. Mgmt. Ltd. </w:t>
      </w:r>
      <w:hyperlink r:id="rId530" w:history="1">
        <w:r>
          <w:rPr>
            <w:rFonts w:ascii="arial" w:eastAsia="arial" w:hAnsi="arial" w:cs="arial"/>
            <w:i/>
            <w:color w:val="0077CC"/>
            <w:sz w:val="20"/>
            <w:u w:val="single"/>
            <w:shd w:val="clear" w:color="auto" w:fill="FFFFFF"/>
            <w:lang w:val="en-US" w:eastAsia="en-US" w:bidi="ar-SA"/>
          </w:rPr>
          <w:t>(1991), 53 B.C.L.R. (2d) 246</w:t>
        </w:r>
      </w:hyperlink>
      <w:r>
        <w:rPr>
          <w:rFonts w:ascii="arial" w:eastAsia="arial" w:hAnsi="arial" w:cs="arial"/>
          <w:color w:val="000000"/>
          <w:sz w:val="20"/>
          <w:lang w:val="en-US" w:eastAsia="en-US" w:bidi="ar-SA"/>
        </w:rPr>
        <w:t>, where the Court held that the obtaining of judgment by the plaintiff under Rule 18A before examinations for discovery were held was not unfair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plaintiff's claim against all the defendants is dismissed. The defendants have agreed that the balance of the relief claimed in their notice of motion should be dismissed and I so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defendants are entitled to their costs as against Ms. Haight-Smith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CLANCY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7" style="position:absolute;z-index:2518855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31"/>
          <w:headerReference w:type="default" r:id="rId532"/>
          <w:footerReference w:type="even" r:id="rId533"/>
          <w:footerReference w:type="default" r:id="rId534"/>
          <w:headerReference w:type="first" r:id="rId535"/>
          <w:footerReference w:type="first" r:id="rId53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37" w:history="1">
        <w:r>
          <w:rPr>
            <w:rFonts w:ascii="arial" w:eastAsia="arial" w:hAnsi="arial" w:cs="arial"/>
            <w:b/>
            <w:bCs/>
            <w:i/>
            <w:color w:val="0077CC"/>
            <w:kern w:val="32"/>
            <w:sz w:val="28"/>
            <w:szCs w:val="32"/>
            <w:u w:val="single"/>
            <w:shd w:val="clear" w:color="auto" w:fill="FFFFFF"/>
            <w:lang w:val="en-US" w:eastAsia="en-US" w:bidi="ar-SA"/>
          </w:rPr>
          <w:t>Loewen Estate v. Banwait, [2013] B.C.J. No. 369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Chilliwack,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R.J. Sewell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28-30 and December 3-7,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4,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S22013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Chilliwack</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369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337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Erika Jarvie, Executor of the Estate of Peter Loewen, Plaintiff, and Jasbir Banwait, Manbir Banwait, and Kailash Saini,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8"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6" w:name="Keywords_26"/>
      <w:bookmarkEnd w:id="176"/>
      <w:r>
        <w:rPr>
          <w:rFonts w:ascii="arial" w:eastAsia="arial" w:hAnsi="arial" w:cs="arial"/>
          <w:b/>
          <w:color w:val="000000"/>
          <w:sz w:val="20"/>
          <w:lang w:val="en-US" w:eastAsia="en-US" w:bidi="ar-SA"/>
        </w:rPr>
        <w:t>Landlord and tenant law — Residential tenancies — Landlord's remedies — Recovery of rent — Distress — Arrears of rent — Termination by landlord — Death of tenant — Landlord's duties — Preservation of tenant's property — Access by executor or administrator — Action by estate executor for general and punitive damages for trespass and conversion allowed in part — Deceased operated pigeon farm on property leased from defendants — Following deceased's death, estate executor was denied access to property until arrears of rent paid, and pigeons were stolen from property — Defendants terminated lease when they denied access to property — Upon termination of lease defendants lost right to distrain and their actions therefore constituted trespass and conversion — Plaintiff entitled to damages of $50,000 less set-off of $17,600 for arrears of rent.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Trespass — To goods — Conversion — To land — Particular situations of trespass — Landlord and tenant — Action by estate executor for general and punitive damages for trespass and conversion allowed in part — Deceased operated pigeon farm on property leased from defendants — Following deceased's death, estate executor was denied access to property until arrears of rent paid, and pigeons were stolen from property — Defendants terminated lease when they denied access to property — Upon termination of lease defendants lost right to distrain and their actions therefore constituted trespass and conversion — Plaintiff entitled to damages of $50,000 less set-off of $17,600 for arrears of rent.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7" w:name="Case Summary_22"/>
            <w:bookmarkEnd w:id="17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estate executor for general and punitive damages for trespass and conversion. In 2008, the deceased purchased a pigeon farm operation, including breeding pigeons, barns and equipment, for approximately $95,000. He operated the pigeon farm on a farm property owned by the defendants, for which he was to pay $800 per month in rent. The farm consistently operated at a loss and the deceased had difficulty make the rent payments. The deceased allegedly did contract work for the defendants, which was to be credited against the rent. The deceased was found dead in his trailer on the property on September 4, 2010. Between September 4 and 23, various persons acting on behalf of the plaintiff accessed the property to care for the flock of pigeons. On September 21, it was discovered that the deceased's truck had been stolen and that some pigeons had been released from their crates. From September 23 onwards, the plaintiff's representatives were denied access to the property by another individual who lived on the property. Access was denied on the advice of the individual who sold the pigeon farm to the deceased. Thereafter, the defendants continued to deny the plaintiff's representatives access to the property unless the arrears of rent were paid. After September 2010, there were a number of thefts of pigeons from the property. In addition, the pigeons were subject to predation by cats and rats. As a result, by December 2010, there were no longer any pigeons on the property. The defendants admitted receiving a $4,000 cheque and an additional payment of $800. As a result, they alleged that as of the date of the deceased's death, there were arrears of rent of $17,600. The defendants denied that there was any agreement to credit work done by the deceased against the rent.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78" w:name="Holdings of Court_21"/>
            <w:bookmarkEnd w:id="178"/>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defendants terminated the lease effective September 23, 2010, by expressly denying the plaintiff's representatives access to the property. As the defendants had terminated the lease, they lost the right to distrain and their actions after that date constituted the torts of conversion and trespass. The plaintiff was entitled to damages of $50,000 for conversion. As there was no evidence that the plaintiff attempted to recover possession of the trailer in which the deceased had lived, the plaintiff abandoned the trailer and therefore suffered no loss from its disposal by the defendants. The evidence did not support an award of punitive damages. The plaintiff had not proven that rent was paid or that there was an agreement to accept services in lieu of rent. While the deceased told others that there was an agreement for services in lieu of rent, there was on evidence of an agreement and the defendants denied that existence of such an agreement. As a result, as of the deceased's date of death there were arrears of rent of $17,600. Consequently, the plaintiff was entitled to a net judgment of $32,400 being the award of damages of $50,000 less the set-off amount of $17,600 for arrears of rent.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9" w:name="Legislation Cited_22"/>
      <w:bookmarkEnd w:id="17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9" style="position:absolute;z-index:2517370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1-3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0" w:name="Counsel_26"/>
      <w:bookmarkEnd w:id="18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0" style="position:absolute;z-index:251788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J.L. Zacharias and H.L. Bains.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 Grewal.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1" w:name="Judgment_26"/>
      <w:bookmarkEnd w:id="181"/>
      <w:r>
        <w:pict>
          <v:line id="_x0000_s1161" style="position:absolute;z-index:251839488"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March 4, 2013; the change has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2" w:name="R.J. SEWELL J."/>
            <w:bookmarkEnd w:id="182"/>
            <w:r>
              <w:rPr>
                <w:rFonts w:ascii="arial" w:eastAsia="arial" w:hAnsi="arial" w:cs="arial"/>
                <w:b/>
                <w:color w:val="000000"/>
                <w:sz w:val="30"/>
                <w:lang w:val="en-US" w:eastAsia="en-US" w:bidi="ar-SA"/>
              </w:rPr>
              <w:t>R.J. SEWELL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this action the plaintiff is the executor of the estate of her brother Peter Loewen. She seeks general and punitive damages for trespass and conversion against the defendants arising out of actions taken following Peter Loewen's untimely death at his own hand on September 2,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Manbir Banwait and Kailash Saini are the registered owners of farm property located at 1967 Queen Street, Abbotsford, British Columbia ("Queen Street"). The defendant Jasbir Banwait is a former owner of the property and the father of Manbir Banwait and at all times had full authority to act on behalf of the registered owners, who agree that they are bound by his 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Peter Loewen is a member of a family that for some time has operated a poultry farm in the Fraser Valley of British Columbia. For reasons that were not explained in the evidence, he seems to have become somewhat estranged from that family in the years before his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2008, Peter Loewen purchased an existing pigeon farm located on a portion of Queen Street from Mr. Jake Gunther. The total price paid by Peter Loewen for the farm, including breeding pigeons, barns and equipment was $89,704. It appears from the documentation that Peter Loewen took possession of the farm on April 1, 2008. According to an account statement from Mr. Gunther dated June 10, 2008, he sold another 30 pairs of breeding pigeons to Peter Loewen together with two additional barn buildings for a further $4,500 between April 1 and that date. Mr. Gunther and Peter Loewen agreed that part of the purchase price would be paid by the transfer of a Toyota Truck at an agreed value of $23,000. In the result, the total consideration paid by Peter Loewen for the farm operation was approximately $95,000. According to Mr. Gunther, the Toyota was overvalued at $23,000 although there was no independent valuation of it put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Peter Loewen operated the pigeon farm on the property at Queen Street from April 1, 2008 until the date of his death. It is agreed that the rent payable to the defendants for the right to operate the farm on Queen Street was $800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It is common ground that the farm consistently operated at a loss. It was not seriously disputed and I find that Peter Loewen was not an effective manager. In particular, he failed to follow farm and husbandry practices that would have enhanced the value of his flock and farm operation. The most significant of his management deficiencies were his failure to keep adequate records of his operation and the pedigree of his breeding stock, his failure to ensure that breeding pairs of similar ages were created and the somewhat haphazard way he selected birds to go to the processors.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Peter Loewen also had difficulty in making the lease payments of $800 per month. The parties dispute the amount of rent actually paid or that should be credited for the 30 months that Peter Loewen operated the farm. The plaintiff's position is that there were virtually no arrears as of September 2010. The defendants submit that there were arrears of $17,600 as of the date of death. The only payment by cheque was made in June 2010 in the amount of $4000. In the defendants' response to civil claim, they admit receipt of rent for the months of April and May 2008 and a further $4000 in August 2009. However, Jasbir Banwait's evidence at trial was that there were only two rent payments, one for $800 and one for $4000.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addition to the dispute over the amount of cash payments on account of rent, the plaintiff alleges that Peter Loewen did contract work for the defendants that was credited against rent otherwise payable. At trial, the plaintiff produced invoices prepared by Peter Loewen directed to Jasbir Banwait for work allegedly done at Queen Street and at Jasbir Banwait's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However, Jasbir Banwait denied that there was any agreement to credit work against the rent for Queen Street. The plaintiff failed to establish that Jasbir Banwait had received the invoices. Jasbir's evidence was that he permitted Peter Loewen to use a large bulldozer to do work related to his own farm, and not for the benefit of Jasbir Banwait. He also testified that Peter Loewen damaged the bulldozer.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As landlord, the defendants had the onus of proving that Peter Loewen agreed to pay rent of $800 per month. They have discharged that onus. Exhibit 10 is an agreement dated January 31, 2010 signed by Peter Loewen and Jasbir Banwait confirming a three-year lease with rent payable at $800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onus of proving that the rent was paid and that there was an agreement to accept services in lieu of rent is on the plaintiff. The plaintiff has not discharged that onus in this case. The only direct evidence of such an arrangement was Peter Loewen's statement to his accountants and others that such an arrangement had been made. However there is no evidence of any agreement as to the terms on which such services were to be provided or the rates that were to be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Robert Vermette testified that he helped Peter Loewen work on perimeter drains on Jasbir Banwait's house on two occasions. He testified that he was not paid for his work. The plaintiff submits that this evidence corroborates that there was an arrangement to satisfy rent through the provision of services. However, I cannot draw any conclusion as to the existence of the agreement alleged by the plaintiff from the facts related by Mr. Vermette, because he had no direct knowledge of the arrangements between Peter Loewen and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a general rule, rent is payable in cash. I note that there is nothing in the letter agreement of January 31, 2010 suggesting that the rent for Queen Street would be payable otherwise than in cash.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Peter Loewen's statements to others are of course hearsay and inadmissible against the defendants unless they can be admitted on some principled ground. In the circumstances of this case, I am not satisfied that I can place reliance on this evidence. Peter Loewen obviously had an interest in the content of the invoices. To find such an agreement, I must reject Jasbir Banwait's denial of it as untruthful. In the face of the defendants' denial of such an arrangement or any document in the possession of the defendants evidencing such an agreement, I am unable to find that the defendants agreed to rent being paid in that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defendants submit that the rent outstanding as of September 2010 was $17,600.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the admissible evidence before me it is clear that some rent was paid. The response to civil claim admitted that the rent for April and June 2008 was paid. That same document also admits that $4000 was paid in August 2009. However, I am satisfied that this admitted payment was intended to refer to the one made by cheque in June 2010. I make this finding because apart from the admission, there is nothing before me to support the conclusion that two payments of $4000 were made. In this regard, the response to civil claim asserts that the total rental paid was $4800. I infer that the $800 payment acknowledged by Jasbir Banwait was in addition to the April and May 2008 payments admitted in the response to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Based on the 30-month occupation by Peter Loewen, the admission in the defence that the rent for April and May was paid and Mr. Banwait acknowledgement of payments of $4800, I conclude that the rental arrears as of September 2010 were $17,600, or $24,000 less $6,400.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therefore find that there was unpaid rent of $17,600 outstanding as of August 31,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Although Peter Loewen died on September 2, his body was not discovered until September 4. On that date, his brother-in-law Ernie Fast and his father Henry Loewen went to Queen Street to look for him because he had not been seen or heard from for a few days. They found his body in a fifth wheel trailer in which he had been living on the property. When they arrived at the property, the driveway was blocked by a locked gate. However, they had no difficulty in gaining access through an opening in the fencing beside the driveway 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chronology of events after September 4 is somewhat disputed. However, the facts material to making the necessary findings with respect to the claims for conversion and trespass are readily apparent.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Between September 4 and 23, various members of Peter Loewen's extended family and friends gained access to Queen Street to care for the flock of pigeons. There is no evidence that anyone acting on behalf of the plaintiff was denied access to Queen Street prior to September 23. On September 6, Mr. Fast and Gordon Jarvie went to the farm to catch squab to be shipped to a processor. They put the squab into crates and loaded the crates onto a Dodge pickup truck that had belonged to Peter Loewen. Although the gate to the driveway accessing the property was locked they were able to drive the truck off the property over a rough track that passed through another opening in the fence. The squab were delivered and sold to a processor that had taken squab from Peter's farm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Thereafter, persons acting on behalf of the plaintiff went to the farm on a regular basis until September 23. On September 20, Ernie Fast and Dale Thaler again captured and crated squab for processing. On the same day, they loaded the crated squab onto the pickup truck and left the property with the intention of returning the next day to deliver the squab to the processor. However, when Mr. Fast returned on the morning of September 21, he found that the crates had been unloaded and the truck was missing. The truck had been stolen that night by unknown persons. Prior to September 23, a Bob Cat loader belonging to Peter Loewen was also stolen, as was a generator used to supply electrical power to the farm. There is no claim that the defendants are responsible for those thefts.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September 23, 2010, Ernie Fast again returned to Queen Street. The evidence as to what happened that day is disputed. Ernie Fast testified that he parked his car in front of Queen Street and went to walk into the farm through the opening beside the locked driveway gate. He says he was confronted by Mr. Brent Doucette, who also lived with his family on a house located on the property. According to Ernie Fast, Mr. Doucette said words to the effect that "you guys can't come onto the property anymore" and that "if you go any further I'll be forced to call the cops". Ernie Fast stated that he told Mr. Doucette that he had to care for the pigeons to which Mr. Doucette replied that they were being taken care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plaintiff's evidence is that her representatives were denied access to the Queen Street farm and Peter Loewen's possessions from that date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Brent Doucette denied telling Ernie Fast that persons acting for the plaintiff were barred from the Queen Street property. He stated that he locked the driveway gate on the instructions of Jake Gunther. Mr. Gunther had sold the farm to Peter Loewen and was trying to arrange a sale of the operation in the days following Peter Loewen's death. I will review his evidence in more detail when I address the issue of damages. However, Mr. Gunther did confirm that he advised Manbir Banwait to "lock down" the farm after Peter Loewen's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plaintiff's representative did not return to the farm after September 23. However, the plaintiff did seek legal advice with respect to obtaining such access. In addition, Ms. Margeurita Thaler, a family friend, met with Jasbir Banwait in an attempt to get his permission to go on to the property and resume caring for the flock. Ms. Thaler and her husband were interested in purchasing the farm from the estate of Peter Loewen. She testified that she went to Jasbir Banwait's home in late September to attempt to persuade him to permit access to the flock. She said that she offered to pay future rent if Mr. Banwait permitted the family to go back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Thaler said that Jasbir Banwait was quite emotional during the meeting. In response to her request that access be granted to the flock to permit the family to care for them, he said words to the effect of "they have the money, they can pay". While there was no evidence that Jasbir Banwait ever expressly told Ms. Thaler that he would not grant access unless all arrears of rent were paid, I conclude from the context in which his statement to her was made that that was the intended meaning of the words he used, and that was how Ms. Thaler understood the words.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found Ms. Thaler to be a credible and reliable witness. She was not cross-examined with respect to the above statement she attributed to Jasbir Banwait. I accept her evidence as to what Jasbir Banwait said to her. At trial, Jasbir Banwait testified that he never denied access to the plaintiff or her representatives. However, that evidence was clearly inconsistent with his evidence at his examination for discover, at questions 211-216 and 238-243. In particular, at question 243 he agreed that he would grant access only on payment of all arrears of 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Banwait said he was confused at his examination for discovery. However, I do not accept his explanation for the answers he gave on examination for discovery. Those answers are consistent with Ms. Thaler's evidence and with the stated position of his lawyers in October 2010. Where the evidence of Ms. Thaler and Jasbir Banwait are in conflict, I prefer Ms. Thaler's evidence to that of Jasbir Banwait.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indicated above, Ms. Jarvie sought legal advice after Ernie Fast told her that the landlord was denying access to Queen Street. On October 1, the plaintiff's solicitor sent an email to the defendants' solicitor stating that access was being denied and asking that the plaintiff or her representatives be permitted to gain access to recover the estate's assets. That email was followed up with an email on October 15, 2010, informing the defendants' solicitor that Peter Loewen's will had been located and again requesting access.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defendants' solicitor responded about an hour later on October 15, 2010, with an email informing the plaintiff's solicitor that the defendant was distraining for rent arrears and stating that access would be granted on payment of rent arrears. He also stated that Jasbir Banwait had assured him that the birds were being well cared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do not consider that the locking of the driveway gate amounted to an eviction of the plaintiff as tenant. The plaintiff's representatives were able to access the farm and vehicles could get in and out on the rough track. On one occasion, the defendants unlocked the gate to give access to a feed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conclude that the defendants did deny the plaintiff and her representative access to the leased property from and after September 23, 2010. I also find that as of September 23, 2010, the defendants took possession of the estates' property located at Queen Street and retained possession of it all material times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After September 23, Brent Doucette took care of the flock. On one occasion he collected squab and sent them to a processor. His evidence is that he did so to cover the cost of feed for the birds.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find that there were a number of thefts of pigeons from Queen Street after September 2010. In addition, there is evidence that the pigeons were subject to predation by cats and rats. It is agreed that by December 2010, at the latest, there were no longer any pigeons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This case raises the following issues:</w:t>
      </w:r>
      <w:r>
        <w:rPr>
          <w:rFonts w:ascii="arial" w:eastAsia="arial" w:hAnsi="arial" w:cs="arial"/>
          <w:sz w:val="20"/>
          <w:lang w:val="en-US" w:eastAsia="en-US" w:bidi="ar-SA"/>
        </w:rPr>
        <w:cr/>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actions of the defendants amount to a termination of the lease to Peter Loewen?</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commit the torts of trespass and conversion?</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issue two is yes what are the plaintiff's damages?</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the defendants be liable for punitive damages?</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defendants entitled to counterclaim for damages and to recover unpaid rent for Queen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find that the defendants did terminate the lease effective September 23, 2010, by expressly denying the plaintiff's representatives access to Queen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accept the evidence of Ernie Fast that Brent Doucette told him on September 23, 2010, that the plaintiff's representatives would no longer be allowed to enter Queen Street. His evidence is consistent with the position taken by Jasbir Banwait in his meeting with Marguerita Thaler and with the stated position of the defendants set out in their solicitor's email of October 15,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authorities establish that a denial of access to leased property amounts to an eviction, even when the landlord offers to let the tenant back into possession on payment of rental arrears: see </w:t>
      </w:r>
      <w:r>
        <w:rPr>
          <w:rFonts w:ascii="arial" w:eastAsia="arial" w:hAnsi="arial" w:cs="arial"/>
          <w:i/>
          <w:color w:val="000000"/>
          <w:sz w:val="20"/>
          <w:lang w:val="en-US" w:eastAsia="en-US" w:bidi="ar-SA"/>
        </w:rPr>
        <w:t>Central Equities Ltd. v. Central Interior Hardware Ltd.</w:t>
      </w:r>
      <w:r>
        <w:rPr>
          <w:rFonts w:ascii="arial" w:eastAsia="arial" w:hAnsi="arial" w:cs="arial"/>
          <w:color w:val="000000"/>
          <w:sz w:val="20"/>
          <w:lang w:val="en-US" w:eastAsia="en-US" w:bidi="ar-SA"/>
        </w:rPr>
        <w:t xml:space="preserve"> </w:t>
      </w:r>
      <w:hyperlink r:id="rId538" w:history="1">
        <w:r>
          <w:rPr>
            <w:rFonts w:ascii="arial" w:eastAsia="arial" w:hAnsi="arial" w:cs="arial"/>
            <w:i/>
            <w:color w:val="0077CC"/>
            <w:sz w:val="20"/>
            <w:u w:val="single"/>
            <w:shd w:val="clear" w:color="auto" w:fill="FFFFFF"/>
            <w:lang w:val="en-US" w:eastAsia="en-US" w:bidi="ar-SA"/>
          </w:rPr>
          <w:t>[1986] B.C.J. No. 764</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Central Equities</w:t>
      </w:r>
      <w:r>
        <w:rPr>
          <w:rFonts w:ascii="arial" w:eastAsia="arial" w:hAnsi="arial" w:cs="arial"/>
          <w:color w:val="000000"/>
          <w:sz w:val="20"/>
          <w:lang w:val="en-US" w:eastAsia="en-US" w:bidi="ar-SA"/>
        </w:rPr>
        <w:t xml:space="preserve">] at para. 31 referring to </w:t>
      </w:r>
      <w:r>
        <w:rPr>
          <w:rFonts w:ascii="arial" w:eastAsia="arial" w:hAnsi="arial" w:cs="arial"/>
          <w:i/>
          <w:color w:val="000000"/>
          <w:sz w:val="20"/>
          <w:lang w:val="en-US" w:eastAsia="en-US" w:bidi="ar-SA"/>
        </w:rPr>
        <w:t>Beaver Steel v. Skylark Services et al</w:t>
      </w:r>
      <w:r>
        <w:rPr>
          <w:rFonts w:ascii="arial" w:eastAsia="arial" w:hAnsi="arial" w:cs="arial"/>
          <w:color w:val="000000"/>
          <w:sz w:val="20"/>
          <w:lang w:val="en-US" w:eastAsia="en-US" w:bidi="ar-SA"/>
        </w:rPr>
        <w:t xml:space="preserve"> </w:t>
      </w:r>
      <w:hyperlink r:id="rId539" w:history="1">
        <w:r>
          <w:rPr>
            <w:rFonts w:ascii="arial" w:eastAsia="arial" w:hAnsi="arial" w:cs="arial"/>
            <w:i/>
            <w:color w:val="0077CC"/>
            <w:sz w:val="20"/>
            <w:u w:val="single"/>
            <w:shd w:val="clear" w:color="auto" w:fill="FFFFFF"/>
            <w:lang w:val="en-US" w:eastAsia="en-US" w:bidi="ar-SA"/>
          </w:rPr>
          <w:t>(1983), 47 B.C.L.R. 99</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Country Kitchens Ltd. v. Wabush Enterprises Ltd</w:t>
      </w:r>
      <w:r>
        <w:rPr>
          <w:rFonts w:ascii="arial" w:eastAsia="arial" w:hAnsi="arial" w:cs="arial"/>
          <w:color w:val="000000"/>
          <w:sz w:val="20"/>
          <w:lang w:val="en-US" w:eastAsia="en-US" w:bidi="ar-SA"/>
        </w:rPr>
        <w:t xml:space="preserve"> </w:t>
      </w:r>
      <w:hyperlink r:id="rId540" w:history="1">
        <w:r>
          <w:rPr>
            <w:rFonts w:ascii="arial" w:eastAsia="arial" w:hAnsi="arial" w:cs="arial"/>
            <w:i/>
            <w:color w:val="0077CC"/>
            <w:sz w:val="20"/>
            <w:u w:val="single"/>
            <w:shd w:val="clear" w:color="auto" w:fill="FFFFFF"/>
            <w:lang w:val="en-US" w:eastAsia="en-US" w:bidi="ar-SA"/>
          </w:rPr>
          <w:t>(1981), 120 D.L.R. (3d) 358</w:t>
        </w:r>
      </w:hyperlink>
      <w:r>
        <w:rPr>
          <w:rFonts w:ascii="arial" w:eastAsia="arial" w:hAnsi="arial" w:cs="arial"/>
          <w:color w:val="000000"/>
          <w:sz w:val="20"/>
          <w:lang w:val="en-US" w:eastAsia="en-US" w:bidi="ar-SA"/>
        </w:rPr>
        <w:t xml:space="preserve"> (Nfld C.A.), the principle is stated as follows at 362: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regard to the question of equivocation, again there is no doubt that an unequivocal act on the part of the landlord is necessary. Counsel for the appellant maintains that because it was stated to the tenant that possession of the premises could be regained if one-half the outstanding rent were paid immediately and the rest within a short period of time, this indicated that the lease had not been determined, but merely arrested. Thus, he argues, there had been simply a distraint made on the goods and stock-in-trade. However, I cannot accept this proposition because by changing the locks on the doors and closing the store to everyone, including the respondent, the appellant was not merely protecting the "distrained" goods, but was terminating the lease, - unless the tenant paid the arrears of rent in which event the tenant could have recovered its goods and (perhaps) been allowed to carry on its business on the premises, under what I would deem to be a new lease. The landlord's actions were unequivocal in the sense that, in addition to its purported distraint, it had no intention of allowing the tenant to re-enter the premises again or to carry on with the lease unless the money owing was paid. This, I am sure, all parties knew to be an unlikely possibility in light of the frustrated earlier attempts by the appellant to collect these rentals.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above quoted passage applies to this case. The unequivocal position of Jasbir Banwait was that the plaintiff could not gain access to the demised premises without paying all rental arrears.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law is equally well settled that a landlord loses any right to distrain upon termination of the lease. At para 31 of </w:t>
      </w:r>
      <w:r>
        <w:rPr>
          <w:rFonts w:ascii="arial" w:eastAsia="arial" w:hAnsi="arial" w:cs="arial"/>
          <w:i/>
          <w:color w:val="000000"/>
          <w:sz w:val="20"/>
          <w:lang w:val="en-US" w:eastAsia="en-US" w:bidi="ar-SA"/>
        </w:rPr>
        <w:t>Central Equities</w:t>
      </w:r>
      <w:r>
        <w:rPr>
          <w:rFonts w:ascii="arial" w:eastAsia="arial" w:hAnsi="arial" w:cs="arial"/>
          <w:color w:val="000000"/>
          <w:sz w:val="20"/>
          <w:lang w:val="en-US" w:eastAsia="en-US" w:bidi="ar-SA"/>
        </w:rPr>
        <w:t xml:space="preserve"> the proposition is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Beaver Steel</w:t>
      </w:r>
      <w:r>
        <w:rPr>
          <w:rFonts w:ascii="arial" w:eastAsia="arial" w:hAnsi="arial" w:cs="arial"/>
          <w:color w:val="000000"/>
          <w:sz w:val="20"/>
          <w:lang w:val="en-US" w:eastAsia="en-US" w:bidi="ar-SA"/>
        </w:rPr>
        <w:t>, at pp. 109 and 110, reviews the authorities which hold that the changing of the locks on a premises is a forfeiture of the lease by the landlord, even when he was willing to put the tenant back into possession if the rent arrears are paid. Furthermore, such conduct removes the relationship of landlord and tenant and prevents the landlord from subsequently distraining even for arrears of rent. The landlord may still sue for such arrears, as it has done in this action, but its common law right to distrain for such arrears is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It is therefore quite clear that the defendants had no right to retain any of the plaintiff's property after the lease was terminated. I have already found that the lease was terminated on September 23, 2010 when Ernie Fast was denied entry to Queen Street and informed that no one else would be permitted entry.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It is also well settled that the actions of the defendants after that date constituted the torts of conversion and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elements of the tort of conversion are set out in </w:t>
      </w:r>
      <w:r>
        <w:rPr>
          <w:rFonts w:ascii="arial" w:eastAsia="arial" w:hAnsi="arial" w:cs="arial"/>
          <w:i/>
          <w:color w:val="000000"/>
          <w:sz w:val="20"/>
          <w:lang w:val="en-US" w:eastAsia="en-US" w:bidi="ar-SA"/>
        </w:rPr>
        <w:t>889267 Ontario Ltd. v. Norfinch Group Inc.</w:t>
      </w:r>
      <w:r>
        <w:rPr>
          <w:rFonts w:ascii="arial" w:eastAsia="arial" w:hAnsi="arial" w:cs="arial"/>
          <w:color w:val="000000"/>
          <w:sz w:val="20"/>
          <w:lang w:val="en-US" w:eastAsia="en-US" w:bidi="ar-SA"/>
        </w:rPr>
        <w:t xml:space="preserve"> </w:t>
      </w:r>
      <w:hyperlink r:id="rId541" w:history="1">
        <w:r>
          <w:rPr>
            <w:rFonts w:ascii="arial" w:eastAsia="arial" w:hAnsi="arial" w:cs="arial"/>
            <w:i/>
            <w:color w:val="0077CC"/>
            <w:sz w:val="20"/>
            <w:u w:val="single"/>
            <w:shd w:val="clear" w:color="auto" w:fill="FFFFFF"/>
            <w:lang w:val="en-US" w:eastAsia="en-US" w:bidi="ar-SA"/>
          </w:rPr>
          <w:t>(1998), 6 C.B.R. (4th) 166</w:t>
        </w:r>
      </w:hyperlink>
      <w:r>
        <w:rPr>
          <w:rFonts w:ascii="arial" w:eastAsia="arial" w:hAnsi="arial" w:cs="arial"/>
          <w:color w:val="000000"/>
          <w:sz w:val="20"/>
          <w:lang w:val="en-US" w:eastAsia="en-US" w:bidi="ar-SA"/>
        </w:rPr>
        <w:t xml:space="preserve">, </w:t>
      </w:r>
      <w:hyperlink r:id="rId541" w:history="1">
        <w:r>
          <w:rPr>
            <w:rFonts w:ascii="arial" w:eastAsia="arial" w:hAnsi="arial" w:cs="arial"/>
            <w:i/>
            <w:color w:val="0077CC"/>
            <w:sz w:val="20"/>
            <w:u w:val="single"/>
            <w:shd w:val="clear" w:color="auto" w:fill="FFFFFF"/>
            <w:lang w:val="en-US" w:eastAsia="en-US" w:bidi="ar-SA"/>
          </w:rPr>
          <w:t>[1998] O.J. No. 3850</w:t>
        </w:r>
      </w:hyperlink>
      <w:r>
        <w:rPr>
          <w:rFonts w:ascii="arial" w:eastAsia="arial" w:hAnsi="arial" w:cs="arial"/>
          <w:color w:val="000000"/>
          <w:sz w:val="20"/>
          <w:lang w:val="en-US" w:eastAsia="en-US" w:bidi="ar-SA"/>
        </w:rPr>
        <w:t>, as follows at paras. 22-25: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The tort of conversion involves a positive and intentional act of interference with a person's legal possession or right to the immediate possession of goods. See: Lewis N. Klar, Tort Law, Second Edition, (Toronto: Carswell, 1996) p. 76 which quotes Rouleau J. in </w:t>
      </w:r>
      <w:r>
        <w:rPr>
          <w:rFonts w:ascii="arial" w:eastAsia="arial" w:hAnsi="arial" w:cs="arial"/>
          <w:i/>
          <w:color w:val="000000"/>
          <w:sz w:val="20"/>
          <w:lang w:val="en-US" w:eastAsia="en-US" w:bidi="ar-SA"/>
        </w:rPr>
        <w:t>Shibamoto &amp; Co. v. Western Fish Procuders Inc.</w:t>
      </w:r>
      <w:r>
        <w:rPr>
          <w:rFonts w:ascii="arial" w:eastAsia="arial" w:hAnsi="arial" w:cs="arial"/>
          <w:color w:val="000000"/>
          <w:sz w:val="20"/>
          <w:lang w:val="en-US" w:eastAsia="en-US" w:bidi="ar-SA"/>
        </w:rPr>
        <w:t xml:space="preserve">, </w:t>
      </w:r>
      <w:hyperlink r:id="rId542" w:history="1">
        <w:r>
          <w:rPr>
            <w:rFonts w:ascii="arial" w:eastAsia="arial" w:hAnsi="arial" w:cs="arial"/>
            <w:i/>
            <w:color w:val="0077CC"/>
            <w:sz w:val="20"/>
            <w:u w:val="single"/>
            <w:shd w:val="clear" w:color="auto" w:fill="FFFFFF"/>
            <w:lang w:val="en-US" w:eastAsia="en-US" w:bidi="ar-SA"/>
          </w:rPr>
          <w:t>[1991] 3 F.C.214</w:t>
        </w:r>
      </w:hyperlink>
      <w:r>
        <w:rPr>
          <w:rFonts w:ascii="arial" w:eastAsia="arial" w:hAnsi="arial" w:cs="arial"/>
          <w:color w:val="000000"/>
          <w:sz w:val="20"/>
          <w:lang w:val="en-US" w:eastAsia="en-US" w:bidi="ar-SA"/>
        </w:rPr>
        <w:t xml:space="preserve"> at 229 (T.D.) affirmed </w:t>
      </w:r>
      <w:hyperlink r:id="rId543" w:history="1">
        <w:r>
          <w:rPr>
            <w:rFonts w:ascii="arial" w:eastAsia="arial" w:hAnsi="arial" w:cs="arial"/>
            <w:i/>
            <w:color w:val="0077CC"/>
            <w:sz w:val="20"/>
            <w:u w:val="single"/>
            <w:shd w:val="clear" w:color="auto" w:fill="FFFFFF"/>
            <w:lang w:val="en-US" w:eastAsia="en-US" w:bidi="ar-SA"/>
          </w:rPr>
          <w:t>(1992), 145 N.R. 91</w:t>
        </w:r>
      </w:hyperlink>
      <w:r>
        <w:rPr>
          <w:rFonts w:ascii="arial" w:eastAsia="arial" w:hAnsi="arial" w:cs="arial"/>
          <w:color w:val="000000"/>
          <w:sz w:val="20"/>
          <w:lang w:val="en-US" w:eastAsia="en-US" w:bidi="ar-SA"/>
        </w:rPr>
        <w:t xml:space="preserve"> (Fed. C.A.)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tort of conversion involves a wrongful taking, using or destroying of goods or the exercise of control over them in a manner that is inconsistent with the title of the owner. It arises when there exists an intentional exercise of control over a chattel which seriously impedes the right of the true owner to control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Mistake as to the legal or factual consequences of conduct does not constitute a defence if the physical consequences were intended. However, to succeed there must be an intentional act, not a loss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order to be actionable, a conversion must result from a positive act of the defendant which denies or seriously interferes with the claimant's possessory rights. A destruction or loss of chattels occurring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passivity is not actionable as a conversion. The defendants conduct must demonstrate a dominion over the chattels. A bailee cannot be liable in conversion if the goods are lost or destroyed through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although there will be liability if the loss occurred as a result of a positive act, such as a misdelivery. Not only must the defendant's act be a positive one, but the conversion must have been intended. It is not sufficient if the loss or destruction resulted from mere carelessness. It must have been substantially certain or desired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(Klar, Tort Law, supra p. 79).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To be successful in asserting conversion the plaintiff must show intent, whether there was a substantial interference with the owner's rights to warrant a forced sale, and that the defendants did not have lawful justification to take the property. The plaintiff must have been in actual possession or entitled to immediate possession of the goods when they were converted. (See: John G. Fleming, The Law of Torts, Ninth Edition, (Sydney: Law Book Co., 1998) at 58-83).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Conversion will result in a "forced sale" which allows the plaintiff to recover the market value of the chattel at the time of conversion. In addition to receiving the value of the converted chattel, the plaintiff may be entitled to additional damages for the loss of use of the chattel and, in some cases, exemplary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this case, there is no question that the defendants committed a positive act that seriously interfered with the plaintiff's possessory rights when they asserted the right to distrain the goods and prevented the plaintiff's representatives from accessing them. The defendants exercised a right of control over the plaintiff's property that seriously impeded the plaintiff's right to control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most difficult issue in this case is the assessment of the damages payable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this case, damages must be assessed as of the date of conversion. I find that that date was September 23, 2010. Accordingly the measure of damages is the fair market value of the goods converted on that date. It is no answer to the claim that the goods were subsequently stolen or lost through no fault of the defendants, as the tort of conversion was complete when the defendants denied access to the goods of the plaintiff and asserted a right to distrain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proper approach to assessment of damages for wrongful distress is set out in </w:t>
      </w:r>
      <w:r>
        <w:rPr>
          <w:rFonts w:ascii="arial" w:eastAsia="arial" w:hAnsi="arial" w:cs="arial"/>
          <w:i/>
          <w:color w:val="000000"/>
          <w:sz w:val="20"/>
          <w:lang w:val="en-US" w:eastAsia="en-US" w:bidi="ar-SA"/>
        </w:rPr>
        <w:t>Chan v. Farrell Estate</w:t>
      </w:r>
      <w:r>
        <w:rPr>
          <w:rFonts w:ascii="arial" w:eastAsia="arial" w:hAnsi="arial" w:cs="arial"/>
          <w:color w:val="000000"/>
          <w:sz w:val="20"/>
          <w:lang w:val="en-US" w:eastAsia="en-US" w:bidi="ar-SA"/>
        </w:rPr>
        <w:t xml:space="preserve">, </w:t>
      </w:r>
      <w:hyperlink r:id="rId544" w:history="1">
        <w:r>
          <w:rPr>
            <w:rFonts w:ascii="arial" w:eastAsia="arial" w:hAnsi="arial" w:cs="arial"/>
            <w:i/>
            <w:color w:val="0077CC"/>
            <w:sz w:val="20"/>
            <w:u w:val="single"/>
            <w:shd w:val="clear" w:color="auto" w:fill="FFFFFF"/>
            <w:lang w:val="en-US" w:eastAsia="en-US" w:bidi="ar-SA"/>
          </w:rPr>
          <w:t>2001 BCCA 92</w:t>
        </w:r>
      </w:hyperlink>
      <w:r>
        <w:rPr>
          <w:rFonts w:ascii="arial" w:eastAsia="arial" w:hAnsi="arial" w:cs="arial"/>
          <w:color w:val="000000"/>
          <w:sz w:val="20"/>
          <w:lang w:val="en-US" w:eastAsia="en-US" w:bidi="ar-SA"/>
        </w:rPr>
        <w:t xml:space="preserve">, </w:t>
      </w:r>
      <w:hyperlink r:id="rId544" w:history="1">
        <w:r>
          <w:rPr>
            <w:rFonts w:ascii="arial" w:eastAsia="arial" w:hAnsi="arial" w:cs="arial"/>
            <w:i/>
            <w:color w:val="0077CC"/>
            <w:sz w:val="20"/>
            <w:u w:val="single"/>
            <w:shd w:val="clear" w:color="auto" w:fill="FFFFFF"/>
            <w:lang w:val="en-US" w:eastAsia="en-US" w:bidi="ar-SA"/>
          </w:rPr>
          <w:t>150 B.C.A.C. 299</w:t>
        </w:r>
      </w:hyperlink>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The second principal issue relates to the measure of damages for the goods unlawfully distrained and sold. The parties agreed that the trial judge was correct in assessing those damages under the tort measure. That is, the plaintiff must be put in the position he would have been in if the tort had not occurred. This is described often as a standard of </w:t>
      </w:r>
      <w:r>
        <w:rPr>
          <w:rFonts w:ascii="arial" w:eastAsia="arial" w:hAnsi="arial" w:cs="arial"/>
          <w:i/>
          <w:color w:val="000000"/>
          <w:sz w:val="20"/>
          <w:lang w:val="en-US" w:eastAsia="en-US" w:bidi="ar-SA"/>
        </w:rPr>
        <w:t>restitutio</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integrum</w:t>
      </w:r>
      <w:r>
        <w:rPr>
          <w:rFonts w:ascii="arial" w:eastAsia="arial" w:hAnsi="arial" w:cs="arial"/>
          <w:color w:val="000000"/>
          <w:sz w:val="20"/>
          <w:lang w:val="en-US" w:eastAsia="en-US" w:bidi="ar-SA"/>
        </w:rPr>
        <w:t xml:space="preserve">. In other words the plaintiff must be made whole. The trial judge decided in this case that the damages should be assessed on the basis of replacement cost. On this point we were referred to </w:t>
      </w:r>
      <w:r>
        <w:rPr>
          <w:rFonts w:ascii="arial" w:eastAsia="arial" w:hAnsi="arial" w:cs="arial"/>
          <w:i/>
          <w:color w:val="000000"/>
          <w:sz w:val="20"/>
          <w:lang w:val="en-US" w:eastAsia="en-US" w:bidi="ar-SA"/>
        </w:rPr>
        <w:t>J &amp; E Hall Ltd. v. Barclay</w:t>
      </w:r>
      <w:r>
        <w:rPr>
          <w:rFonts w:ascii="arial" w:eastAsia="arial" w:hAnsi="arial" w:cs="arial"/>
          <w:color w:val="000000"/>
          <w:sz w:val="20"/>
          <w:lang w:val="en-US" w:eastAsia="en-US" w:bidi="ar-SA"/>
        </w:rPr>
        <w:t xml:space="preserve">, [1937] 3 All E.R. 620 </w:t>
      </w:r>
      <w:r>
        <w:rPr>
          <w:rFonts w:ascii="arial" w:eastAsia="arial" w:hAnsi="arial" w:cs="arial"/>
          <w:i/>
          <w:color w:val="000000"/>
          <w:sz w:val="20"/>
          <w:lang w:val="en-US" w:eastAsia="en-US" w:bidi="ar-SA"/>
        </w:rPr>
        <w:t>Jennings v. Wolfe</w:t>
      </w:r>
      <w:r>
        <w:rPr>
          <w:rFonts w:ascii="arial" w:eastAsia="arial" w:hAnsi="arial" w:cs="arial"/>
          <w:color w:val="000000"/>
          <w:sz w:val="20"/>
          <w:lang w:val="en-US" w:eastAsia="en-US" w:bidi="ar-SA"/>
        </w:rPr>
        <w:t xml:space="preserve">, </w:t>
      </w:r>
      <w:hyperlink r:id="rId545" w:history="1">
        <w:r>
          <w:rPr>
            <w:rFonts w:ascii="arial" w:eastAsia="arial" w:hAnsi="arial" w:cs="arial"/>
            <w:i/>
            <w:color w:val="0077CC"/>
            <w:sz w:val="20"/>
            <w:u w:val="single"/>
            <w:shd w:val="clear" w:color="auto" w:fill="FFFFFF"/>
            <w:lang w:val="en-US" w:eastAsia="en-US" w:bidi="ar-SA"/>
          </w:rPr>
          <w:t>[1950] 3 D.L.R. 442</w:t>
        </w:r>
      </w:hyperlink>
      <w:r>
        <w:rPr>
          <w:rFonts w:ascii="arial" w:eastAsia="arial" w:hAnsi="arial" w:cs="arial"/>
          <w:color w:val="000000"/>
          <w:sz w:val="20"/>
          <w:lang w:val="en-US" w:eastAsia="en-US" w:bidi="ar-SA"/>
        </w:rPr>
        <w:t xml:space="preserve"> (Alta. S.C.); </w:t>
      </w:r>
      <w:r>
        <w:rPr>
          <w:rFonts w:ascii="arial" w:eastAsia="arial" w:hAnsi="arial" w:cs="arial"/>
          <w:i/>
          <w:color w:val="000000"/>
          <w:sz w:val="20"/>
          <w:lang w:val="en-US" w:eastAsia="en-US" w:bidi="ar-SA"/>
        </w:rPr>
        <w:t>Nan v. Black Pine Manufacturing Ltd.</w:t>
      </w:r>
      <w:r>
        <w:rPr>
          <w:rFonts w:ascii="arial" w:eastAsia="arial" w:hAnsi="arial" w:cs="arial"/>
          <w:color w:val="000000"/>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(1991) 55 B.C.L.R. (2d) 241</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Scobie v. Wing</w:t>
      </w:r>
      <w:r>
        <w:rPr>
          <w:rFonts w:ascii="arial" w:eastAsia="arial" w:hAnsi="arial" w:cs="arial"/>
          <w:color w:val="000000"/>
          <w:sz w:val="20"/>
          <w:lang w:val="en-US" w:eastAsia="en-US" w:bidi="ar-SA"/>
        </w:rPr>
        <w:t xml:space="preserve"> </w:t>
      </w:r>
      <w:hyperlink r:id="rId547" w:history="1">
        <w:r>
          <w:rPr>
            <w:rFonts w:ascii="arial" w:eastAsia="arial" w:hAnsi="arial" w:cs="arial"/>
            <w:i/>
            <w:color w:val="0077CC"/>
            <w:sz w:val="20"/>
            <w:u w:val="single"/>
            <w:shd w:val="clear" w:color="auto" w:fill="FFFFFF"/>
            <w:lang w:val="en-US" w:eastAsia="en-US" w:bidi="ar-SA"/>
          </w:rPr>
          <w:t>(1992), 63 B.C.L.R. (2d) 76</w:t>
        </w:r>
      </w:hyperlink>
      <w:r>
        <w:rPr>
          <w:rFonts w:ascii="arial" w:eastAsia="arial" w:hAnsi="arial" w:cs="arial"/>
          <w:color w:val="000000"/>
          <w:sz w:val="20"/>
          <w:lang w:val="en-US" w:eastAsia="en-US" w:bidi="ar-SA"/>
        </w:rPr>
        <w:t xml:space="preserve"> (B.C.S.C.).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In my opinion the trial judge erred in law when he took replacement value as the basis for assessing damages in this case. Replacement cost is important, and evidence about replacement cost is relevant, particularly where the property has been replaced. Replacement cost is also important where the owner intends to replace the property, perhaps as soon as he is in receipt of funds from the lawsuit. In that case it is important that evidence be given of the owner's intention to replace the property, and the trial judge must of course believe that evidence. Where there is no evidence that the property will be replaced, and where the evidence indicates that the replacement of the property cannot be economically justified, and where the property has no specific value other than its economic value, then replacement cost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 xml:space="preserve"> cannot be the measure of damages. On the basis of the evidence I consider that the actual realization of $16,000 for the machine line and fork lift and the assessment of $40,000 for the aluminum items panels and the other aluminum represent the best assessment that the evidence justifies for the loss of the goods.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It is common ground that Peter Loewen was not a successful pigeon farmer. It is quite clear that his pigeon farm operation was insolvent at the time of his death. It is also quite clear that the plaintiff had no intention of replacing the property converted by the defendants. Therefore the assessment of damages must be based on the market value of the assets of the farm as of the date of conversion, that is, September 23,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claim for damages can be summarized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346"/>
        <w:gridCol w:w="1568"/>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Damages for loss of the</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$ 97,750</w:t>
            </w:r>
          </w:p>
        </w:tc>
        <w:tc>
          <w:tcPr>
            <w:tcW w:w="409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pigeon flock</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450"/>
        <w:gridCol w:w="1464"/>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Damages for loss of barns</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$ 45,570</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659"/>
        <w:gridCol w:w="1255"/>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Damages for loss of fifth</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$ 1,500</w:t>
            </w:r>
          </w:p>
        </w:tc>
        <w:tc>
          <w:tcPr>
            <w:tcW w:w="409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wheel trailer</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033"/>
        <w:gridCol w:w="2614"/>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 Claim</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$144,820</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plaintiff relies heavily on the valuation report of Robert Burden dated August 21, 2012, in support of the claim for damages for loss of the flock. Because he did not observe the flock, Mr. Burden's opinion is based on the value of a hypothetical flock of the same make-up as Peter Loewen's flock. I admitted Mr. Burden's valuation report into evidence as no notice of objection to his qualifications had been delivered as required by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Mr. Burden is a qualified business valuator with some considerable experience in the poultry industry in Canada. However, his report was prepared without the benefit of observing the flock and was largely based on extrapolations from records and interviews with persons who had observed the flock and had experience with the Fraser Valley pigeon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have a number of concerns about the usefulness of Mr. Burden's report. His opinion of the value of the flock was based on the assumption that there were 2500 breeding pairs of pigeons on the farm as of November 2010. I note that I have found that the conversion occurred on September 23. The difference in dates does not affect Mr. Burden's analysis. However, Mr. Burden's assumption as to the number of breeding pairs was not supported by the evidence. Mr. Burden believed that Jake Gunther had told him there were 2500 breeding pairs on the farm. However Mr. Gunther testified that he did not provide Mr. Burden with that information. Mr. Gunther testified that Peter Loewen had no more than 1450 breeding pairs on the farm in September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his report, Mr. Burden discounted the value of the Peter Loewen flock as compared to other flocks based on what he perceived to be a lower rate of production of squabs. It is questionable whether there was in fact a lower rate of production because Mr. Burden based his comparison on the assumption that there were 2500 breeding pairs when the best evidence is that there were not more than 1450 breeding pairs. In his cross-examination he stated that if there were fewer than 2500 breeding pairs it would mean that the productivity was higher and the discount he applied would need to be revisited. However, he discounted the value of the flock by only 12.8% because he attributed the majority of the perceived lack of productivity to poor management practices that a hypothetical purchaser could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Burden did provide a schedule of values of birds that would not be subject to this discount. If the hypothetical flock of 2500 pairs had been valued without applying this discount its value would have been $109,241. Assuming that the actual flock of 1450 pairs would have the same age profile as the flock of 2500 pairs valued by Mr. Burden the value of the flock of 1450 pairs would be calculated as 1450/2500 x $109,241, or $63,360.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am also concerned that Mr. Burden's assumptions as to the makeup and age profile of Peter Loewen's flock are not supportable. It is common ground that Peter Loewen did not keep any records of the age or pedigree of the pigeons in his flock. There was evidence that he did not take the proper measures to ensure that birds of a similar age formed pairs. This was important because pigeons mate for life and by pairing birds of different ages, a breeder runs the risk that one of the pair will cease to be a productive breeder before the other. In addition, there was evidence that Peter Loewen acquired pigeons from other sources and there was little information as to their genetic makeup.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Burden agreed that the keeping of proper pedigree, disease and production records is very important to the value of a flock. Peter Loewen kept no such records. I am satisfied that this would have had a significant negative impact on the value of his flock. The impact was not quantified but it must be taken into account in assessing damages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Burden also made no allowance for the possibility of disease but Jake Gunther testified that there were indications of disease in the birds prior to September 23,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 claims damages of $45,570 in respect of barns and equipment. This claim is based on invoice no. 285125 from Jake Gunther in that amount for a squab production package including barns and equipment. This was the only evidence of value for the barns and farm equipment. There was no valuation as of September 2010. I am however satisfied that the farm operation as a whole had been poorly maintained by Peter Loewen and was not in a good state of repair by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Counsel for the plaintiff relies on the principle that every presumption must be made against a wrongdoer in urging that the damages should be assessed in the amounts set out above. The principle was recently restated in this court in </w:t>
      </w:r>
      <w:r>
        <w:rPr>
          <w:rFonts w:ascii="arial" w:eastAsia="arial" w:hAnsi="arial" w:cs="arial"/>
          <w:i/>
          <w:color w:val="000000"/>
          <w:sz w:val="20"/>
          <w:lang w:val="en-US" w:eastAsia="en-US" w:bidi="ar-SA"/>
        </w:rPr>
        <w:t>Le Soleil Hospitality Inc. v. Louie</w:t>
      </w:r>
      <w:r>
        <w:rPr>
          <w:rFonts w:ascii="arial" w:eastAsia="arial" w:hAnsi="arial" w:cs="arial"/>
          <w:color w:val="000000"/>
          <w:sz w:val="20"/>
          <w:lang w:val="en-US" w:eastAsia="en-US" w:bidi="ar-SA"/>
        </w:rPr>
        <w:t xml:space="preserve">, </w:t>
      </w:r>
      <w:hyperlink r:id="rId548" w:history="1">
        <w:r>
          <w:rPr>
            <w:rFonts w:ascii="arial" w:eastAsia="arial" w:hAnsi="arial" w:cs="arial"/>
            <w:i/>
            <w:color w:val="0077CC"/>
            <w:sz w:val="20"/>
            <w:u w:val="single"/>
            <w:shd w:val="clear" w:color="auto" w:fill="FFFFFF"/>
            <w:lang w:val="en-US" w:eastAsia="en-US" w:bidi="ar-SA"/>
          </w:rPr>
          <w:t>2010 BCSC 1183</w:t>
        </w:r>
      </w:hyperlink>
      <w:r>
        <w:rPr>
          <w:rFonts w:ascii="arial" w:eastAsia="arial" w:hAnsi="arial" w:cs="arial"/>
          <w:color w:val="000000"/>
          <w:sz w:val="20"/>
          <w:lang w:val="en-US" w:eastAsia="en-US" w:bidi="ar-SA"/>
        </w:rPr>
        <w:t xml:space="preserve">, quoting the decision of Martin J. in </w:t>
      </w:r>
      <w:r>
        <w:rPr>
          <w:rFonts w:ascii="arial" w:eastAsia="arial" w:hAnsi="arial" w:cs="arial"/>
          <w:i/>
          <w:color w:val="000000"/>
          <w:sz w:val="20"/>
          <w:lang w:val="en-US" w:eastAsia="en-US" w:bidi="ar-SA"/>
        </w:rPr>
        <w:t>Last Chance Mining Co. v. American Boy Mining Co.</w:t>
      </w:r>
      <w:r>
        <w:rPr>
          <w:rFonts w:ascii="arial" w:eastAsia="arial" w:hAnsi="arial" w:cs="arial"/>
          <w:color w:val="000000"/>
          <w:sz w:val="20"/>
          <w:lang w:val="en-US" w:eastAsia="en-US" w:bidi="ar-SA"/>
        </w:rPr>
        <w:t xml:space="preserve">, </w:t>
      </w:r>
      <w:hyperlink r:id="rId549" w:history="1">
        <w:r>
          <w:rPr>
            <w:rFonts w:ascii="arial" w:eastAsia="arial" w:hAnsi="arial" w:cs="arial"/>
            <w:i/>
            <w:color w:val="0077CC"/>
            <w:sz w:val="20"/>
            <w:u w:val="single"/>
            <w:shd w:val="clear" w:color="auto" w:fill="FFFFFF"/>
            <w:lang w:val="en-US" w:eastAsia="en-US" w:bidi="ar-SA"/>
          </w:rPr>
          <w:t>[1904] B.C.J. No. 77</w:t>
        </w:r>
      </w:hyperlink>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The consequences are really but the natural result of the application to mining operations of well known principles long ago enunciated in Armory v. Delamirie (1722), 1 Strange, 504, wherein it is laid down: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"When the nature of a wrongful act is such that it not only inflicts an injury, but takes away the means of proving the nature and extent of a loss, the law will aid a recovery against the wrongdoer and supply the deficiency of proof caused by his misconduct by making every reasonable intendment against him and in favour of the party injured .... A man who wilfully places the property of others in a situation where it cannot be recovered, or its true amount or value ascertained, by mixing it with his own, or in any other manner, will consequently be compelled to bear all the inconvenience of the uncertainty or confusion which he has produced, even to the extent of surrendering the whole, if the parts cannot be discriminated, or responding in damages for the highest value at which the property can reasonably be estimated."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principle is clearly applicable to the assessment of damages with respect to the flock. I am less convinced that it applies to an assessment of damages with respect to the barns and equipment. There was no impediment to the plaintiff obtaining appraisal evidence with respect to the barns and equipment. While the barns have no doubt deteriorated from the state they were in in 2010, there is no reason why an appraiser could not have taken the state of repair into account in valuing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am also of the view that the value placed on the barns in the original purchase by Peter Loewen must be viewed with caution. Any purchaser of the barns would have to move them to a new location. Jake Gunther testified that he had obtained a quote of $15,000 to move the barns to a nearby location. I also think that the over-valuation of the Toyota vehicle taken in trade must be taken into account in assessing these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Gunther was called as a plaintiff's witness. He attended at the farm on several times after Peter Loewen's death. He testified that the farm appeared to be in good order the first two times he visited it but that it had deteriorated markedly by the day after Peter Loewen's funeral, while the plaintiff and her representatives still had access to it. His evidence was that at that time the operation showed marked signs of neglect. He testified that cats had invaded some of the pigeon cages and that there was clear evidence that rats had attacked some of the squabs in their nests. He also stated that he saw evidence of disease in a number of the cages. He said he considered making an offer to purchase the farm for an amount equal to the rental arrears. In cross examination he stated that if he had purchased the farm, he would have purged all but 400 breeding 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Damages must of course be assessed, not calculated. In this case, I do not find Mr. Burden's report to be of great assistance in that assessment. The premise of his report, that is that there were 2500 breeding pairs of reasonable quality on the farm is directly contradicted by Jake Gunther's evidence, both as to quantity and quality of the birds.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addition, in this case there was evidence that Peter Loewen had been trying unsuccessfully to sell his operation for some time but had no offers. Jake Gunther testified that after Peter Loewen's death he tried to interest a purchaser to buy the whole operation for $67,000 but was unable to obtain an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Based on Mr. Gunther's evidence I am satisfied that the quality of the flock and farm deteriorated significantly while it was still under the control of Peter Loewen and his executor.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Taking all of the evidence into account and bearing in mind the principle that I should make reasonable presumptions against a wrongdoer, I assess damages for conversion with respect to the flock and farm equipment at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 also claims damages for the loss of the fifth wheel trailer. I do not make any award in that regard. The evidence before me was that Peter Loewen shot himself in the trailer. There is no evidence that the plaintiff ever asked to recover possession of it. I find that the plaintiff abandoned the trailer and has suffered no loss from its disposal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plaintiff also claims for punitive damages. In </w:t>
      </w:r>
      <w:r>
        <w:rPr>
          <w:rFonts w:ascii="arial" w:eastAsia="arial" w:hAnsi="arial" w:cs="arial"/>
          <w:i/>
          <w:color w:val="000000"/>
          <w:sz w:val="20"/>
          <w:lang w:val="en-US" w:eastAsia="en-US" w:bidi="ar-SA"/>
        </w:rPr>
        <w:t>Whiten v. Pilot Insurance Co.</w:t>
      </w:r>
      <w:r>
        <w:rPr>
          <w:rFonts w:ascii="arial" w:eastAsia="arial" w:hAnsi="arial" w:cs="arial"/>
          <w:color w:val="000000"/>
          <w:sz w:val="20"/>
          <w:lang w:val="en-US" w:eastAsia="en-US" w:bidi="ar-SA"/>
        </w:rPr>
        <w:t xml:space="preserve">, </w:t>
      </w:r>
      <w:hyperlink r:id="rId550" w:history="1">
        <w:r>
          <w:rPr>
            <w:rFonts w:ascii="arial" w:eastAsia="arial" w:hAnsi="arial" w:cs="arial"/>
            <w:i/>
            <w:color w:val="0077CC"/>
            <w:sz w:val="20"/>
            <w:u w:val="single"/>
            <w:shd w:val="clear" w:color="auto" w:fill="FFFFFF"/>
            <w:lang w:val="en-US" w:eastAsia="en-US" w:bidi="ar-SA"/>
          </w:rPr>
          <w:t>2002 SCC 18</w:t>
        </w:r>
      </w:hyperlink>
      <w:r>
        <w:rPr>
          <w:rFonts w:ascii="arial" w:eastAsia="arial" w:hAnsi="arial" w:cs="arial"/>
          <w:color w:val="000000"/>
          <w:sz w:val="20"/>
          <w:lang w:val="en-US" w:eastAsia="en-US" w:bidi="ar-SA"/>
        </w:rPr>
        <w:t xml:space="preserve">, </w:t>
      </w:r>
      <w:hyperlink r:id="rId550" w:history="1">
        <w:r>
          <w:rPr>
            <w:rFonts w:ascii="arial" w:eastAsia="arial" w:hAnsi="arial" w:cs="arial"/>
            <w:i/>
            <w:color w:val="0077CC"/>
            <w:sz w:val="20"/>
            <w:u w:val="single"/>
            <w:shd w:val="clear" w:color="auto" w:fill="FFFFFF"/>
            <w:lang w:val="en-US" w:eastAsia="en-US" w:bidi="ar-SA"/>
          </w:rPr>
          <w:t>[2002] 1 S.C.R. 595</w:t>
        </w:r>
      </w:hyperlink>
      <w:r>
        <w:rPr>
          <w:rFonts w:ascii="arial" w:eastAsia="arial" w:hAnsi="arial" w:cs="arial"/>
          <w:color w:val="000000"/>
          <w:sz w:val="20"/>
          <w:lang w:val="en-US" w:eastAsia="en-US" w:bidi="ar-SA"/>
        </w:rPr>
        <w:t>, the Court set out the governing principles with respect to an award of punitive damages. At para. 36 Binnie J.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Punitive damages are awarded against a defendant in exceptional cases for "malicious, oppressive and high-handed" misconduct that "offends the court's sense of decency": </w:t>
      </w:r>
      <w:r>
        <w:rPr>
          <w:rFonts w:ascii="arial" w:eastAsia="arial" w:hAnsi="arial" w:cs="arial"/>
          <w:i/>
          <w:color w:val="000000"/>
          <w:sz w:val="20"/>
          <w:lang w:val="en-US" w:eastAsia="en-US" w:bidi="ar-SA"/>
        </w:rPr>
        <w:t>Hill v. Church of Scientology of Toronto</w:t>
      </w:r>
      <w:r>
        <w:rPr>
          <w:rFonts w:ascii="arial" w:eastAsia="arial" w:hAnsi="arial" w:cs="arial"/>
          <w:color w:val="000000"/>
          <w:sz w:val="20"/>
          <w:lang w:val="en-US" w:eastAsia="en-US" w:bidi="ar-SA"/>
        </w:rPr>
        <w:t xml:space="preserve">, </w:t>
      </w:r>
      <w:hyperlink r:id="rId551"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at para. 196. The test thus limits the award to misconduct that represents a marked departure from ordinary standards of decent behaviour. Because their objective is to punish the defendant rather than compensate a plaintiff (whose just compensation will already have been assessed), punitive damages straddle the frontier between civil law (compensation) and criminal law (punishment).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my view, the evidence does not support an award of punitive damages in this case. All parties in this case found themselves in a difficult position as the result of Peter Loewen's suicide. I can see no evidence of malicious, high handed or oppressive conduct on the part of the defendants. In this regard, I accept that Jasbir did generally believe that he was acting in the interests of Peter Loewen's child, the beneficiary under his will, although that belief was somewhat misguided.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final issue I must address is how to deal with the defendants' application to file a counterclaim. At the outset of the trial, the defendants applied for various orders, one of which was to file a counterclaim for rental arrears, certain costs related to caring for the flock, the cost of removing the barns from Queen Street and damages for the wrongful filing of a certificate of pending litigation. In the course of submissions and the trial it became apparent that the only relief being pursued was an order giving leave to file the counterclaim and have it adjudicated upon in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have decided that it is in the interests of justice, and consistent with Supreme Court Civil Rule 1-3 and the principle of proportionality to finally determine all issues between the parties in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am satisfied that the issues raised in the counterclaim have been fully canvassed and all relevant evidence with respect to those issues has been presented before me. There is therefore no prejudice to any party in dealing with them in these reasons. Rather than putting the parties to the expense of filing further pleadings, I will deal with the matters raised in the counterclaim as matters of defence to be set off against the damages I have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Given my finding that the defendants converted the plaintiff's goods on September 23, 2010, there is no merit in the claims for the for the cost of caring for the flock or removing the buildings. The basis of the award of damages for conversion is that the defendants notionally acquired the farm assets on September 23, 2010 through an involuntary purchase. Accordingly, any expenses related to those assets after that date are for their own account and the assets were held at their risk after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claim for rent arrears stands on a different footing. The arrears accumulated before Peter Loewen's death while he was in occupation of the farm. A landlord who repossesses premises may claim for arrears of rent owing up to the date of repossession. I have already found the rental arrears in this case to be $17,600, as claimed by the defendants. The defendants will be entitled to set off that amount against the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summary, the plaintiff is entitled to judgment for $50,000 less the set off amount of $17,600 for a net judgment of $32,400, together with prejudgment interest on that amount from September 23,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There will also be an order directing that the certificate of pending litigation filed against Queen Street in the Land Title Office be cancelled as no basis for the filing of it has been established in this case. However, the defendants are not entitled to any damages in respect of the filing.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 is entitled to her costs on Scale B, subject to any matter that the parties wish to bring to my attention affecting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R.J. SEWELL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March 4,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Corrected Judgment: The text of the judgment was corrected on the front page on March 4, 2013</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2" style="position:absolute;z-index:2518865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52"/>
          <w:headerReference w:type="default" r:id="rId553"/>
          <w:footerReference w:type="even" r:id="rId554"/>
          <w:footerReference w:type="default" r:id="rId555"/>
          <w:headerReference w:type="first" r:id="rId556"/>
          <w:footerReference w:type="first" r:id="rId55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58" w:history="1">
        <w:r>
          <w:rPr>
            <w:rFonts w:ascii="arial" w:eastAsia="arial" w:hAnsi="arial" w:cs="arial"/>
            <w:b/>
            <w:bCs/>
            <w:i/>
            <w:color w:val="0077CC"/>
            <w:kern w:val="32"/>
            <w:sz w:val="28"/>
            <w:szCs w:val="32"/>
            <w:u w:val="single"/>
            <w:shd w:val="clear" w:color="auto" w:fill="FFFFFF"/>
            <w:lang w:val="en-US" w:eastAsia="en-US" w:bidi="ar-SA"/>
          </w:rPr>
          <w:t>Nesbitt v. James Western Star Sterling Ltd., [2006] B.C.J. No. 648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Humphries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21 - 23,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24,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S054950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648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473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148 A.C.W.S. (3d) 496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Guy Nesbitt, plaintiff, and James Western Star Sterling Ltd.,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(61 paras.)</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[Editor's note: Supplementary reasons for judgment were released May 11, 2006. See </w:t>
      </w:r>
      <w:hyperlink r:id="rId559" w:history="1">
        <w:r>
          <w:rPr>
            <w:rFonts w:ascii="arial" w:eastAsia="arial" w:hAnsi="arial" w:cs="arial"/>
            <w:i/>
            <w:color w:val="0077CC"/>
            <w:sz w:val="18"/>
            <w:u w:val="single"/>
            <w:shd w:val="clear" w:color="auto" w:fill="FFFFFF"/>
            <w:lang w:val="en-US" w:eastAsia="en-US" w:bidi="ar-SA"/>
          </w:rPr>
          <w:t>[2006] B.C.J. No. 1074</w:t>
        </w:r>
      </w:hyperlink>
      <w:r>
        <w:rPr>
          <w:rFonts w:ascii="arial" w:eastAsia="arial" w:hAnsi="arial" w:cs="arial"/>
          <w:color w:val="000000"/>
          <w:sz w:val="18"/>
          <w:lang w:val="en-US" w:eastAsia="en-US" w:bidi="ar-SA"/>
        </w:rPr>
        <w:t>.]</w:t>
      </w:r>
      <w:r>
        <w:rPr>
          <w:rFonts w:ascii="arial" w:eastAsia="arial" w:hAnsi="arial" w:cs="arial"/>
          <w:sz w:val="20"/>
          <w:lang w:val="en-US" w:eastAsia="en-US" w:bidi="ar-SA"/>
        </w:rPr>
        <w:cr/>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3" style="position:absolute;z-index:2516869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3" w:name="Keywords_27"/>
      <w:bookmarkEnd w:id="183"/>
      <w:r>
        <w:rPr>
          <w:rFonts w:ascii="arial" w:eastAsia="arial" w:hAnsi="arial" w:cs="arial"/>
          <w:b/>
          <w:color w:val="000000"/>
          <w:sz w:val="20"/>
          <w:lang w:val="en-US" w:eastAsia="en-US" w:bidi="ar-SA"/>
        </w:rPr>
        <w:t>Commercial law — Sale of goods — Fitness and quality — Action by purchaser of truck against seller allowed where purchaser relied on negligently-prepared inspection certificate in purchasing truck.</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Exemplary or punitive damages — Punitive damages appropriate where seller of truck negligent in filling out inspection report.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Limits on compensatory damages — Duty to mitigate — Damages recoverable by purchaser of truck for repairs and down time limited where repairs could have been done earlier.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Fraud and misrepresentation — Negligent misrepresentation — Action by purchaser of truck against seller allowed where purchaser relied on negligently-prepared inspection certificate in purchasing truck.</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Transportation law — Motor vehicles — Action by purchaser of truck against seller allowed where purchaser relied on negligently-prepared inspection certificate in purchasing truck.</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4" w:name="Case Summary_23"/>
            <w:bookmarkEnd w:id="18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Nesbitt against James Western Star Sterling to recover repair costs and loss of income for period when truck, purchased from James, was under repair -- Truck was advertised as having valid and current Commercial Vehicle Inspection Report -- Nesbitt wanted to use truck to haul fill for his business -- Nesbitt test drove truck, noticed some deficiencies with steering -- Nesbitt admitted truck came with no warranties -- Nesbitt purchased truck for $23,195 plus GST in February 2004 -- James asked for few hours to repair steering -- Nesbitt later picked up truck, but steering still had problems -- Nesbitt purchased dump box for truck for $13,000, spent $16,273 to modify chassis and install dump box -- Nesbitt too truck to Scott Spring for steering repairs -- Scott told Nesbitt some parts needed replacing -- Scott referred to James' representative, Therrien -- Therrien agreed to pay repair bill for $1,400 -- Bill later increased to over $10,000 -- Nesbitt instructed Scott to do full government inspection -- Therrien sent government inspector to check Scott's work -- Scott's inspection, confirmed by government inspector, led to truck being condemned in April 2004 -- Truck had problems with steering, brakes, fuel tank, tires, air valves, exhaust -- Nesbitt put 665 kilometres on truck since purchase -- Scott's inspector claimed problems with truck could not have occurred during time Nesbitt operated truck -- Government inspector agreed -- Another James representative, Keith, took over matter -- Keith suggested James's mechanic do repairs to save labour costs -- Keith claimed Nesbitt refused to turn over truck -- Keith claimed he offered Nesbitt $55,000 to buy back truck, but Nesbitt denied receiving offer -- Nesbitt twice faxed James to have truck picked up, received no responses -- Nesbitt had truck repaired once he saved enough money to do so -- Truck made it through inspection August 2005 -- Nesbitt commenced action against James -- James's agent, Bursinger, who conducted initial inspection of truck, admitted to missing some problems with truck, claimed others developed after truck purchased by Nesbitt -- Claimed he would have found truck's problems if they were present during his inspection -- Bursinger ticketed by government inspectors for failing to fill out inspection report properly -- HELD: Action allowed -- Nesbitt awarded damages of $16,509 for repairs and downtime, and punitive damages of $5,000 -- Court not satisfied Bursinger deliberately falsified inspection certificate -- Certificate was filled out recklessly or carelessly -- Tort of deceit established because certificate prepared with intention purchaser would rely on it -- James responsible for costs of repairs and labour -- James not responsible for entire downtime of truck, as repairs could have been done sooner if Nesbitt had the money -- Award of punitive damages appropriate because although James not in business of selling unsafe trucks, James needed to be held accountable for careless inspection.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5" w:name="Legislation Cited_23"/>
      <w:bookmarkEnd w:id="18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4" style="position:absolute;z-index:2517381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Inspection Standards (Safety and Repair) Regulations, </w:t>
      </w:r>
      <w:hyperlink r:id="rId560" w:history="1">
        <w:r>
          <w:rPr>
            <w:rFonts w:ascii="arial" w:eastAsia="arial" w:hAnsi="arial" w:cs="arial"/>
            <w:i/>
            <w:color w:val="0077CC"/>
            <w:sz w:val="20"/>
            <w:u w:val="single"/>
            <w:shd w:val="clear" w:color="auto" w:fill="FFFFFF"/>
            <w:lang w:val="en-US" w:eastAsia="en-US" w:bidi="ar-SA"/>
          </w:rPr>
          <w:t>B.C. Reg. 103/2002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561" w:history="1">
        <w:r>
          <w:rPr>
            <w:rFonts w:ascii="arial" w:eastAsia="arial" w:hAnsi="arial" w:cs="arial"/>
            <w:i/>
            <w:color w:val="0077CC"/>
            <w:sz w:val="20"/>
            <w:u w:val="single"/>
            <w:shd w:val="clear" w:color="auto" w:fill="FFFFFF"/>
            <w:lang w:val="en-US" w:eastAsia="en-US" w:bidi="ar-SA"/>
          </w:rPr>
          <w:t>R.S.B.C. 1996, c. 318, s. 217</w:t>
        </w:r>
      </w:hyperlink>
      <w:r>
        <w:rPr>
          <w:rFonts w:ascii="arial" w:eastAsia="arial" w:hAnsi="arial" w:cs="arial"/>
          <w:color w:val="000000"/>
          <w:sz w:val="20"/>
          <w:lang w:val="en-US" w:eastAsia="en-US" w:bidi="ar-SA"/>
        </w:rPr>
        <w:t>(2)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6" w:name="Counsel_27"/>
      <w:bookmarkEnd w:id="18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5" style="position:absolute;z-index:251789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P.L. Snelling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 Katerberg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7" w:name="Judgment_27"/>
      <w:bookmarkEnd w:id="187"/>
      <w:r>
        <w:pict>
          <v:line id="_x0000_s1166" style="position:absolute;z-index:25184051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8" w:name="HUMPHRIES J."/>
            <w:bookmarkEnd w:id="188"/>
            <w:r>
              <w:rPr>
                <w:rFonts w:ascii="arial" w:eastAsia="arial" w:hAnsi="arial" w:cs="arial"/>
                <w:b/>
                <w:color w:val="000000"/>
                <w:sz w:val="30"/>
                <w:lang w:val="en-US" w:eastAsia="en-US" w:bidi="ar-SA"/>
              </w:rPr>
              <w:t>HUMPHRIES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who operates a couple of small businesses requiring dump trucks, sues the defendant, a truck dealership, who sold him a used truck which was advertised and represented as having a "fresh MVI" or, in other words, a valid and current Commercial Vehicle Inspection Report ("CVIR").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says he purchased the truck, relying on the report provided to him by the defendant, and learned subsequently that the truck was not in sufficient working condition to obtain a CVIR. The plaintiff acknowledged the truck came with no warranties, but he alleges that the defendant induced him to purchase the truck by fraudulently representing that the truck was in sound working condition, and is liable in deceit. He seeks the cost of repairs and loss of income for the period during which the truck was under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early 2005, the plaintiff, who lives in Abbotsford, wanted to obtain a second dump truck to haul fill for his business. He found an advertisement in the B.C. Heavy Truck Trader for a "1994 Mack CK713 Elite" with a "fresh MVI". Mr. Nesbitt said the fresh MVI was significant to him. It is a government regulated safety inspection and is required for highway driving, and indicated to him that the truck was in an acceptable safety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He phoned the Williams Lake branch of James Western Star Sterling Ltd. ("James Western Star") and arranged through the salesman, Randy Therrien, to come up to look at it. Mr. Nesbitt and his wife drove up to Williams Lake on February 21 and test drove the truck, which was a cabin chassis only. Mr. Therrien was not there that day, and Mr. Nesbitt wanted to deal with him, so the couple stayed overnight.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During the test drive Mr. Nesbitt noticed only one thing of concern: the steering wheel was set in a position that put the cross bar at 45 degrees to the steering column, thus making it difficult to see all the gauges. As well, since the wheel is not perfectly round, driving was awkward.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next morning, Mr. Nesbitt met Mr. Therrien and gave him a cheque for $23,195.25 for the truck and $1,517.25 for GST. Mr. Nesbitt testified that the defendants needed a few hours to do whatever they were going to do to the truck, and to fix the steering. Mrs. Nesbitt started for Abbotsford and Mr. Nesbitt borrowed a pick-up truck from the defendant to drive out to see a friend in Horsefly. He came back mid-afternoon, but the truck was not ready. He was finally given the keys in the early evening, along with the CVIR and the bill of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As he went to leave, he noted the wheel was still crooked. He took the truck back in and half an hour later was told it was ready. The wheel was now straight, but when he backed the truck out, the steering jammed because the series of universal joints for the steering were not in line. The defendant's mechanic said he did not know how to prevent this. The plaintiff said he would get it done in Vancouver, and the wheel was put back in the crooked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drove the truck home, where he planned to modify it to be used as a dump truck. On February 23, he spent $13,000 for a dump box. On March 17, 2005, he spent $16,273.68 having the chassis modified and the box installed.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He then took it to Scott Spring Ltd. to have the steering wheel repositioned and the front wheel alignment checked. He soon received a call from Scott Spring telling him certain parts were worn out and needed to be replaced before the alignment could be done. Mr. Nesbitt put Scott Spring directly in touch with Randy Therrien.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Therrien testified he told Scott Spring to send him the bill, which was estimated to be about $800. However, he soon received a call telling him the damage would be about $1,400. He agreed to pay it. The next call was to tell him the bill would be over $10,000. In the meantime, Mr. Nesbitt had told Scott Spring to do a full government inspection on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Therrien was concerned at the escalating cost, and Mr. Nesbitt told him he would have a government inspector from the Ministry of Transport come and check the Scott Spring inspector's work. The result of Scott Spring's inspection, done by James Russell on April 18, 2005 and confirmed by the government inspector, Mr. Campbell, was that the truck was condemned. At this time, there were 665 kilometres more on the truck than there had been when it left Williams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Therrien passed the matter over to the operations manager of the Williams Lake branch of James Western Star, Mr. Keith. Mr. Keith told Mr. Nesbitt that he wanted their mechanic to do the repairs so the cost of labour could be saved. Mr. Keith's position is that Mr. Nesbitt refused to release the truck, saying "DOT" had it. Mr. Keith said he offered to buy back the truck but Mr. Nesbitt wanted $55,000 for it. Mr. Nesbitt's position is that James Western Star simply did nothing.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April 22, 2005, Mr. Nesbitt faxed a handwritten letter to Mr. Keith telling him the truck would be released by "DOT" sometime that day and Mr. Keith could make arrangements to have it picked up. Apparently nothing was done. Mr. Nesbitt faxed another letter dated April 27, 2005, this time addressed to Brian James, Mr. Keith's supervisor in Prince George, telling Mr. James he was asking only for the repairs to "M.V.I. specks" and referring to having one of James Western Star's mechanics come and look at the truck. He also said he had asked Scott Spring to fax directly to James their inspection report, any repairs authorized by James Western Star and the bill for those repairs. There is no evidence of a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Over the next several months, Mr. Nesbitt, who was in some financial difficulty, managed to make enough money with his other truck to effect sufficient repairs to get the second dump truck through an inspection and on the road on August 26, 2005. It has worked well ever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INSPECTIONS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Commercial Vehicle Inspections are good for six months. All the inspectors who testified agreed that inspectors exercise a measure of discretion in deciding if parts pass or fail, and that inspectors can disagree. Some parts can pass one day and shortly thereafter fall short of the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Russell, the inspector for Scott Spring, failed the following items on the truck, resulting in it being condemned: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Steering: tie rod bent, preventing wheel alignment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Power steering hoses: wrong type used, not safe for hydraulics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vertical pin bushings required repair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Second axle brakes: contaminated by oil and dirt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Brake shoes worn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Air brakes: worn out slack adjuster and clevis pins;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S-cams worn out and eating into the bushing; brake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chamber damaged, mounting brackets bent and push rods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binding; leaking; when brakes on, vehicle still moved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Dash brake control valves not functioning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Power train: steady bearing on drive shaft moved out of bracket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fuel tank: leaking, inadequate old repair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Missing heat shields on the exhaust system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Lamps: right headlight did not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Tires: slash in sidewall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Wheel rims damaged on third axle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Air valve controlling height of cab: not working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Most of these items were removed from the truck and placed in evidence. It was Mr. Russell's opinion that the kind of deterioration, damage and wear he found on these parts could not have occurred during the 650 km of additional mileage on the odometer since the last inspection, especially since the mileage had been accumulated during highway driving from Williams Lake to Abbotsford. He said the truck could not have passed an inspection in February 2005, even allowing for differences in opinion between inspectors.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Campbell, the vehicle inspection officer who checked Mr. Russell's work, said that possibly some of the items might have worn out between February and April, but he noted that the truck only had an additional 600 km on it. He did not think the brakes would have worn out in that distance.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inspection which forms the basis of the defendant's Commercial Vehicle Inspection Report and the statement in the advertisement that the truck had a "fresh MVI" was done by the defendant's agent, Jim Bursinger, ostensibly in accordance with the Commercial Vehicle Inspection Manual. Mr. Bursinger is authorized to inspect the truck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Commercial Vehicle Inspection Manual is comprised of the </w:t>
      </w:r>
      <w:r>
        <w:rPr>
          <w:rFonts w:ascii="arial" w:eastAsia="arial" w:hAnsi="arial" w:cs="arial"/>
          <w:i/>
          <w:color w:val="000000"/>
          <w:sz w:val="20"/>
          <w:lang w:val="en-US" w:eastAsia="en-US" w:bidi="ar-SA"/>
        </w:rPr>
        <w:t>Inspection Standards (Safety and Repair) Regulations,</w:t>
      </w:r>
      <w:r>
        <w:rPr>
          <w:rFonts w:ascii="arial" w:eastAsia="arial" w:hAnsi="arial" w:cs="arial"/>
          <w:color w:val="000000"/>
          <w:sz w:val="20"/>
          <w:lang w:val="en-US" w:eastAsia="en-US" w:bidi="ar-SA"/>
        </w:rPr>
        <w:t xml:space="preserve"> </w:t>
      </w:r>
      <w:hyperlink r:id="rId560" w:history="1">
        <w:r>
          <w:rPr>
            <w:rFonts w:ascii="arial" w:eastAsia="arial" w:hAnsi="arial" w:cs="arial"/>
            <w:i/>
            <w:color w:val="0077CC"/>
            <w:sz w:val="20"/>
            <w:u w:val="single"/>
            <w:shd w:val="clear" w:color="auto" w:fill="FFFFFF"/>
            <w:lang w:val="en-US" w:eastAsia="en-US" w:bidi="ar-SA"/>
          </w:rPr>
          <w:t>B.C. Reg. 103/2002</w:t>
        </w:r>
      </w:hyperlink>
      <w:r>
        <w:rPr>
          <w:rFonts w:ascii="arial" w:eastAsia="arial" w:hAnsi="arial" w:cs="arial"/>
          <w:color w:val="000000"/>
          <w:sz w:val="20"/>
          <w:lang w:val="en-US" w:eastAsia="en-US" w:bidi="ar-SA"/>
        </w:rPr>
        <w:t xml:space="preserve">, prescribed pursuant to s. 217(2)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The Manual prescribes the method by which Commercial Vehicle Inspection forms are to be filled out: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vehicle is failed and repaired on the same day, mark "X" in the failed column and "check mark" in the repaired and passed columns. Should an inspection item fail, that item shall be indicated by either listing the item (e.g. steering wheel) or the item number in the manual (e.g. 4-7) in the area provided under the appropriate section, AND by placing an "X" in the failed column.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Bursinger said his practice is to make a list of items needing repairs on a separate sheet of paper in order to keep the form clean, do the repairs and mark a check mark in the "pass" column. He does not bother to mark an "x" in the "failed" column and a check in the "repaired" columns. He later throws the sheet of paper with the list of repairs away. The work that gets done is recorded on the work orders which may be checked against the form. The time tickets with the work order show the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Bursinger was asked about the list of defects identified by Mr. Russell.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Fuel tank: he said there were no problems when he looked at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Lack of Heat shields: he admitted he had missed this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Suspension and vertical pin bushings: He said he had looked at these items during his inspection and saw nothing out of the ordinary. He would have checked the spring pins and would have replaced them if they failed.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Brake shoes: he agreed they were worn but a certain amount of wear is allowed; he measured them with a dial indicator and passed them; they were all within allowable range.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Air brakes: he agreed the brake chamber entered as an exhibit had a hole in it and would leak air. He said it would be very obvious and he'd have found it if it was there in February. In cross-examination he was referred to the diaphragm within the housing which was allowing the air pressure to leak and said he would not know if it had a hole in it or not.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S-cams, slack adjusters and clevis pins: he agreed the S-cams were worn by a certain amount is allowed. He said the slack adjuster entered as an exhibit had a seized pin in it, but he said he would have noticed that as the brake would not be moveable. He agreed the clevis pins entered as exhibits must have been seized because they were cut out, but he would have found that in the inspection if they were in that state in February.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Steady bearing: he agreed it looked pretty worn out. He would fail the one entered as an exhibit.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Power steering: he agreed one marked "silicon heater hose" could not be used for hydraulic fluid but said he did not notice the writing on the hose during his inspection.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Tie rod end: he jacked up the front end to test it and noticed no movement. He agreed the one entered as an exhibit had a bit of bend in it but would need to see it mounted.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As a general comment, Mr. Bursinger said if he had seen parts like this, he would have failed every one of them, with the possible exception of one or two. He could not explain their present appearance. He agreed driving 650 km would not affect all of them. He testified he would have found them during his inspection. He said they did a front end alignment during the February inspection which cannot be done with a bent tie rod. As well, they replaced a king pin, and during that procedure, he would have noted some of these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Bursinger testified that he met Mr. Nesbitt briefly. He knew the truck had been sold and prepared the CVIR for the purchaser, whom he knew would rely on it to drive it legally in British Columbia. Mr. Bursinger threw away his sheet listing the required repairs which were done during his inspection on February 22, 2005. He agreed that this meant there was no way for Mr. Nesbitt to know what problems there were in the truck prior to purchasing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Bursinger says he still fills out forms the same way - when he ticks the "pass" column the truck is safe to drive, which means he is confident it is roadworthy for British Columbia. He said the area inspector, Rod Johnson, told the inspectors it was acceptable to fill out forms the way Mr. Bursinger does. He said Mr. Johnson told the inspectors they should not bother to fill in the "fail" and "repair" columns, and should not put unnecessary comments on the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Johnson testified that he did not tell the inspectors that they could fill out the forms other than in accordance with the regulations. He encourages them to do it correctly. However, he said it was common in the industry to fill out the forms the way Mr. Bursinger does and he does not take action on it, as there would be too much paper to deal with. He says his concern is to ensure that there are no unsafe vehicles on the road and he tells the inspectors that safety is his bottom line; he agreed that a technical problem in filling out a form does not affect safety. He has never had a problem with Mr. Bursinger or had any reason to believe he is careless with inspections.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Johnston took the new inspection done by Mr. Russell to Mr. Bursinger and asked him to explain the difference between the inspection results. Mr. Bursinger could not, so on April 27, 2005 Mr. Johnston issued a violation ticket described as "Contrary to the Duties of a Facility" to James Western Star.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r>
        <w:rPr>
          <w:rFonts w:ascii="arial" w:eastAsia="arial" w:hAnsi="arial" w:cs="arial"/>
          <w:sz w:val="20"/>
          <w:lang w:val="en-US" w:eastAsia="en-US" w:bidi="ar-SA"/>
        </w:rPr>
        <w:cr/>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plaintiff induced to buy the truck by the deceit of the defendant?</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what losses has the plaintiff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elements of deceit are:</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false representation (knowingly false, or made without belief in its truth or recklessly, careless whether it is true or not);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made with the intention that it should be acted on by the plaintiff in the manner which resulted in damage to him;</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acted upon by the plaintiff, who sustained damage by so 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Once the false representation of a material fact has been shown, the evidentiary burden shifts to the defendant to show that the plaintiff was not induced by it (</w:t>
      </w:r>
      <w:r>
        <w:rPr>
          <w:rFonts w:ascii="arial" w:eastAsia="arial" w:hAnsi="arial" w:cs="arial"/>
          <w:b/>
          <w:i/>
          <w:color w:val="000000"/>
          <w:sz w:val="20"/>
          <w:lang w:val="en-US" w:eastAsia="en-US" w:bidi="ar-SA"/>
        </w:rPr>
        <w:t>Wiebe v. Gunderson</w:t>
      </w:r>
      <w:r>
        <w:rPr>
          <w:rFonts w:ascii="arial" w:eastAsia="arial" w:hAnsi="arial" w:cs="arial"/>
          <w:color w:val="000000"/>
          <w:sz w:val="20"/>
          <w:lang w:val="en-US" w:eastAsia="en-US" w:bidi="ar-SA"/>
        </w:rPr>
        <w:t xml:space="preserve">, </w:t>
      </w:r>
      <w:hyperlink r:id="rId562" w:history="1">
        <w:r>
          <w:rPr>
            <w:rFonts w:ascii="arial" w:eastAsia="arial" w:hAnsi="arial" w:cs="arial"/>
            <w:i/>
            <w:color w:val="0077CC"/>
            <w:sz w:val="20"/>
            <w:u w:val="single"/>
            <w:shd w:val="clear" w:color="auto" w:fill="FFFFFF"/>
            <w:lang w:val="en-US" w:eastAsia="en-US" w:bidi="ar-SA"/>
          </w:rPr>
          <w:t>[2003] B.C.J. No. 1947</w:t>
        </w:r>
      </w:hyperlink>
      <w:r>
        <w:rPr>
          <w:rFonts w:ascii="arial" w:eastAsia="arial" w:hAnsi="arial" w:cs="arial"/>
          <w:color w:val="000000"/>
          <w:sz w:val="20"/>
          <w:lang w:val="en-US" w:eastAsia="en-US" w:bidi="ar-SA"/>
        </w:rPr>
        <w:t xml:space="preserve">, </w:t>
      </w:r>
      <w:hyperlink r:id="rId562" w:history="1">
        <w:r>
          <w:rPr>
            <w:rFonts w:ascii="arial" w:eastAsia="arial" w:hAnsi="arial" w:cs="arial"/>
            <w:i/>
            <w:color w:val="0077CC"/>
            <w:sz w:val="20"/>
            <w:u w:val="single"/>
            <w:shd w:val="clear" w:color="auto" w:fill="FFFFFF"/>
            <w:lang w:val="en-US" w:eastAsia="en-US" w:bidi="ar-SA"/>
          </w:rPr>
          <w:t>2003 BCSC 1282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this case, no issue has been taken with the allegation by the plaintiff that he relied on the motor vehicle inspection report in buying the truck, nor that the words "fresh MVI" were designed to assure a potential buyer that the truck was roadworthy according to B.C. government standards. The issue is whether the representation that the truck was roadworthy was fraudulent. The defendant maintains the representation was mistaken but not fraudulent.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Counsel for the plaintiff says deceit has been proven merely by the admission by Mr. Bursinger that he does not fill the form out in accordance with the regulations, so a prospective buyer would not know what parts had been repaired at the time of the inspection. While it is clear that Mr. Bursinger deliberately filled in the form that way, it is not so clear that any of the lines marked "pass" that should have been marked as "failed, repaired and passed" are material to the plaintiff's claim. There was no evidence that the parts which show up on the work order and time tickets as having been repaired by Mr. Bursinger before the report was issued were found to be faulty on the later inspection. In other words, the parts which led Mr. Russell to condemn the truck were not the subject of repairs by Mr. Bursinger. Therefore the failure to fill in the form properly is not material to the representation which led to the losses the plaintiff says he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It may be that Mr. Nesbitt would not have bought the truck if he had been presented with a motor vehicle inspection report full of comments and lists of parts that had failed and been repaired, but that evidence was not elicited from him. Rule 68 does not provide for a right of discovery and, unfortunately, no discovery was done of a defendant's representative either by consent or by court order. The evidence may have gone in differently if Mr. Bursinger's evidence had been canvassed in a pre-trial procedure. Nevertheless, the work orders and time tickets were produced prior to trial and, when compared to the form, it would be obvious that repairs had been done but had not been noted on the form. Mr. Nesbitt could have been questioned on whether that would have made a difference to him, but he was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Nesbitt testified that he thought he was getting a truck in an acceptable safety condition based on the advertisement that it came with a "fresh MVI" and later realized he had purchased a truck that had to be condemned. The actual face of the form did not appear to be of importance to him. The fact that he waited a day for repairs to be done to the truck before he was allowed to drive it away is an indication that he must have known work had been done that was not reflected on the face of the form. What was important to him was the inspection result at the top of the form, which was "passed" and the inspection type, which was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factual issue before me then, is whether Mr. Bursinger filled out the form falsely or recklessly, passing items that could not have been passed. In support of this proposition is the plaintiff's evidence through Mr. Russell and Mr. Campbell that many if not all of the parts that failed the inspection in April would also have failed the inspection in February because the truck had travelled only 665 km on the highway between inspections, and because the worn out parts had deteriorated over a significant length of time and use. As well, Mr. Bursinger testified he, too, would have failed the items that were produced to him on the stand, and he could not explain how they had come to be in the condition they were during the short interval and small mileage increment. He qualified his statement by saying he did not know these items came from the truck as he had not seen them removed, but no issue was taken with continuity of the parts.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work orders and time tickets for this truck show that Mr. Bursinger did a number of repairs on the truck in January, 2004 - he fixed the battery boxes, rewired the back end, replaced the heater cable and some bushings, checked the brakes, disassembled and reassembled the suspension, replaced a tie rod, and replaced the king pins.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Bursinger testified that, given the repairs he did do, he would have noticed these items and would not have passed them. However he did admit he missed the heat shields and the faulty hose, and may have missed the worn out steady bearing.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evidence respecting the brakes is somewhat confusing. The form filled out by Mr. Bursinger has "hydraulic brakes" crossed out as if it is an irrelevant category for this type of truck. Mr. Russell's form has comments for both hydraulic brakes and air brakes. Mr. Campbell's check list refers to air brakes only. None of this was clarified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Bursinger admitted the hole in the brake diaphragm which caused it to leak air would not have been visible to him on a visual inspection, although he said it would be obvious to someone driving the truck. Mr. Russell described the leak as bad and said the air brakes failed when he applied them. Mr. Nesbitt was not asked about and did not mention any problems with the brakes on the truck as he drove down from Williams Lake, although Mr. Campbell testified he did not believe the brakes could wear out on the trip from Williams Lake to Abbotsford. In short, the evidence regarding the brake leak is inconclusive and unsatisfactory.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am not persuaded that Mr. Bursinger deliberately falsified the inspection certificate. However, the preponderance of evidence, even allowing for the higher onus attaching to an allegation of fraud and for the exercise of discretion between inspectors, supports the plaintiff's contention that the certificate was filled out recklessly or carelessly. Leaving aside the leak in the brakes, there is simply no explanation for the number of items that even Mr. Bursinger admits would not pass inspection; some were clearly missed, others perhaps overlooked, but in that case they should not have been given a "pass".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my view, is clearly made out, but the plaintiff has not sued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only in deceit. In this context, where the inspection is being done specifically to inform a purchaser of the roadworthiness of a commercial vehicle, recklessness or carelessness in warranting it as safe for the road goes beyond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find that the report was completed recklessly and/or carelessly, it was prepared with the intention that a purchaser would rely on it, the purchaser did in fact rely on it, and suffered damages as a result. The tort of deceit has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claims the cost of repairs to get the vehicle roadworthy. The defendant says the plaintiff should receive the cost of parts only, not labour, as they were prepared to repair the truck at their own shop. Mr. Keith said communications broke down when Mr. Nesbitt refused to let them have the truck. However, based on the faxes to Mr. Keith and Mr. James, it is clear that Mr. Nesbitt was willing to have James Western Star pick up the truck for repairs. The plaintiff should have the entire cost of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Those repairs 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7"/>
        <w:gridCol w:w="1235"/>
        <w:gridCol w:w="237"/>
        <w:gridCol w:w="1750"/>
        <w:gridCol w:w="237"/>
        <w:gridCol w:w="5351"/>
        <w:gridCol w:w="102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Tab 22</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&amp; K Diesel</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$3,329.94 (hoses, clutch lever, tie rod)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Tab 23</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 &amp; D Spring</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$1,266.69 (replace bushings)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Tab 24</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Scott Spring</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$ 608.47 (repair steering wheel)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1987"/>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Tab 25</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Kal Tire</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$1,452.70 (two tires)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addition, Mr. Nesbitt paid for the independent CVIR which cost $280.70 and replaced the left hand door lock for $427.93. There is also an invoice for $2,114.98 from Scott Spring made out to James Western Star for various repairs to the wheels and brakes which has not been paid but which Mr. Nesbitt feels obliged to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 repair to the fuel tank has not yet been done because Mr. Nesbitt has not had the money to pay for it. He has shut it off rather than take the truck off the road again. The repair estimate for the fuel tank is $1,595.58. The total cost of repairs claimed for is $11,276.99.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Nesbitt also claims for down time for the truck. He says the truck could have been working from April 18 to August 26, 2004 but was prevented from doing so by the actions of the defendant. Hourly rates have climbed from $65/hr plus a 12% fuel surcharge to $71.68 with no surcharge. The plaintiff calculates the losses of down time as follows: taking the total days of 130, and deducting 19 for days of rest, 5 for weather contingencies and 3 for statutory holidays leaves 103 days. Taking an average rate of $68.48/hr x 8 hrs/day = $547.84/day, minus costs and expenses, including payment of another driver, of $310/day = $237.84/day x 103 days = $24, 497.52.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Counsel for the defendant says she requested documents in support of the plaintiff's claim but received none, except for a few invoices, and those invoices do not support the claim asserted by Mr. Nesbitt. Mr. Nesbitt said he did not remember being asked to provide documentation to support his claims for damages. He said he had no information that would tell what his income for 2005 was. He testified he calculates his profit by taking gross receipts minus gross payouts, but did not have any documents to support his figures. He does not keep general ledgers.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defendant argues that Mr. Nesbitt should not be able to claim damages for down time from April 18, 2004, the date the Mack truck was condemned, but only from May 10, 2004, the date of his first invoice for work with his other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Nesbitt could not explain why the first invoice for his original truck was for work done May 10, although he is claiming for lost work for the Mack truck from April 18, 2004. He said the first truck might have been working around the farm, but was not doing work that could be invoiced.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difference between the two trucks is that the Mack truck was bigger and could haul a transfer, which Mr. Nesbitt said he intended to do at some point. He testified that the reason he wanted a second truck in the spring of 2004 was to haul fill and the work he appears to have had for his trucks, according to the invoices that were produced, was hauling fill. Mr. Nesbitt had just had the Mack truck modified and fitted out as a dump truck. Although his first truck was not working between April 18 and May 10, 2004, Mr. Nesbitt said he had work available for the Mack truck during that period, but did not produce any documentation to support that assertion. He did not explain why he did not use the first truck for the work he said was available for the Mack truck during the period of April 18 to May 10, 2004. I am of the view that Mr. Nesbitt can claim for lost work from only May 10, 2004 and not from April 18,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invoices that were produced show the other truck working 8 to 9 hours a day. The defendant says the working hours average out to 3 to 4 hours per day, rather than 8 to 9 hours per day. However, there is one week in May, three weeks in June, almost a full week in July and over three weeks in August for which no invoices have been produced.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says the defendant is responsible for all reasonably foreseeable losses, and that includes the entire time until he was able to get the truck back on the road. The defendant says it should not have to pay for down time due to Mr. Nesbitt's impecuniosity, but only for a reasonable period in which the repairs could be done, which counsel suggests is 22 days, based on the repair invoices. Defendant's counsel agrees with the hourly figure of $68.48 used by plaintiff's counsel. She says after deducting expenses, Mr. Nesbitt would have made only a little over $1,700 profit during the relevant period, based on 22 working days of between 3 and 4 hours 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Nesbitt said he could not get a bank loan or a loan from family to allow him to get the repairs done earlier. One of his companies had gone into bankruptcy and he was the largest creditor. He also had family problems with finances at home. He had no other assets, only his remaining business and one truck. He had paid out $50,000 for refitting the truck and said that had come from his bank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It would have been in the best interests of both parties if the defendant had picked up the truck and repaired it immediately. They did not do so, and I am therefore allowing the plaintiff to recover the cost of labour as well. However it is not reasonable to expect the defendant to pay for down time for the truck for almost four months when the repairs could have been done in much less time. The number of days suggested by counsel for the defendant, that is 22, is reasonable. However, the downtime should be calculated on the basis of 8 hours per day, not 3 to 4 hours, because when the first truck was working, it worked long days. It was only the missing weeks when the truck either did not work or no invoices were produced that made the average 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8 hours/day @ $68.48 = $547.84, less expenses of $310/day ($160/day for a driver; $25/day for maintenance, licence and insurance; $125/day for fuel) = $237.84/day times 22 days = $5,232.48.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Damages for repairs and down time, then, is $11,276.99 + 5,232.48 = $16,509.47.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also claims punitive damages and special costs. He argues that the conduct of the defendant is outrageous and would shock the community, and is rendered even more egregious by Mr. Bursinger's testimony that his method of filling out forms was done on the instructions of Mr. Johnson, something Mr. Johnson denies. Moreover, Mr. Johnson said this method is common in the industry and the plaintiff says it should be denounced by the court. This method of filling out forms undermines the government safety program, and is being used by a dealership to get rid of trucks on their last legs by selling them to vulnerable suckers for a profit.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There are certain factors that militate against the characterization of the defendant's conduct as outrageous and shocking to the community. The uncontradicted evidence of Mr. Keith is that he offered to buy the truck back upon learning of all the problems but Mr. Nesbitt wanted $55,000 for it. By that time, of course, Mr. Nesbitt had paid a considerable amount to have the truck modified and could not simply sell it back to James Western Star for what he paid for it. Nevertheless, James Western Star made an effort to rectify the situation. Mr. Nesbitt has had a fair amount to do with trucks and testified that once the repairs were done on this one, it has worked well. I cannot find that James Western Star is in the business of inducing unsuspecting customers to buy unsatisfactory and unsafe trucks.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As for the method of filling out the forms, I have already noted that the omissions on the form were not material to Mr. Nesbitt's damages, and according to Mr. Johnson, the most important factor to him is that the truck is roadworthy and safe. This is something that is not affected by how the form is filled in. However, a purchaser is entitled to know the information that is required by regulation. That includes whether repairs have been made during the last vehicle inspection. In that sense, customers, including Mr. Nesbitt, are being systematically deprived of relevant information by the defendant, and this is deserving of censure. As well, and perhaps more importantly, the responsibility of inspecting heavy trucks for roadworthiness and safety is an important one. The public must be confident that these inspections are being done with attention and care. The inspection here was done poorly. The defendant must be held to account for its careless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am of the view that an award of punitive damages is appropriate in this case in order to underline the importance of careful adherence to the safety regulations embodied in the vehicle inspection manual. I assess punitive damages in the amount of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Damages for repairs and down time: $16,509.47; punitive damages: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Counsel asked that costs be spoken to following the decision. This can be done in writing through the Registry. I leave it to counsel to arrange the time frame for exchange of submissions, but it should be completed by April 30,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HUMPHRIES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7" style="position:absolute;z-index:2518876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63"/>
          <w:headerReference w:type="default" r:id="rId564"/>
          <w:footerReference w:type="even" r:id="rId565"/>
          <w:footerReference w:type="default" r:id="rId566"/>
          <w:headerReference w:type="first" r:id="rId567"/>
          <w:footerReference w:type="first" r:id="rId56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69" w:history="1">
        <w:r>
          <w:rPr>
            <w:rFonts w:ascii="arial" w:eastAsia="arial" w:hAnsi="arial" w:cs="arial"/>
            <w:b/>
            <w:bCs/>
            <w:i/>
            <w:color w:val="0077CC"/>
            <w:kern w:val="32"/>
            <w:sz w:val="28"/>
            <w:szCs w:val="32"/>
            <w:u w:val="single"/>
            <w:shd w:val="clear" w:color="auto" w:fill="FFFFFF"/>
            <w:lang w:val="en-US" w:eastAsia="en-US" w:bidi="ar-SA"/>
          </w:rPr>
          <w:t>Patterson v. Solymosi, [2019] B.C.J. No. 1683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R.A. Skolrood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29-30, May 1-3, 6-9,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6,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M169028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1683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1508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Sofia Patterson, Plaintiff, and George Solymosi,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8"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9" w:name="Keywords_28"/>
      <w:bookmarkEnd w:id="189"/>
      <w:r>
        <w:rPr>
          <w:rFonts w:ascii="arial" w:eastAsia="arial" w:hAnsi="arial" w:cs="arial"/>
          <w:b/>
          <w:color w:val="000000"/>
          <w:sz w:val="20"/>
          <w:lang w:val="en-US" w:eastAsia="en-US" w:bidi="ar-SA"/>
        </w:rPr>
        <w:t>Damages — Types of damages — General damages — For personal injuries — Cost of future care — Loss of earning capacity — Loss of housekeeping ability — Special damages — Past loss of income — Expenses and expenditures — Therapy and rehabilitation — Housekeeping services — Non-pecuniary loss — Pain and suffering — Action for personal injuries suffered in a 2014 motor vehicle accident allowed — Plaintiff was awarded damages of $251,482 — Plaintiff suffered soft tissue injuries and hip injury which resulted in ongoing hip pain — She worked as supply teacher — Plaintiff awarded non-pecuniary damages $95,000, past wage loss of $21,000, loss of future earning capacity of $100,000, cost of future care of $28,486 and special damages of $6,996.</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0" w:name="Case Summary_24"/>
            <w:bookmarkEnd w:id="19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personal injuries suffered in a 2014 motor vehicle accident. The plaintiff's car was stopped and was rear-ended by a vehicle driven by the defendant. The plaintiff sustained soft tissue injuries to her neck, mid and low back and left hip as a result of the accident. The bulk of these injuries resolved within three to six months following the Accident except for occasional flare-ups with her back and the ongoing right hip pain. In 2016, she had an MRI scan of her right hip which revealed a femoroacetabular impingement and a partial tear and fraying of the anterior labrum. The plaintiff worked as a supply teacher and was interested in pursuing full-time work as a learning support teacher.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1" w:name="Holdings of Court_22"/>
            <w:bookmarkEnd w:id="191"/>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awarded damages of $251,482. The accident caused her hip problems and she would likely continue to experience problems into the future. The court accepted that her right hip issues had impacted her level of activity and her enjoyment of life. While there was no doubt that she had been impacted by her injury, she had continued to lead a relatively active life. She was awarded $95,000 in non-pecuniary damages. There was a real and substantial possibility that the plaintiff's earning capacity had been impaired. The court accepted her evidence that she had missed work since the accident due to her injuries and was likely to continue to miss work periodically in the future. The medical evidence indicated that the plaintiff was unlikely to be able to cope with full-time employment as a teacher. There was no real and substantial possibility that but for the accident, the plaintiff would have completed the required additional university courses to obtain a diploma or masters in special education in order to qualify as a full-time learning support teacher, given the absence of any meaningful steps to pursue that job. To assess her loss of future earning capacity, the capital asset approach to valuing the loss was most appropriate. The plaintiff's pre-trial loss of income was $21,000.She was awarded $100,000 for loss of earning capacity. She was awarded future care costs totaling $28,486 for exercise programs, an ergonomic assessment, counselling, ongoing pain management, housekeeping and yardwork. Her special costs were assessed at $6,996.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2" w:name="Counsel_28"/>
      <w:bookmarkEnd w:id="19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9" style="position:absolute;z-index:2517391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A.E. Maragos, B. Troy.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D.S. Gray, D. Ahn, Articled Student.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3" w:name="Judgment_28"/>
      <w:bookmarkEnd w:id="193"/>
      <w:r>
        <w:pict>
          <v:line id="_x0000_s1170" style="position:absolute;z-index:2517903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4" w:name="R.A. SKOLROOD J."/>
            <w:bookmarkEnd w:id="194"/>
            <w:r>
              <w:rPr>
                <w:rFonts w:ascii="arial" w:eastAsia="arial" w:hAnsi="arial" w:cs="arial"/>
                <w:b/>
                <w:color w:val="000000"/>
                <w:sz w:val="30"/>
                <w:lang w:val="en-US" w:eastAsia="en-US" w:bidi="ar-SA"/>
              </w:rPr>
              <w:t>R.A. SKOLROOD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claims damages for injuries sustained in a car accident that occurred on November 26, 2014, on Marine Drive in West Vancouver near the intersection of 30th Street (the "Accident"). The plaintiff's car was stopped and was rear-ended by a vehicle driven by the defendant. Liability has been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claims non-pecuniary damages, past wage loss, loss of future earning capacity, damages for cost of future care and special damages. The defendant acknowledges that the plaintiff suffered soft tissue injuries but disputes that her principal ongoing complaint involving her right hip was caused by the Accident. The defendant also takes issue with the quantum of damages claimed, particularly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the outset, I want to comment on the manner in which this trial was managed and run. The parties provided the Court with a detailed Agreed Statement of Facts ("ASF") setting out many of the background facts and a very useful chronology. The ASF included schedules with a list of special damages incurred, a chronology of treatment visits and a summary of the plaintiff's annual income taken from her tax returns. Counsel had a document agreement and prepared a joint book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These steps were achieved through the cooperation of experienced counsel and permitted a trial process focussed on the central issues in dispute. I commend counsel for their efforts.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of 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Background and Pre-Accident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Sofia Patterson, was born in Calgary in 1976. She graduated high school in 1994 and obtained a bachelor's degree in general studies in 1998 and a bachelor of education degree in 2000, both from the University of Calgary.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Patterson and her husband David were married in 1998. They have two children: the first born in 2003 and the second in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Patterson worked as a kindergarten teacher and then as a reading intervention specialist and learning support teacher for the Calgary School Board between February 2002 and June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2006, the family moved to Vancouver. Following the move, Ms. Patterson remained at home caring for the children until February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January 2013, Ms. Patterson obtained a conditional BC teaching certificate. She was advised that in order to obtain a permanent teaching certificate she required two additional university courses: one in math and one in Canadian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February 2013, Ms. Patterson was placed on the Special Education Assistant (SEA) list with the West Vancouver School District (WVSD). She worked on an on-call basis and then obtained a temporary full-time position as an SEA at Rockridge Secondary in April 2013, which ran until the end of June. In September 2013, she returned to work as an SEA on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November 18, 2013, Ms. Patterson was hired as a Teacher Teaching On Call (TTOC) by WVSD. As a TTOC, she would respond to calls from a central dispatch to fill in for full-time teachers who are absent. These absences may be for a single day or for a number of days or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Through the fall of 2013, she worked as a TTOC but also continued as an SEA on call. By January 2014, she was getting enough work as a TTOC so she discontinued the SEA position. Between January and June 2014, she worked three to five days per week as a TTOC.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the summer of 2014, there was a teacher strike that lasted until into September. When school resumed in September, Ms. Patterson filled a learning support position at Rockridge Secondary School for three weeks. Learning support teachers work with students with a variety of learning challenges.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Patterson enjoyed this work and in early October 2014, she emailed the district head of learning support services, David Platt, to inquire about what further course work she would need in order to qualify for a position as a learning support teacher. Mr. Platt advised her that she would need either a diploma or masters degree in special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Following her initial placement as a learning support TTOC, Ms. Patterson said that over half of the calls she received up until the time of the Accident were for learning support positions. She said that she became known as the "go to" learning support TTOC in the WVSD.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terms of her pre-Accident health, Ms. Patterson had experienced periodic problems with her left lower back. When these problems presented, she would experience pain in her back which radiated down her left leg. Occasionally these problems left her functionally disabled for short periods of time. Ms. Patterson said that over the years she learned how to manage her condition. She was cautious in her activities and sought treatment, primarily massage and chiropractic, when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Despite her caution about her back, Ms. Patterson and her family maintained an active lifestyle. They engaged in a number of outdoor activities such as kayaking, paddle boarding and hiking in the spring and summer months, and skiing in the winter. Due to her back condition, Ms. Patterson usually skied cross country while her husband and children skied downhill. Ms. Patterson said she was also engaged in their community and at her children's school. She and her husband also enjoyed entertaining at their home. Ms. Patterson enjoyed cooking, often drawing on her Greek heritage.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November 26, 2014, Ms. Patterson was driving west on Marine Drive in West Vancouver. She was coming from work and was on her way to pick up her children from school. The vehicle in front of her stopped abruptly for no apparent reason, and Ms. Patterson had to slam on her brakes to avoid a collision. After she came to a complete stop she was rear-ended by a truck driven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She said that she was able to get out of her car and exchange information with the other driver. However, she felt instant shooting pain in her back and in both hips, as well as some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She was then able to continue on her way. She picked up her children and drove home. That evening and the next day, she continued to feel shooting pain in her back and both hips. Given her past problems, Ms. Patterson said she was most concerned about her left lower back. She said that she was anxious and concerned that the Accident triggered another episode of significant back problems.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Post-Accident Condition and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the days immediately following the Accident, Ms. Patterson said she continued to feel pain in the right side of her neck, with shooting pain down her right arm, her back, and her 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November 27, 2014, Ms. Patterson saw a chiropractor, Dr. Munro, in respect of the pain she was experiencing in her neck, upper back, low back and her left leg. She saw Dr. Munro a number of times between November 2014 and January 2015, but found that the treatments only provided temporary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parties submitted an agreed statement of facts about Dr. Munro's treatment of Ms. Patterson. It confirms that Dr. Munro did not record any complaints in his clinical records by Ms. Patterson about her right hip between November 2014 and January 2015, and that Dr. Munro did not treat nor was he asked to treat her right 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December 3, 2014, she saw a locum at her family doctor's office. She complained about pain in her right neck and arm and left hip pain radiating down to her left foot. She returned the following day and was prescribed chiropractic and massage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December 2014 and January 2015, Ms. Patterson had a number of massage treatments in addition to the chiropractic. She acknowledged that the primary focus of the treatment was on her neck, back and left hip, but she said that her right hip was also feeling tight and stiff, particularly when she got up from sitting for any length of time. She said the focus on her left hip was the result of her ongoing concern about her left hip and back and worrying about triggering another back episode.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Patterson testified that around this time, she contacted an ICBC adjuster and reported that both hips were hurting.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From late 2014 to September 2015, Ms. Patterson had numerous chiropractic, massage and physiotherapy treatments. She acknowledges that these treatments primarily dealt with her neck, back and left hip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Patterson first reported right hip problems to her family physician, Dr. Hislop, on September 16, 2015. Dr. Hislop's clinical record notes that Ms. Patterson was experiencing right hip pain that was most noticeable when she sits for an extended period of time, and that the pain was previously periodic but now is every other day. The note records that it started "a few months ago" and that Ms. Patterson does not recall any injury and is "not sure if it is related to her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Patterson agreed that by about November 2015, most of her injuries from the Accident had resolved, except for occasional flare-ups with her back and the ongoing right hip pain. From that point forward, treatment focussed on the right 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February 2016, Ms. Patterson had an MRI scan of her right hip which revealed a femoroacetabular impingement and a partial tear and fraying of the anterior labrum, which is the cartilage surrounding the hip socket.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will not detail all of the treatments Ms. Patterson has undergone as they are summarized in the ASF. Between March 2017 and June 2018 she saw an orthopaedic surgeon, Dr. McConkey. He tried a couple of different types of injections into the right hip, including plasma injections. These injections provided Ms. Patterson with some degree of relief but it was only temporary.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Patterson testified that she continues to experience pain in her right hip. While she has good days and bad days, she is consistently sore. She finds sitting for prolonged periods particularly difficult. On a good day, she says she can maintain a pain level of about 3 out of 10 and can attend to most of her daily activities, although she is not as productive as she used to be. On a bad day, the pain is in the 5-7 out of 10 range and she finds it difficult to manage. She says she has a bad day about once per week.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Post-Accident Employment and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terms of employment, Ms. Patterson initially missed a few days of work immediately following the Accident. She then resumed accepting calls as a TTOC, although she declined calls for primary school because she was concerned that working with younger children would aggravate her condition. At that time, her main complaints were with her neck and left lower back and 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January 2015, she missed a week of work then again returned as a TTOC. In the spring of 2015, Ms. Patterson enrolled online in the first of the two university classes she needed to qualify as a full-time teacher in BC, a math course offered through Thompson Rivers University (TRU). Ms. Patterson said the course involved lots of reading, periodic video conferencing with the professor, group assignments, weekly online tests and a final exam. She completed the course in September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Patterson says she found the course work difficult because she was sitting at her computer for much of the time. It primarily bothered her mid back but she says she also had discomfort in her right 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September 2015, when school resumed, she continued on as a TTOC. Beginning in October 2015, she worked 20 days in one position which then rolled into a full-time contract position that ran until the end of November. She then continued as a TTOC until the end of the school year in June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She returned to work in September 2016. In late September, she started her second required university course which was Canadian history. The course was again conducted online and ran until March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November 2016, Ms. Patterson requested a leave of absence from her TTOC position and remained off work until March 2017. She says she was experiencing considerable pain and struggling emotionally. During that period, she completed the online history course. She then resumed her TTOC work until the end of the school year in June.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Patterson worked as a TTOC from September 2017 until January 2018. At that time, she had worked 20 days in one position which again rolled into a full-time contract position that ran until the end of June. This position was as a learning support teacher at West Vancouver Secondary, working with students with special needs. Ms. Patterson described it as her "dream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She said the first three months went well but then as it got closer to the end of term, the nature of the work changed. There was lots of report writing, meetings and numerous outings. She found that the work aggravated her 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Patterson said she was interested in pursuing full-time work as a learning support teacher. In May 2018, she met with David Platt, the district head of learning support, who confirmed that she would need a diploma or masters in special education in order to qualify for a full-time learning support teaching position. Ms. Patterson understood that getting the diploma involved at least 10 courses. According to Ms. Patterson, Mr. Platt also indicated that there was some financial support available for teachers wanting to upgrade their skills.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Patterson and Mr. Platt have somewhat different recollections of their conversation. Ms. Patterson's impression was that if she started the process of qualifying as a learning support teacher by enrolling in courses, she would be eligible to be hired on a full-time basis. Mr. Platt however denied this and said that he would only hire fully qualified learning support teachers.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Patterson has not registered for any courses towards a diploma or masters in special education. She does not believe that she could handle all of the sitting that would be required for her to work and study.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Since the learning support position ended in June 2018, Ms. Patterson has continued as a TTOC. She says she gets about 12 days of work per month, which works out to about 60% time. She also says she declines approximately 2 to 3 calls per month due to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 number of witnesses testified about changes they have observed in Ms. Patterson since the Accident. For example, two friends testified that while Ms. Patterson was very social prior to the Accident, regularly hosting social events at her home, they get together less often now. These friends also testified that Ms. Patterson is less active than she used to be, for example they do not walk as much and when they do it is for shorter times and for shorter distances.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Patterson's husband testifies that she has good days and bad days. On the good days, she is active and involved with the family whereas on bad days, she is less engaged and often cranky. Mr. Patterson has taken over many of the household chores formerly done by Ms. Patterson, for example managing the logistics of the children's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Patterson describes herself as less involved in the community and less social than she was before the Accident. She describes her physical activities as reduced by about 50%. She tries to remain active but cannot do as much. For example, she still likes to walk or hike, but says she does so at a very slow and careful pace.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Patterson called a number of medical professionals who treated her including Dr. Hislop, Sheri Jonker (a physiotherapist) and Cara Reid (a massage 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will not review this evidence except as it relates to Ms. Patterson's right hip as there is minimal dispute about her other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As noted above, Ms. Patterson first reported the right hip problems to Dr. Hislop in September 2015. He recommended massage and physiotherapy and he referred her to Dr. McConkey.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Patterson had a number of chiropractic treatments from Dr. Munro in the months following the Accident. His evidence, tendered by way of an agreed statement of facts, is summarized at para. 23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Patterson first saw Ms. Jonkers, the physiotherapist, on January 20, 2015. At the first appointment, Ms. Patterson's primary complaints were in respect of her right neck and left hip and leg, however Ms. Jonkers did note tightness in the right iliopsoas, which is a muscle in the hip, and an anteriorly rotated ilium on the right side. The ilium is one of the bones that makes up the pelvis.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While the focus of much of her treatment over the first few months was on Ms. Patterson's left hip and back, there are a number of references in Ms. Jonkers' clinical records to right hip issues. For example, on February 3, 2015, a colleague of Ms. Jonkers noted "tone" in the piriformis muscles, which assist in rotating the hips, and the right QL, which are muscles that attach the spine to the hip. On February 17, 2015, Ms. Jonkers noted soreness in the "anterior 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By September, the focus of the treatments was directed more at Ms. Patterson's right hip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Cara Reid gave similar evidence about the massage treatments she provided. She first saw Ms. Patterson after the Accident on December 3 and 17, 2014. At the December 17, 2014 visit, Ms. Reid noted an anterior rotation of the right hip and tight hip flexors. Treatments through the spring of 2015 focussed primarily on the neck and back but by September the most pressing problem was the right 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Patterson also relies on the expert opinion evidence of two orthopaedic surgeons: Dr. John Street and Dr. Kostas Panagiotopoulos.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Street prepared an expert report dated January 31, 2016. He opined that, as a result of the Accident, Ms. Patterson suffered soft tissue injuries to her neck, mid back and low back, all of which had largely resolved by the time he assessed her on November 18, 2015. As of that date, her primary ongoing complaint was with her right hip which was causing her considerable pain. Dr. Street indicated that he would defer to a hip specialist with respect to the cause of that pain, the relationship to the Accident and her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Panagiotopoulos is an orthopaedic surgeon whose practice involves hip and knee reconstruction. He prepared a series of reports dated February 25, 2016, May 24, 2018, December 4, 2018, and February 1, 2019. In his first report, Dr. Panagiotopoulos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motor vehicle accident on November 26, 2014, Ms. Patterson continues to suffer from right hip problems. Based on my assessment, there is a small component of soft tissue discomfort with muscle tightness around the joint. However, I do think the majority of the symptoms are coming from the hip joint itself. It appears that there are signs of impingement clinically, which correspond to the femoroacetabular impingement noted on the MRI scan as well as the labral pathology. In addition, there is a labral tear which could be causing some of the symptoms. It does appear the majority of his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symptoms are caused by impingement and possibly from labral pathology. There may be a small component of pain coming from extra-articular sources, such as the muscles, tendons and soft 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his second report dated May 24, 2018, he offered a similar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accident caused an obvious soft tissue injury to the hip and also likely contributed to the labral tear and possibly to some articular surface damage. It certainly caused symptoms in this joint given that she was asymptomatic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his December 4, 2018 report, Dr. Panagiotopoulos suggested that with treatment, her right hip symptoms should improve which would allow her to work full-time hours in the future. However, in his February 1, 2019 report, he qualified this to say that her ability to work full-time would depend on the success of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defendant relies on the opinion evidence of Dr. Osama Gharsaa, an orthopaedic surgeon who examined Ms. Patterson on February 9, 2019, at the request of the defendant. Dr. Gharsaa practices primarily in Ontario but also does some independent medical examination work in BC. It is Dr. Gharsaa's opinion that Ms. Patterson's right hip problems, specifically her femoroacetabular impingement and labral tear, were not caused by the Accident. Rather, they are symptoms of a chronic hip problem that emerged well after the Accident. Dr. Gharsaa based his opinion in large part on his understanding, gleaned from his review of certain medical records, that Ms. Patterson did not report any significant right hip pain until September 2015, some ten months after the Accident. According to Dr. Gharsaa, a labral tear resulting from an acute incident like an accident would result in immediate pain, something which is absent here.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Vocational and Economic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Derek Nordin is a vocational consultant who conducted a vocational assessment of the plaintiff and prepared a report dated January 22, 2019. It is Mr. Nordin's opinion that given her ongoing hip issues, the plaintiff "is likely to find maintaining work as a full-time teacher too challenging now". He also thinks it unlikely that she would be able to pursue a diploma or masters degree in special education. In his view, she is likely best suited to continuing with part-time work as an on-call teacher.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Darren Benning is an economist who prepared a report dated January 31, 2019 setting out calculations of projected past and future income losses for the plaintiff. Mr. Benning also prepared a second report dated February 1, 2019 dealing with projected costs of future care. I will deal with Mr. Benning's evidence in more detail below when considering the respective heads of damage.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Functional Capacity Evaluation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Jasmine Shivji is an occupational therapist who conducted a functional capacity evaluation of the plaintiff, the results of which are summarized in a report dated November 27, 2018. Ms. Shivji's report also contains a number of recommended future care items and their related costs. I will address the future care recommendations when considering that head of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functional capacity evaluation is intended to assess an individual's capacity to perform various physical job demands as described in the National Occupational Classification (NOC). The evaluation involves testing the individual's ability and tolerance for things like sitting, standing, walking, bending, crouching, handling, lifting and carrying.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Based on her assessment, Ms. Shivji's opinion is that the plaintiff has a reduced capacity to be employable. Specifically, the plaintiff is likely restricted to working in limited strength occupations on a part-time basis with accommodations, for example ergonomic modifications.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With respect to her current work as a TTOC, Ms. Shivji's opinion is that the plaintiff is able to meet most of the baseline physical demands of the job. However her physical limitations would impede her in certain respects, for example in her ability to lead a gym class, and would make it difficult for her to accept a position covering for a full-time teacher on extended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Ms. Shivji found that the plaintiff has limitations on her ability to sit for prolonged periods of time which impacts her ability to function as a special education teacher, as that work often involves sitting continuously with special needs children. Ms. Shivji is also of the view that the plaintiff's hip issues would make it difficult for her to pursue the additional studies necessary to qualify as a special education teacher, particularly if she was trying to study after working a full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Findings on Causation and the Plaintiff's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There is no dispute that the plaintiff sustained soft tissue injuries to her neck, mid and low back and left hip as a result of the Accident. The bulk of these injuries resolved within three to six months following the Accident. I accept that Ms. Patterson continues to experience periodic mid back pain between the shoulder blades which is likely to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principal issue in dispute concerns Ms. Patterson's right hip and whether her ongoing problems were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burden is on Ms. Patterson to prove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her injury.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injury so long as it is part of the cause beyond the range of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5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13-17. Causation need not be determined by scientific precision: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primary test for causation asks: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the plaintiff have suffered the injury? The "but for" test recognizes that compensation for negligent conduct should only be made where a substantial connection between the injury and the defendant's conduct is present: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60"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21-23;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570"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Causation must be established on a balance of probabilities before damages are assessed. As McLachlin, C.J.C. stated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571"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As is also noted in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at para. 9, the "but for" test must be applied in a robust common sense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Ms. Patterson submits that she experienced pain in both hips shortly after the Accident, along with her other soft tissue injuries. Those injuries, along with her left hip, initially caused her the most difficulty and, as a result, were the primary focus of her early treatments. As those injuries resolved, her right hip issues became more prominent. Ms. Patterson notes that she had never previously had any issues with her right hip and that on a common sense application of the "but for" test, she has established that the Accident caused those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defendant submits that Ms. Patterson has failed to meet the burden of establishing that the Accident caused her right hip problems. He relies in large measure on the fact that none of her treating health care practitioners noted any significant complaints of right hip pain until September 2015, approximately ten months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defendant submits as well that I should draw an adverse inference on the issue of causation by reason of Ms. Patterson's failure to produce an opinion from Dr. McConkey, her treating orthopaedic surgeon, or from Dr. Hislop, who again only testified as a fact witness. I decline to do so. As set out below, there was ample evidence before the Court to enable me to determine the causation issue. In addition, both Dr. McConkey's and Dr. Hislop's clinical records were produced to the defendant. Presumably if there was anything of use to the defendant in those records, he would have made use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orthopaedic specialists generally agree that the causes of Ms. Patterson's ongoing hip problems are multifactorial and include a soft tissue injury to the muscles around the hip joint, a femoroacetabular impingement, which is essentially a bump or spur on the head of the femur which causes pain or discomfort when the head is rotating in the hip socket, and a labral tear.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Where Dr. Panagiotopoulos and Dr. Gharsaa differ is on the issue of whether the Accident caused these problems. For the reasons that follow, I prefer the opinion of Dr. Panagiotopoulos and I find that Ms. Patterson's right hip problems were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Gharsaa bases his opinion largely on his understanding that Ms. Patterson did not report any right hip problems until September 2015. However, I accept her evidence that she felt pain in her right hip immediately following the Accident. I note that while Ms. Patterson did not complain to Dr. Hislop about her right hip until September 2015, his clinical note reflects the fact that the problems had started "a few months ago". I also find that there were signs of right hip issues noted by Ms. Jonkers, the physiotherapist, and Ms. Reid, the massage therapist, in the weeks and months immediately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Panagiotopoulos acknowledged that the impingement was not caused by the Accident. While he also acknowledged that it is difficult to say with certainty what caused the labral tear, it is consistent with the mechanics of the Accident whereby Ms. Patterson was pressing on the brake with her right leg. I accept his opinion that the labral tear and the soft tissue injury to the joint, when combined with the underlying impingement issue, caused her previously asymptomatic hip to become painful.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Panagiotopoulos also testified that it is common for a person who has suffered a number of injuries to focus on the most pressing ones immediately and that often other issues do not become apparent until the first ones have settled down or resolved and the person resumes a heightened level of activity. In his opinion, this would explain why Ms. Patterson's complaints about her right hip did not become more prominent until some time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summary on the issue of causation, I am satisfied on a balance of probabilities that the Accident caused Ms. Patterson's hip problems. I am also satisfied, based on Dr. Panagiotopoulos' opinion, that Ms. Patterson is likely to continue to experience problems into the future, although I note that in his reports dated May 24, 2018 and December 4, 2018, Dr. Panagiotopoulos opines that Ms. Patterson should be able to control her symptoms reasonably well with proper management and treatment. In his more recent report dated February 1, 2019, he modified his view somewhat and suggested that her long term prognosis will depend on the success of future injections and possibly arthroscopic surgery.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her submissions on damages, Ms. Patterson addressed both the scenario in which her right hip problems are found to have been caused by the Accident and the alternate scenario where those problems are found to not have been so caused. Given my findings on causation, I will limit my consideration to the first scenario. I will take the same approach for each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factors that the court must consider when assessing non-pecuniary damages are well known and have been set out in a number of cases, including by the Court of Appeal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I have taken those factors into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Awards of non-pecuniary damages in other cases provide a useful guide to the court, however the specific circumstances of each individual plaintiff must be considered. This is because any award of damages is intended to compensate for the pain and suffering experienced by that specific plaintiff. Moreover, the compensation award must be fair and reasonable to both parties: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572"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paras. 188-89; </w:t>
      </w:r>
      <w:r>
        <w:rPr>
          <w:rFonts w:ascii="arial" w:eastAsia="arial" w:hAnsi="arial" w:cs="arial"/>
          <w:i/>
          <w:color w:val="000000"/>
          <w:sz w:val="20"/>
          <w:lang w:val="en-US" w:eastAsia="en-US" w:bidi="ar-SA"/>
        </w:rPr>
        <w:t>Miller v. Lawlor</w:t>
      </w:r>
      <w:r>
        <w:rPr>
          <w:rFonts w:ascii="arial" w:eastAsia="arial" w:hAnsi="arial" w:cs="arial"/>
          <w:color w:val="000000"/>
          <w:sz w:val="20"/>
          <w:lang w:val="en-US" w:eastAsia="en-US" w:bidi="ar-SA"/>
        </w:rPr>
        <w:t xml:space="preserve">, </w:t>
      </w:r>
      <w:hyperlink r:id="rId573" w:history="1">
        <w:r>
          <w:rPr>
            <w:rFonts w:ascii="arial" w:eastAsia="arial" w:hAnsi="arial" w:cs="arial"/>
            <w:i/>
            <w:color w:val="0077CC"/>
            <w:sz w:val="20"/>
            <w:u w:val="single"/>
            <w:shd w:val="clear" w:color="auto" w:fill="FFFFFF"/>
            <w:lang w:val="en-US" w:eastAsia="en-US" w:bidi="ar-SA"/>
          </w:rPr>
          <w:t>2012 BCSC 387</w:t>
        </w:r>
      </w:hyperlink>
      <w:r>
        <w:rPr>
          <w:rFonts w:ascii="arial" w:eastAsia="arial" w:hAnsi="arial" w:cs="arial"/>
          <w:color w:val="000000"/>
          <w:sz w:val="20"/>
          <w:lang w:val="en-US" w:eastAsia="en-US" w:bidi="ar-SA"/>
        </w:rPr>
        <w:t xml:space="preserve"> at para. 109, citing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335"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Ms. Patterson cites a number of cases which she submits support an award of non-pecuniary damages in the range of $110,000-115,000, including:</w:t>
      </w:r>
      <w:r>
        <w:rPr>
          <w:rFonts w:ascii="arial" w:eastAsia="arial" w:hAnsi="arial" w:cs="arial"/>
          <w:sz w:val="20"/>
          <w:lang w:val="en-US" w:eastAsia="en-US" w:bidi="ar-SA"/>
        </w:rPr>
        <w:cr/>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Flores v. Burrows</w:t>
      </w:r>
      <w:r>
        <w:rPr>
          <w:rFonts w:ascii="arial" w:eastAsia="arial" w:hAnsi="arial" w:cs="arial"/>
          <w:color w:val="000000"/>
          <w:sz w:val="20"/>
          <w:lang w:val="en-US" w:eastAsia="en-US" w:bidi="ar-SA"/>
        </w:rPr>
        <w:t xml:space="preserve">, </w:t>
      </w:r>
      <w:hyperlink r:id="rId574" w:history="1">
        <w:r>
          <w:rPr>
            <w:rFonts w:ascii="arial" w:eastAsia="arial" w:hAnsi="arial" w:cs="arial"/>
            <w:i/>
            <w:color w:val="0077CC"/>
            <w:sz w:val="20"/>
            <w:u w:val="single"/>
            <w:shd w:val="clear" w:color="auto" w:fill="FFFFFF"/>
            <w:lang w:val="en-US" w:eastAsia="en-US" w:bidi="ar-SA"/>
          </w:rPr>
          <w:t>2018 BCSC 334</w:t>
        </w:r>
      </w:hyperlink>
      <w:r>
        <w:rPr>
          <w:rFonts w:ascii="arial" w:eastAsia="arial" w:hAnsi="arial" w:cs="arial"/>
          <w:color w:val="000000"/>
          <w:sz w:val="20"/>
          <w:lang w:val="en-US" w:eastAsia="en-US" w:bidi="ar-SA"/>
        </w:rPr>
        <w: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Raptis v. Chalabiani</w:t>
      </w:r>
      <w:r>
        <w:rPr>
          <w:rFonts w:ascii="arial" w:eastAsia="arial" w:hAnsi="arial" w:cs="arial"/>
          <w:color w:val="000000"/>
          <w:sz w:val="20"/>
          <w:lang w:val="en-US" w:eastAsia="en-US" w:bidi="ar-SA"/>
        </w:rPr>
        <w:t xml:space="preserve">, </w:t>
      </w:r>
      <w:hyperlink r:id="rId575" w:history="1">
        <w:r>
          <w:rPr>
            <w:rFonts w:ascii="arial" w:eastAsia="arial" w:hAnsi="arial" w:cs="arial"/>
            <w:i/>
            <w:color w:val="0077CC"/>
            <w:sz w:val="20"/>
            <w:u w:val="single"/>
            <w:shd w:val="clear" w:color="auto" w:fill="FFFFFF"/>
            <w:lang w:val="en-US" w:eastAsia="en-US" w:bidi="ar-SA"/>
          </w:rPr>
          <w:t>2017 BCSC 1548</w:t>
        </w:r>
      </w:hyperlink>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and</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Midgley v. Nguyen</w:t>
      </w:r>
      <w:r>
        <w:rPr>
          <w:rFonts w:ascii="arial" w:eastAsia="arial" w:hAnsi="arial" w:cs="arial"/>
          <w:color w:val="000000"/>
          <w:sz w:val="20"/>
          <w:lang w:val="en-US" w:eastAsia="en-US" w:bidi="ar-SA"/>
        </w:rPr>
        <w:t xml:space="preserve">, </w:t>
      </w:r>
      <w:hyperlink r:id="rId576" w:history="1">
        <w:r>
          <w:rPr>
            <w:rFonts w:ascii="arial" w:eastAsia="arial" w:hAnsi="arial" w:cs="arial"/>
            <w:i/>
            <w:color w:val="0077CC"/>
            <w:sz w:val="20"/>
            <w:u w:val="single"/>
            <w:shd w:val="clear" w:color="auto" w:fill="FFFFFF"/>
            <w:lang w:val="en-US" w:eastAsia="en-US" w:bidi="ar-SA"/>
          </w:rPr>
          <w:t>2013 BCSC 693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defendant submits that a range of $60,000-$80,000 is more appropriate, citing:</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Macdonald v. Hazel</w:t>
      </w:r>
      <w:r>
        <w:rPr>
          <w:rFonts w:ascii="arial" w:eastAsia="arial" w:hAnsi="arial" w:cs="arial"/>
          <w:color w:val="000000"/>
          <w:sz w:val="20"/>
          <w:lang w:val="en-US" w:eastAsia="en-US" w:bidi="ar-SA"/>
        </w:rPr>
        <w:t xml:space="preserve">, </w:t>
      </w:r>
      <w:hyperlink r:id="rId577" w:history="1">
        <w:r>
          <w:rPr>
            <w:rFonts w:ascii="arial" w:eastAsia="arial" w:hAnsi="arial" w:cs="arial"/>
            <w:i/>
            <w:color w:val="0077CC"/>
            <w:sz w:val="20"/>
            <w:u w:val="single"/>
            <w:shd w:val="clear" w:color="auto" w:fill="FFFFFF"/>
            <w:lang w:val="en-US" w:eastAsia="en-US" w:bidi="ar-SA"/>
          </w:rPr>
          <w:t>2012 BCSC 2079</w:t>
        </w:r>
      </w:hyperlink>
      <w:r>
        <w:rPr>
          <w:rFonts w:ascii="arial" w:eastAsia="arial" w:hAnsi="arial" w:cs="arial"/>
          <w:color w:val="000000"/>
          <w:sz w:val="20"/>
          <w:lang w:val="en-US" w:eastAsia="en-US" w:bidi="ar-SA"/>
        </w:rPr>
        <w:t>;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Rutter v. Allen</w:t>
      </w:r>
      <w:r>
        <w:rPr>
          <w:rFonts w:ascii="arial" w:eastAsia="arial" w:hAnsi="arial" w:cs="arial"/>
          <w:color w:val="000000"/>
          <w:sz w:val="20"/>
          <w:lang w:val="en-US" w:eastAsia="en-US" w:bidi="ar-SA"/>
        </w:rPr>
        <w:t xml:space="preserve">, </w:t>
      </w:r>
      <w:hyperlink r:id="rId578" w:history="1">
        <w:r>
          <w:rPr>
            <w:rFonts w:ascii="arial" w:eastAsia="arial" w:hAnsi="arial" w:cs="arial"/>
            <w:i/>
            <w:color w:val="0077CC"/>
            <w:sz w:val="20"/>
            <w:u w:val="single"/>
            <w:shd w:val="clear" w:color="auto" w:fill="FFFFFF"/>
            <w:lang w:val="en-US" w:eastAsia="en-US" w:bidi="ar-SA"/>
          </w:rPr>
          <w:t>2012 BCSC 135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accept that her right hip issues have impacted Ms. Patterson's level of activity and her enjoyment of life. The evidence establishes that she is less social than before the accident as well as less active. Her injury has impacted her ability to participate to the same degree in her children's activities, in her community and in her family and household life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That said, Ms. Patterson has not been rendered totally inactive. For example, she testified that in the summers of 2015 and 2016 she engaged in many of the same pre-Accident activities such as kayaking and hiking, although she did so more carefully and at a slower pace. In the summer of 2016 she attended a family wedding in Calgary in which she was quite involved and in 2017 she travelled to Greece. In other words, while there is no doubt that she has been impacted by her injury, she has continued to lead a relatively active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Considering the impacts of the accident on Ms. Patterson, the principles emanating from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and the case authorities cited by the parties, I find that an award of $95,000 for non-pecuniary damages is appropriate.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Income Loss and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will deal with the claims for past and future income loss together as both involve a consideration of what Ms. Patterson's employment path would or may have been had the Accident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With respect to past income loss, while actual lost income will some times be the most accurate measure of the damages suffered, that is not always the case given that the claim is for loss of the capacity to earn: </w:t>
      </w:r>
      <w:r>
        <w:rPr>
          <w:rFonts w:ascii="arial" w:eastAsia="arial" w:hAnsi="arial" w:cs="arial"/>
          <w:i/>
          <w:color w:val="000000"/>
          <w:sz w:val="20"/>
          <w:lang w:val="en-US" w:eastAsia="en-US" w:bidi="ar-SA"/>
        </w:rPr>
        <w:t>Ibbitson v. Cooper</w:t>
      </w:r>
      <w:r>
        <w:rPr>
          <w:rFonts w:ascii="arial" w:eastAsia="arial" w:hAnsi="arial" w:cs="arial"/>
          <w:color w:val="000000"/>
          <w:sz w:val="20"/>
          <w:lang w:val="en-US" w:eastAsia="en-US" w:bidi="ar-SA"/>
        </w:rPr>
        <w:t xml:space="preserve">, </w:t>
      </w:r>
      <w:hyperlink r:id="rId579" w:history="1">
        <w:r>
          <w:rPr>
            <w:rFonts w:ascii="arial" w:eastAsia="arial" w:hAnsi="arial" w:cs="arial"/>
            <w:i/>
            <w:color w:val="0077CC"/>
            <w:sz w:val="20"/>
            <w:u w:val="single"/>
            <w:shd w:val="clear" w:color="auto" w:fill="FFFFFF"/>
            <w:lang w:val="en-US" w:eastAsia="en-US" w:bidi="ar-SA"/>
          </w:rPr>
          <w:t>2012 BCCA 249</w:t>
        </w:r>
      </w:hyperlink>
      <w:r>
        <w:rPr>
          <w:rFonts w:ascii="arial" w:eastAsia="arial" w:hAnsi="arial" w:cs="arial"/>
          <w:color w:val="000000"/>
          <w:sz w:val="20"/>
          <w:lang w:val="en-US" w:eastAsia="en-US" w:bidi="ar-SA"/>
        </w:rPr>
        <w:t xml:space="preserve"> at para. 19, citing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325"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The Court of Appeal has discussed the principles governing claims for future loss of earning capacity in numerous cases. In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580"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the Court of Appeal, citing its earlier decision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473"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described the approach to be taken by the trial judge as follows at para. 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this Court held that a trial judge must </w:t>
      </w:r>
      <w:r>
        <w:rPr>
          <w:rFonts w:ascii="arial" w:eastAsia="arial" w:hAnsi="arial" w:cs="arial"/>
          <w:color w:val="000000"/>
          <w:sz w:val="20"/>
          <w:u w:val="single"/>
          <w:lang w:val="en-US" w:eastAsia="en-US" w:bidi="ar-SA"/>
        </w:rPr>
        <w:t>first</w:t>
      </w:r>
      <w:r>
        <w:rPr>
          <w:rFonts w:ascii="arial" w:eastAsia="arial" w:hAnsi="arial" w:cs="arial"/>
          <w:color w:val="000000"/>
          <w:sz w:val="20"/>
          <w:lang w:val="en-US" w:eastAsia="en-US" w:bidi="ar-SA"/>
        </w:rPr>
        <w:t xml:space="preserve"> address the question of whether the plaintiff had proven a real and substantial possibility that his earning capacity had been impaired. If the plaintiff discharges that burden of proof, then the judge must turn to the assessment of damages. The assessment may be based on an earnings approach ... or the capital asset approach...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 assessment of damages often involves consideration of hypothetical events. In </w:t>
      </w:r>
      <w:r>
        <w:rPr>
          <w:rFonts w:ascii="arial" w:eastAsia="arial" w:hAnsi="arial" w:cs="arial"/>
          <w:i/>
          <w:color w:val="000000"/>
          <w:sz w:val="20"/>
          <w:lang w:val="en-US" w:eastAsia="en-US" w:bidi="ar-SA"/>
        </w:rPr>
        <w:t>Grewal v. Naumann</w:t>
      </w:r>
      <w:r>
        <w:rPr>
          <w:rFonts w:ascii="arial" w:eastAsia="arial" w:hAnsi="arial" w:cs="arial"/>
          <w:color w:val="000000"/>
          <w:sz w:val="20"/>
          <w:lang w:val="en-US" w:eastAsia="en-US" w:bidi="ar-SA"/>
        </w:rPr>
        <w:t xml:space="preserve">, </w:t>
      </w:r>
      <w:hyperlink r:id="rId581" w:history="1">
        <w:r>
          <w:rPr>
            <w:rFonts w:ascii="arial" w:eastAsia="arial" w:hAnsi="arial" w:cs="arial"/>
            <w:i/>
            <w:color w:val="0077CC"/>
            <w:sz w:val="20"/>
            <w:u w:val="single"/>
            <w:shd w:val="clear" w:color="auto" w:fill="FFFFFF"/>
            <w:lang w:val="en-US" w:eastAsia="en-US" w:bidi="ar-SA"/>
          </w:rPr>
          <w:t>2017 BCCA 158</w:t>
        </w:r>
      </w:hyperlink>
      <w:r>
        <w:rPr>
          <w:rFonts w:ascii="arial" w:eastAsia="arial" w:hAnsi="arial" w:cs="arial"/>
          <w:color w:val="000000"/>
          <w:sz w:val="20"/>
          <w:lang w:val="en-US" w:eastAsia="en-US" w:bidi="ar-SA"/>
        </w:rPr>
        <w:t>, the Court of Appeal described the approach to be taken: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In summary, an assessment of loss of both past and future earning capacity involves a consideration of hypothetical events. The plaintiff is not required to prove these hypothetical events on a balance of probabilities. A future or hypothetical possibility will be taken into consideration as long as it is a real and substantial possibility and not mere speculation. If the plaintiff establishes a real and substantial possibility, the Court must then determine the measure of damages by assessing the likelihood of the event. Depending on the facts of the case, a loss may be quantified either on an earnings approach or on a capital asset approach: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at para. 32.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The assessment of past or future loss requires the court to estimate a pecuniary loss by weighing possibilities and probabilities of hypothetical events. The use of economic and statistical evidence does not turn the assessment into a calculation but can be a helpful tool in determining what is fair and reasonable in the circumstances: </w:t>
      </w:r>
      <w:r>
        <w:rPr>
          <w:rFonts w:ascii="arial" w:eastAsia="arial" w:hAnsi="arial" w:cs="arial"/>
          <w:i/>
          <w:color w:val="000000"/>
          <w:sz w:val="20"/>
          <w:lang w:val="en-US" w:eastAsia="en-US" w:bidi="ar-SA"/>
        </w:rPr>
        <w:t>Dunbar v. Mendez</w:t>
      </w:r>
      <w:r>
        <w:rPr>
          <w:rFonts w:ascii="arial" w:eastAsia="arial" w:hAnsi="arial" w:cs="arial"/>
          <w:color w:val="000000"/>
          <w:sz w:val="20"/>
          <w:lang w:val="en-US" w:eastAsia="en-US" w:bidi="ar-SA"/>
        </w:rPr>
        <w:t xml:space="preserve">, </w:t>
      </w:r>
      <w:hyperlink r:id="rId582" w:history="1">
        <w:r>
          <w:rPr>
            <w:rFonts w:ascii="arial" w:eastAsia="arial" w:hAnsi="arial" w:cs="arial"/>
            <w:i/>
            <w:color w:val="0077CC"/>
            <w:sz w:val="20"/>
            <w:u w:val="single"/>
            <w:shd w:val="clear" w:color="auto" w:fill="FFFFFF"/>
            <w:lang w:val="en-US" w:eastAsia="en-US" w:bidi="ar-SA"/>
          </w:rPr>
          <w:t>2016 BCCA 211</w:t>
        </w:r>
      </w:hyperlink>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am satisfied on the evidence that there is a real and substantial possibility that Ms. Patterson's earning capacity has been impaired. I accept her evidence that she has missed work since the Accident due to her injuries and is likely to continue to miss work periodically in the future. Both Ms. Shivji and Mr. Nordin opine that Ms. Patterson is unlikely to be able to cope with full-time employment as a teacher, although Dr. Panagiotopoulos is somewhat more optimistic about her prognosis depending upon the success of future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However, I do not find that there is a real and substantial possibility that but for the Accident, Ms. Patterson would have completed the required additional university courses to obtain a diploma or masters in special education in order to qualify as a full-time learning support teacher. I reach this conclusion for the following reasons:</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Patterson learned in January 2013 that she required two additional courses to get her permanent teacher certificate in BC, but took no steps to register for the first course until the spring of 2015;</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taken minimal steps to investigate what courses are available and what would be involved in registering for and taking the courses. She presented no clear plan or proposed timetable for obtaining the additional credentials;</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Both Dr. Panagiotopoulos and Mr. Nordin were of the view that Ms. Patterson was capable of pursuing part-time studies, particularly in the summer months when she is not working;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asked about the summers, Ms. Patterson said that in the summer of 2018, all of her efforts went into preparing their house for possible sale and in the summer of 2019, they did not think it was a good idea for her to take courses, largely for family reasons. It is apparent that other priorities took precedence over pursuing the additional courses.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While I accept that Ms. Patterson viewed a learning support position as her "dream job", given the absence of any meaningful steps to pursue that job, the likelihood of her obtaining the necessary credentials does not rise beyond the realm of mere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What then would Ms. Patterson's employment path have been had the Accident not occurred? One possible scenario is that even if she did not take the necessary courses to qualify as a learning support teacher, she nonetheless had the qualifications to teach full-time in the regular stream. While there was some evidence that she submitted a number of applications for positions, Ms. Patterson did not testify that she considered this as an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the circumstances, I find that the most likely scenario is that Ms. Patterson would have continued as a TTOC for WVSD, though likely working more than her current approximately 60%, with positions periodically lasting 20 days or more and rolling into temporary contract positions as has occurred a number of times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terms of past wage loss, I accept Ms. Patterson's evidence and calculations of losses totalling $18,189.10 up until September 2017. This is based on actual days missed plus her evidence of missing one to two days per month due to pain. I do not accept however that she would have begun working full-time in September 2017. Rather, it is likely that the same pattern would have continued through until the time of trial i.e. one to two days missed per month due to her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Averaging the days missed over the 19 months from September 2017 to trial, and applying the TTOC daily rate of $308.03, results in an additional past wage loss of $8,778.85. This leads to a total pre-trial loss of $26,967.95 before taxes and, after applying a 25% income tax rate, $20,225.96. For ease of calculation, I will round up the figure to $21,000.00 net of taxes.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In terms of loss of future earning capacity, this claim does not lend itself to a mathematical approach. As such, the capital asset approach to valuing the loss is more appropriate.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583"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at para. 8 (S.C.), this Court identified a number of factors that will inform an assessment under this approach, including whether the plaintiff:</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been rendered less capable overall of earning income from all types of employment;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less marketable or attractive as a potential employee;</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has lost the ability to take advantage of all job opportunities that might otherwise have been open; and</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less valuable to him or herself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In other cases in which it has been difficult to assess the actual likely income loss, and the capital asset approach has been applied, courts have awarded the equivalent of one, two or more years of salary to compensate for the diminishment in the plaintiff's capital earnings asset: </w:t>
      </w:r>
      <w:r>
        <w:rPr>
          <w:rFonts w:ascii="arial" w:eastAsia="arial" w:hAnsi="arial" w:cs="arial"/>
          <w:i/>
          <w:color w:val="000000"/>
          <w:sz w:val="20"/>
          <w:lang w:val="en-US" w:eastAsia="en-US" w:bidi="ar-SA"/>
        </w:rPr>
        <w:t>Strilec v. Leila</w:t>
      </w:r>
      <w:r>
        <w:rPr>
          <w:rFonts w:ascii="arial" w:eastAsia="arial" w:hAnsi="arial" w:cs="arial"/>
          <w:color w:val="000000"/>
          <w:sz w:val="20"/>
          <w:lang w:val="en-US" w:eastAsia="en-US" w:bidi="ar-SA"/>
        </w:rPr>
        <w:t xml:space="preserve">, </w:t>
      </w:r>
      <w:hyperlink r:id="rId584" w:history="1">
        <w:r>
          <w:rPr>
            <w:rFonts w:ascii="arial" w:eastAsia="arial" w:hAnsi="arial" w:cs="arial"/>
            <w:i/>
            <w:color w:val="0077CC"/>
            <w:sz w:val="20"/>
            <w:u w:val="single"/>
            <w:shd w:val="clear" w:color="auto" w:fill="FFFFFF"/>
            <w:lang w:val="en-US" w:eastAsia="en-US" w:bidi="ar-SA"/>
          </w:rPr>
          <w:t>2015 BCSC 1515</w:t>
        </w:r>
      </w:hyperlink>
      <w:r>
        <w:rPr>
          <w:rFonts w:ascii="arial" w:eastAsia="arial" w:hAnsi="arial" w:cs="arial"/>
          <w:color w:val="000000"/>
          <w:sz w:val="20"/>
          <w:lang w:val="en-US" w:eastAsia="en-US" w:bidi="ar-SA"/>
        </w:rPr>
        <w:t xml:space="preserve"> at para. 93; </w:t>
      </w:r>
      <w:r>
        <w:rPr>
          <w:rFonts w:ascii="arial" w:eastAsia="arial" w:hAnsi="arial" w:cs="arial"/>
          <w:i/>
          <w:color w:val="000000"/>
          <w:sz w:val="20"/>
          <w:lang w:val="en-US" w:eastAsia="en-US" w:bidi="ar-SA"/>
        </w:rPr>
        <w:t>Cooper v. Canada (R.C.M.P.)</w:t>
      </w:r>
      <w:r>
        <w:rPr>
          <w:rFonts w:ascii="arial" w:eastAsia="arial" w:hAnsi="arial" w:cs="arial"/>
          <w:color w:val="000000"/>
          <w:sz w:val="20"/>
          <w:lang w:val="en-US" w:eastAsia="en-US" w:bidi="ar-SA"/>
        </w:rPr>
        <w:t xml:space="preserve">, </w:t>
      </w:r>
      <w:hyperlink r:id="rId585" w:history="1">
        <w:r>
          <w:rPr>
            <w:rFonts w:ascii="arial" w:eastAsia="arial" w:hAnsi="arial" w:cs="arial"/>
            <w:i/>
            <w:color w:val="0077CC"/>
            <w:sz w:val="20"/>
            <w:u w:val="single"/>
            <w:shd w:val="clear" w:color="auto" w:fill="FFFFFF"/>
            <w:lang w:val="en-US" w:eastAsia="en-US" w:bidi="ar-SA"/>
          </w:rPr>
          <w:t>2001 BCSC 1788</w:t>
        </w:r>
      </w:hyperlink>
      <w:r>
        <w:rPr>
          <w:rFonts w:ascii="arial" w:eastAsia="arial" w:hAnsi="arial" w:cs="arial"/>
          <w:color w:val="000000"/>
          <w:sz w:val="20"/>
          <w:lang w:val="en-US" w:eastAsia="en-US" w:bidi="ar-SA"/>
        </w:rPr>
        <w:t xml:space="preserve"> at para. 75;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Using this approach, I award Ms. Patterson $100,000, which equates to approximately three years' earnings based on her recent history. In doing so, I have considered various positive and negative contingencies that may affect her earnings, including the possibility that she will continue to improve and thus be able to work more, as well as the possibility that her condition will worsen.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Tsalamandris v. McLeod</w:t>
      </w:r>
      <w:r>
        <w:rPr>
          <w:rFonts w:ascii="arial" w:eastAsia="arial" w:hAnsi="arial" w:cs="arial"/>
          <w:color w:val="000000"/>
          <w:sz w:val="20"/>
          <w:lang w:val="en-US" w:eastAsia="en-US" w:bidi="ar-SA"/>
        </w:rPr>
        <w:t xml:space="preserve">, </w:t>
      </w:r>
      <w:hyperlink r:id="rId586"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 xml:space="preserve"> at paras. 62-63, the Court of Appeal confirmed the well established test for future care damages emanating from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338"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[62] The test for assessing future care costs is well-settled: the test is whether the costs are reasonable and whether the items are medically necessary: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338"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page 78; affirmed </w:t>
      </w:r>
      <w:hyperlink r:id="rId587"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w:t>
      </w:r>
    </w:p>
    <w:p>
      <w:pPr>
        <w:numPr>
          <w:numId w:val="18"/>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primary emphasis in assessing damages for a serious injury is provision of adequate future care. The award for future care is based on what is reasonably necessary to promote the mental and physical health of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[63] McLachlin J., as she then was, then went on to state what has become the frequently cited formulation of the "test" for future care awards at page 84: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test for determining the appropriate award under the heading of cost of future care, it may be inferred, is an objective one based on medical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authorities establish (1) that there must be a medical justification for claims for cost of future care; and (2) that the claims must be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Many of the future care items claimed by Ms. Patterson are based on recommendations made by Ms. Shivji, which have been costed by Mr. Benning. I will deal with each of the items set out in Ms. Patterson's final submission in turn.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Supervised Exercise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Both Dr. Street and Ms. Shivji recommend a supervised exercise program to assist in her strengthening and conditioning. Ten sessions would allow her to learn helpful techniques that she can then continue on her own. Ten sessions at $65.00 per session equals $650.00, which I award.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Gym and Yoga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Ms. Shivji suggests that Ms. Patterson would benefit from a gymnasium membership and regular participation in restorative yoga. The lifetime cost for both combined, according to Ms. Benning, is approximately $31,000, however Ms. Patterson advances a claim for 50% of that based on the fact that she previously attended the local community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There is no indication why Ms. Patterson cannot continue to attend the local community centre. While Ms. Shivji recommends yoga for pain relief and stress management, there is nothing in the evidence to support a claim for these services for the balance of Ms. Patterson's life. At best, Ms. Patterson said she has tried yoga in the past on a drop in basis. That said, it is reasonable to award some amount for periodic access to a gym. I award $2,500 under this head.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Ergonomic Assessment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agree with Ms. Shivji that an ergonomic assessment of Ms. Patterson's home work situation would assist in managing her pain associated with desk-based work she does at home. I allow this item in the amount claimed of $436.00.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Counselling for Ms. Patterson and Couples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 accept on the evidence that counselling for Ms. Patterson to assist her in dealing with her pain is warranted. However, apart from some vague evidence that Ms. Patterson's husband sometimes feels exhausted as a result of having to take over some of the household duties, there is no evidence to establish the necessity of couples counselling. Ten sessions of personal counselling at a rate of $140.00 equals $1,400.00.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Ongoing Pain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Ms. Shivji recommends that Ms. Patterson have intermittent access to services such as physiotherapy, massage therapy, occupational therapy and kinesiology to deal with periodic flare-ups in her condition. She recommends an annual budget of $1,000 which translates into a claim for $28,314.00 over Ms. Patterson's lifetime, using Mr. Benning's multiplier.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As with many of Ms. Shivji's recommendations, she suggests that Ms. Patterson would "benefit from" these services, but the evidence falls short of establishing medical necessity. The evidence also does not support a claim for providing such services for the balance of Ms. Patterson's life, particularly since she currently receives little more than occasional massage treatments. That said, she does experience some relief from those treatments and accordingly it is reasonable to award an amount that will permit her to access them periodically in the future. I award $2,000 under this head.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Housekeeping and Yardwork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Ms. Patterson claims approximately $80,000 combined under these two heads. With respect to housekeeping activities, both Ms. Patterson and her husband testified that he has taken on more responsibility for things like cooking and cleaning. However, she also testified that she has never used an outside, professional cleaning service, although she acknowledged that "it would be helpful to have help". With respect to yard work, Mr. Patterson has always done the bulk of it and he continues to do so. Ms. Patterson testified that they likely would not use outside help for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Having said that, the courts have acknowledged that an award for loss of housekeeping capacity may be justified, even where the replacement work has been done gratuitously by a family member: </w:t>
      </w:r>
      <w:r>
        <w:rPr>
          <w:rFonts w:ascii="arial" w:eastAsia="arial" w:hAnsi="arial" w:cs="arial"/>
          <w:i/>
          <w:color w:val="000000"/>
          <w:sz w:val="20"/>
          <w:lang w:val="en-US" w:eastAsia="en-US" w:bidi="ar-SA"/>
        </w:rPr>
        <w:t>Dykeman v. Porohowski</w:t>
      </w:r>
      <w:r>
        <w:rPr>
          <w:rFonts w:ascii="arial" w:eastAsia="arial" w:hAnsi="arial" w:cs="arial"/>
          <w:color w:val="000000"/>
          <w:sz w:val="20"/>
          <w:lang w:val="en-US" w:eastAsia="en-US" w:bidi="ar-SA"/>
        </w:rPr>
        <w:t xml:space="preserve">, </w:t>
      </w:r>
      <w:hyperlink r:id="rId588" w:history="1">
        <w:r>
          <w:rPr>
            <w:rFonts w:ascii="arial" w:eastAsia="arial" w:hAnsi="arial" w:cs="arial"/>
            <w:i/>
            <w:color w:val="0077CC"/>
            <w:sz w:val="20"/>
            <w:u w:val="single"/>
            <w:shd w:val="clear" w:color="auto" w:fill="FFFFFF"/>
            <w:lang w:val="en-US" w:eastAsia="en-US" w:bidi="ar-SA"/>
          </w:rPr>
          <w:t>2010 BCCA 36</w:t>
        </w:r>
      </w:hyperlink>
      <w:r>
        <w:rPr>
          <w:rFonts w:ascii="arial" w:eastAsia="arial" w:hAnsi="arial" w:cs="arial"/>
          <w:color w:val="000000"/>
          <w:sz w:val="20"/>
          <w:lang w:val="en-US" w:eastAsia="en-US" w:bidi="ar-SA"/>
        </w:rPr>
        <w:t xml:space="preserve">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Here I am satisfied that there has been a realignment of family responsibilities and duties that goes beyond the "minor adjustment of duties" described in </w:t>
      </w:r>
      <w:r>
        <w:rPr>
          <w:rFonts w:ascii="arial" w:eastAsia="arial" w:hAnsi="arial" w:cs="arial"/>
          <w:i/>
          <w:color w:val="000000"/>
          <w:sz w:val="20"/>
          <w:lang w:val="en-US" w:eastAsia="en-US" w:bidi="ar-SA"/>
        </w:rPr>
        <w:t>Campbell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Banman</w:t>
      </w:r>
      <w:r>
        <w:rPr>
          <w:rFonts w:ascii="arial" w:eastAsia="arial" w:hAnsi="arial" w:cs="arial"/>
          <w:color w:val="000000"/>
          <w:sz w:val="20"/>
          <w:lang w:val="en-US" w:eastAsia="en-US" w:bidi="ar-SA"/>
        </w:rPr>
        <w:t xml:space="preserve">, </w:t>
      </w:r>
      <w:hyperlink r:id="rId589" w:history="1">
        <w:r>
          <w:rPr>
            <w:rFonts w:ascii="arial" w:eastAsia="arial" w:hAnsi="arial" w:cs="arial"/>
            <w:i/>
            <w:color w:val="0077CC"/>
            <w:sz w:val="20"/>
            <w:u w:val="single"/>
            <w:shd w:val="clear" w:color="auto" w:fill="FFFFFF"/>
            <w:lang w:val="en-US" w:eastAsia="en-US" w:bidi="ar-SA"/>
          </w:rPr>
          <w:t>2009 BCCA 484</w:t>
        </w:r>
      </w:hyperlink>
      <w:r>
        <w:rPr>
          <w:rFonts w:ascii="arial" w:eastAsia="arial" w:hAnsi="arial" w:cs="arial"/>
          <w:color w:val="000000"/>
          <w:sz w:val="20"/>
          <w:lang w:val="en-US" w:eastAsia="en-US" w:bidi="ar-SA"/>
        </w:rPr>
        <w:t xml:space="preserve"> at para. 19. While this is more properly characterized as a loss of housekeeping capacity rather than a cost of future care claim, I award $15,000.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Much of the equipment recommended by Ms. Shivji is work related and would likely be provided by the school district. The recommended items for home that can be justified in the evidence are a reclining chair and a sit/stand stool, the latter of which would assist Ms. Patterson in functioning around her house, for example in the kitchen. I award $1,500.00 for these items.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Injections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Ms. Patterson claims approximately $11,000 for the cost of injections, based on $675 per year to age 63. Dr. Panagiotopoulos does contemplate further injections for Ms. Patterson, which have provided some relief in the past, but he also notes the possibility of surgical intervention. I am not satisfied that the cost of injections to age 63 is justified, however an award to permit continued periodic access to this treatment is appropriate. I award $5,000.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Total of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Based on the above, I award future care costs of $28,486.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Ms. Patterson claims $7,703.13 in special damages. The defendant accepts that amount subject to one item for foot reflexology and the mileage amount claimed. I agree with the reductions proposed by the defendant and award $6,996.08.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summary, I award the following:</w:t>
      </w:r>
      <w:r>
        <w:rPr>
          <w:rFonts w:ascii="arial" w:eastAsia="arial" w:hAnsi="arial" w:cs="arial"/>
          <w:sz w:val="20"/>
          <w:lang w:val="en-US" w:eastAsia="en-US" w:bidi="ar-SA"/>
        </w:rPr>
        <w:cr/>
      </w:r>
    </w:p>
    <w:p>
      <w:pPr>
        <w:numPr>
          <w:numId w:val="19"/>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$95,000.00</w:t>
      </w:r>
    </w:p>
    <w:p>
      <w:pPr>
        <w:numPr>
          <w:numId w:val="20"/>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wage loss $21,000.00</w:t>
      </w:r>
    </w:p>
    <w:p>
      <w:pPr>
        <w:numPr>
          <w:numId w:val="21"/>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 $100,000.00</w:t>
      </w:r>
    </w:p>
    <w:p>
      <w:pPr>
        <w:numPr>
          <w:numId w:val="22"/>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$28,486.00</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$6,996.08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Total: $251,482.08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Ms. Patterson is entitled to her costs. If the parties cannot agree or if there are circumstances I am unaware of, they may make arrangements to speak to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R.A. SKOLROOD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1" style="position:absolute;z-index:2518415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96" w:history="1">
        <w:r>
          <w:rPr>
            <w:rFonts w:ascii="arial" w:eastAsia="arial" w:hAnsi="arial" w:cs="arial"/>
            <w:b/>
            <w:bCs/>
            <w:i/>
            <w:color w:val="0077CC"/>
            <w:kern w:val="32"/>
            <w:sz w:val="28"/>
            <w:szCs w:val="32"/>
            <w:u w:val="single"/>
            <w:shd w:val="clear" w:color="auto" w:fill="FFFFFF"/>
            <w:lang w:val="en-US" w:eastAsia="en-US" w:bidi="ar-SA"/>
          </w:rPr>
          <w:t>Quinn v. British Columbia, [2017] B.C.J. No. 807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J.L. Dorgan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13 and 15,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28,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14-0664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807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692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384 C.R.R. (2d) 145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Desmond Quinn, Pham Thi Trang as Guardian ad litem of Marion Quinn and Beth Quinn by the Guardian ad litem Desmond Quinn, Plaintiffs, and Her Majesty the Queen in Right of the Province of British Columbia,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2" style="position:absolute;z-index:2516889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5" w:name="Keywords_29"/>
      <w:bookmarkEnd w:id="195"/>
      <w:r>
        <w:rPr>
          <w:rFonts w:ascii="arial" w:eastAsia="arial" w:hAnsi="arial" w:cs="arial"/>
          <w:b/>
          <w:color w:val="000000"/>
          <w:sz w:val="20"/>
          <w:lang w:val="en-US" w:eastAsia="en-US" w:bidi="ar-SA"/>
        </w:rPr>
        <w:t>Civil litigation — Civil procedure — Pleadings — Striking out pleadings or allegations — Grounds — Failure to disclose a cause of action or defence — False, frivolous, vexatious or abuse of process — Application by Province to strike plaintiffs' action dismissed — Plaintiffs sought damages for infringement of their s. 7 Charter rights through conduct of Minister of Children and Family Development removing their two children from their care — Plaintiffs' claim was not collateral attack on child protection decisions and was not abuse of process — Not plain and obvious plaintiffs' claim disclosed no reasonable cause of action — Claim was not unnecessary, scandalous or vexatious — Supreme Court Civil Rules, Rule 9-5(1).</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Constitutional law — Constitutional proceedings — Practice and procedure — Pleadings — Application by Province to strike plaintiffs' action dismissed — Plaintiffs sought damages for infringement of their s. 7 Charter rights through conduct of Minister of Children and Family Development removing their two children from their care — Plaintiffs' claim was not collateral attack on child protection decisions and was not abuse of process — Not plain and obvious plaintiffs' claim disclosed no reasonable cause of action — Claim was not unnecessary, scandalous or vexatious — Supreme Court Civil Rules, Rule 9-5(1).</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Family law — Child protection — Civil actions and liabilities — Practice and procedure — Pleadings — Constitutional issues — Canadian Charter of Rights and Freedoms — Application by Province to strike plaintiffs' action dismissed — Plaintiffs sought damages for infringement of their s. 7 Charter rights through conduct of Minister of Children and Family Development removing their two children from their care — Plaintiffs' claim was not collateral attack on child protection decisions and was not abuse of process — Not plain and obvious plaintiffs' claim disclosed no reasonable cause of action — Claim was not unnecessary, scandalous or vexatious — Supreme Court Civil Rules, Rule 9-5(1).</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6" w:name="Case Summary_25"/>
            <w:bookmarkEnd w:id="19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Province to strike the plaintiffs' action. The plaintiffs sought damages for infringement of their s. 7 Charter rights through the conduct of the Minister of Children and Family Development removing their two children from their care. The children were placed under the temporary care of the director by consent order. They were subsequently returned to the plaintiffs under supervision for six months. After that, the director took no further steps.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7" w:name="Holdings of Court_23"/>
            <w:bookmarkEnd w:id="197"/>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claim was not a collateral attack on the child protection decisions and was not an abuse of process. The claim concerned matters and raised issues, such as the conduct of the director in the director's investigation of allegations of harm and the decision to remove the children, that had yet to be adjudicated upon. An appeal or judicial review of the orders in the child protection proceedings would not be appropriate. Allowing the claim to proceed would not bring the administration of justice into disrepute. It was not plain and obvious that the plaintiffs' claim disclosed no reasonable cause of action. The claim was not unnecessary, scandalous or vexatious.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8" w:name="Legislation Cited_24"/>
      <w:bookmarkEnd w:id="19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3" style="position:absolute;z-index:2517401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Charter of Rights and Freedoms, 1982, s. 7, s.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Child, Family and Community Service Act, </w:t>
      </w:r>
      <w:hyperlink r:id="rId597" w:history="1">
        <w:r>
          <w:rPr>
            <w:rFonts w:ascii="arial" w:eastAsia="arial" w:hAnsi="arial" w:cs="arial"/>
            <w:i/>
            <w:color w:val="0077CC"/>
            <w:sz w:val="20"/>
            <w:u w:val="single"/>
            <w:shd w:val="clear" w:color="auto" w:fill="FFFFFF"/>
            <w:lang w:val="en-US" w:eastAsia="en-US" w:bidi="ar-SA"/>
          </w:rPr>
          <w:t>R.S.B.C. 1996, c. 46, s. 30</w:t>
        </w:r>
      </w:hyperlink>
      <w:r>
        <w:rPr>
          <w:rFonts w:ascii="arial" w:eastAsia="arial" w:hAnsi="arial" w:cs="arial"/>
          <w:color w:val="000000"/>
          <w:sz w:val="20"/>
          <w:lang w:val="en-US" w:eastAsia="en-US" w:bidi="ar-SA"/>
        </w:rPr>
        <w:t>, s. 34, s. 34(1), s. 35(2)(a), s. 37(1), s. 37(2), s. 60(4), s. 60(5), s. 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Child and Family Services Act, S.M. 1985-86, c. 8, s. 21(1), s. 27(1), s. 29(1)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9-5</w:t>
      </w:r>
      <w:r>
        <w:rPr>
          <w:rFonts w:ascii="arial" w:eastAsia="arial" w:hAnsi="arial" w:cs="arial"/>
          <w:color w:val="000000"/>
          <w:sz w:val="20"/>
          <w:lang w:val="en-US" w:eastAsia="en-US" w:bidi="ar-SA"/>
        </w:rPr>
        <w:t>(1), Rule 9-5(1)(a), Rule 9-5(1)(b), Rule 9-5(1)(c), Rule 9-5(1)(d), Rule 9-5(2)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9" w:name="Counsel_29"/>
      <w:bookmarkEnd w:id="19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4" style="position:absolute;z-index:251791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B.R.B. Morahan.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D.R. Suntjens and C. Drake.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0" w:name="Judgment_29"/>
      <w:bookmarkEnd w:id="200"/>
      <w:r>
        <w:pict>
          <v:line id="_x0000_s1175" style="position:absolute;z-index:2518425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1" w:name="J.L. DORGAN J."/>
            <w:bookmarkEnd w:id="201"/>
            <w:r>
              <w:rPr>
                <w:rFonts w:ascii="arial" w:eastAsia="arial" w:hAnsi="arial" w:cs="arial"/>
                <w:b/>
                <w:color w:val="000000"/>
                <w:sz w:val="30"/>
                <w:lang w:val="en-US" w:eastAsia="en-US" w:bidi="ar-SA"/>
              </w:rPr>
              <w:t>J.L. DORGAN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action concerns two children of the plaintiff parents who were removed from their parents' care by the director pursuant to s. 30 of the </w:t>
      </w:r>
      <w:r>
        <w:rPr>
          <w:rFonts w:ascii="arial" w:eastAsia="arial" w:hAnsi="arial" w:cs="arial"/>
          <w:i/>
          <w:color w:val="000000"/>
          <w:sz w:val="20"/>
          <w:lang w:val="en-US" w:eastAsia="en-US" w:bidi="ar-SA"/>
        </w:rPr>
        <w:t>Child, Family and Community Service Act</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46</w:t>
      </w:r>
      <w:r>
        <w:rPr>
          <w:rFonts w:ascii="arial" w:eastAsia="arial" w:hAnsi="arial" w:cs="arial"/>
          <w:color w:val="000000"/>
          <w:sz w:val="20"/>
          <w:lang w:val="en-US" w:eastAsia="en-US" w:bidi="ar-SA"/>
        </w:rPr>
        <w:t>, on February 24,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February 19, 2014, the plaintiff parents (Quinn and Trang) and the two children by their guardian ad litem (their father) filed a notice of civil claim against the defendant Her Majesty the Queen in Right of the Province of British Columbia, as represented by the Minister of Children and Family Development (the "Province"). On January 14, 2015, the plaintiffs filed an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Considering the proposed amendments to the plaintiffs' notice of civil claim, the plaintiffs' claim is essentially that the plaintiff parents' rights under s. 7 of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were infringed by the Province through the conduct of the director prior to the director's decision to remove the children from the care of their parents and in the subsequent steps taken in the process of their apprehension. The plaintiffs seek general damages for mental and emotional suffering flowing from the alleged breaches of their s. 7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they claim constitutional damages for breach of the plaintiffs'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special damages, and they seek a range of declaratory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Province submits that the plaintiff parents' right to security of the person under s. 7 was engaged when the plaintiffs' children were removed, and as such the only question to be determined is whether the removal was carried out in accordance with the principles of fundamental justice. On this application to strike, the Province argues that the plaintiffs' pleadings do not identify a single valid principle of fundamental justice and therefore the impugned pleadings should be struck and the proceedings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applications before the court are:</w:t>
      </w:r>
      <w:r>
        <w:rPr>
          <w:rFonts w:ascii="arial" w:eastAsia="arial" w:hAnsi="arial" w:cs="arial"/>
          <w:sz w:val="20"/>
          <w:lang w:val="en-US" w:eastAsia="en-US" w:bidi="ar-SA"/>
        </w:rPr>
        <w:cr/>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the plaintiffs filed August 9, 2016 for leave to further amend their notice of civil claim, and an application filed January 7, 2015 that went by consent; and</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By the Province, filed August 17, 2016 for a number of orders as set out in Part 1, the major one being for an order to dismiss or in the alternative, to strike,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It was agreed the application of the Province would be heard first, and that the Province's application would proceed as though the plaintiffs' proposed further amendments to the notice of claim had been granted. The Province adjourned generally the relief claimed in paras. 2, 3 and 4 of its notice of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issue is simply this: should the plaintiffs be entitled to take the next steps in this action? The Province seeks an order of dismissal arguing that the plaintiffs' action amounts to an abuse of process or, in the alternative, that it should be struck as failing to disclose a reasonable cause of action and for being unnecessary and vexatious.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application of the Province is brought pursuant to Rule 9-5(1)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which reads:</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of the proceeding, or</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pronounce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As noted in the written argument of the Province at p. 6, para. 24:</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Province's primary argument is that the Plaintiff Parents' entire action is an abuse of process and ought to be dismissed pursuant to Rule 9-5(1)(d). In the alternative, the Province seeks to strike the Plaintiff Parents' section 7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claims for failing to disclose a reasonable claim or for being unnecessary or vexatious, and to dismiss their proceedings pursuant to Rule 9-5(1)(a) or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Berthin v. Berthin</w:t>
      </w:r>
      <w:r>
        <w:rPr>
          <w:rFonts w:ascii="arial" w:eastAsia="arial" w:hAnsi="arial" w:cs="arial"/>
          <w:color w:val="000000"/>
          <w:sz w:val="20"/>
          <w:lang w:val="en-US" w:eastAsia="en-US" w:bidi="ar-SA"/>
        </w:rPr>
        <w:t xml:space="preserve">, </w:t>
      </w:r>
      <w:hyperlink r:id="rId598" w:history="1">
        <w:r>
          <w:rPr>
            <w:rFonts w:ascii="arial" w:eastAsia="arial" w:hAnsi="arial" w:cs="arial"/>
            <w:i/>
            <w:color w:val="0077CC"/>
            <w:sz w:val="20"/>
            <w:u w:val="single"/>
            <w:shd w:val="clear" w:color="auto" w:fill="FFFFFF"/>
            <w:lang w:val="en-US" w:eastAsia="en-US" w:bidi="ar-SA"/>
          </w:rPr>
          <w:t>2016 BCSC 2235</w:t>
        </w:r>
      </w:hyperlink>
      <w:r>
        <w:rPr>
          <w:rFonts w:ascii="arial" w:eastAsia="arial" w:hAnsi="arial" w:cs="arial"/>
          <w:color w:val="000000"/>
          <w:sz w:val="20"/>
          <w:lang w:val="en-US" w:eastAsia="en-US" w:bidi="ar-SA"/>
        </w:rPr>
        <w:t>, Mr. Justice Johnston, at paras. 13-17, describes the process on a strike application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The test under Rule 9-5(1) for striking a pleading is well settled: "[a] claim will only be struck if it is plain and obvious, assuming the facts pleaded to be true, that the pleading discloses no reasonable cause of action":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599"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at para. 17. While applications under Rule 9-5(1) (a) do not permit resort to evidence, evidence is admissible for applications brought under Rules 9-5(1)(b) to (d): </w:t>
      </w:r>
      <w:r>
        <w:rPr>
          <w:rFonts w:ascii="arial" w:eastAsia="arial" w:hAnsi="arial" w:cs="arial"/>
          <w:i/>
          <w:color w:val="000000"/>
          <w:sz w:val="20"/>
          <w:lang w:val="en-US" w:eastAsia="en-US" w:bidi="ar-SA"/>
        </w:rPr>
        <w:t>Timberwolf Log Trading Ltd. v. British Columbia (Forests, Lands and Natural Resources Operations)</w:t>
      </w:r>
      <w:r>
        <w:rPr>
          <w:rFonts w:ascii="arial" w:eastAsia="arial" w:hAnsi="arial" w:cs="arial"/>
          <w:color w:val="000000"/>
          <w:sz w:val="20"/>
          <w:lang w:val="en-US" w:eastAsia="en-US" w:bidi="ar-SA"/>
        </w:rPr>
        <w:t xml:space="preserve">, </w:t>
      </w:r>
      <w:hyperlink r:id="rId600" w:history="1">
        <w:r>
          <w:rPr>
            <w:rFonts w:ascii="arial" w:eastAsia="arial" w:hAnsi="arial" w:cs="arial"/>
            <w:i/>
            <w:color w:val="0077CC"/>
            <w:sz w:val="20"/>
            <w:u w:val="single"/>
            <w:shd w:val="clear" w:color="auto" w:fill="FFFFFF"/>
            <w:lang w:val="en-US" w:eastAsia="en-US" w:bidi="ar-SA"/>
          </w:rPr>
          <w:t>2013 BCCA 24</w:t>
        </w:r>
      </w:hyperlink>
      <w:r>
        <w:rPr>
          <w:rFonts w:ascii="arial" w:eastAsia="arial" w:hAnsi="arial" w:cs="arial"/>
          <w:color w:val="000000"/>
          <w:sz w:val="20"/>
          <w:lang w:val="en-US" w:eastAsia="en-US" w:bidi="ar-SA"/>
        </w:rPr>
        <w:t xml:space="preserve"> at para. 20. Further, if an amendment might salvage an otherwise questionable case on the pleadings, the court should permit the plaintiff an opportunity to amend as a condition of dismissing an application to strike the pleadings: </w:t>
      </w:r>
      <w:r>
        <w:rPr>
          <w:rFonts w:ascii="arial" w:eastAsia="arial" w:hAnsi="arial" w:cs="arial"/>
          <w:i/>
          <w:color w:val="000000"/>
          <w:sz w:val="20"/>
          <w:lang w:val="en-US" w:eastAsia="en-US" w:bidi="ar-SA"/>
        </w:rPr>
        <w:t>Moses v. Lower Nicola Indian Band</w:t>
      </w:r>
      <w:r>
        <w:rPr>
          <w:rFonts w:ascii="arial" w:eastAsia="arial" w:hAnsi="arial" w:cs="arial"/>
          <w:color w:val="000000"/>
          <w:sz w:val="20"/>
          <w:lang w:val="en-US" w:eastAsia="en-US" w:bidi="ar-SA"/>
        </w:rPr>
        <w:t xml:space="preserve">, </w:t>
      </w:r>
      <w:hyperlink r:id="rId601" w:history="1">
        <w:r>
          <w:rPr>
            <w:rFonts w:ascii="arial" w:eastAsia="arial" w:hAnsi="arial" w:cs="arial"/>
            <w:i/>
            <w:color w:val="0077CC"/>
            <w:sz w:val="20"/>
            <w:u w:val="single"/>
            <w:shd w:val="clear" w:color="auto" w:fill="FFFFFF"/>
            <w:lang w:val="en-US" w:eastAsia="en-US" w:bidi="ar-SA"/>
          </w:rPr>
          <w:t>2015 BCCA 61</w:t>
        </w:r>
      </w:hyperlink>
      <w:r>
        <w:rPr>
          <w:rFonts w:ascii="arial" w:eastAsia="arial" w:hAnsi="arial" w:cs="arial"/>
          <w:color w:val="000000"/>
          <w:sz w:val="20"/>
          <w:lang w:val="en-US" w:eastAsia="en-US" w:bidi="ar-SA"/>
        </w:rPr>
        <w:t xml:space="preserve"> at para. 41.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In considering an application to strike pleadings on the ground that they disclose no reasonable claim under Rule 9-5(1)(a), I must confine myself to the pleadings, assume the facts alleged in the amended notice of civil claim are true, and take the case as pleaded by Mr. Berthin in its most advantageous light from his perspective: </w:t>
      </w:r>
      <w:r>
        <w:rPr>
          <w:rFonts w:ascii="arial" w:eastAsia="arial" w:hAnsi="arial" w:cs="arial"/>
          <w:i/>
          <w:color w:val="000000"/>
          <w:sz w:val="20"/>
          <w:lang w:val="en-US" w:eastAsia="en-US" w:bidi="ar-SA"/>
        </w:rPr>
        <w:t>Gichuru v. Smith</w:t>
      </w:r>
      <w:r>
        <w:rPr>
          <w:rFonts w:ascii="arial" w:eastAsia="arial" w:hAnsi="arial" w:cs="arial"/>
          <w:color w:val="000000"/>
          <w:sz w:val="20"/>
          <w:lang w:val="en-US" w:eastAsia="en-US" w:bidi="ar-SA"/>
        </w:rPr>
        <w:t xml:space="preserve">, </w:t>
      </w:r>
      <w:hyperlink r:id="rId602" w:history="1">
        <w:r>
          <w:rPr>
            <w:rFonts w:ascii="arial" w:eastAsia="arial" w:hAnsi="arial" w:cs="arial"/>
            <w:i/>
            <w:color w:val="0077CC"/>
            <w:sz w:val="20"/>
            <w:u w:val="single"/>
            <w:shd w:val="clear" w:color="auto" w:fill="FFFFFF"/>
            <w:lang w:val="en-US" w:eastAsia="en-US" w:bidi="ar-SA"/>
          </w:rPr>
          <w:t>2010 BCCA 352</w:t>
        </w:r>
      </w:hyperlink>
      <w:r>
        <w:rPr>
          <w:rFonts w:ascii="arial" w:eastAsia="arial" w:hAnsi="arial" w:cs="arial"/>
          <w:color w:val="000000"/>
          <w:sz w:val="20"/>
          <w:lang w:val="en-US" w:eastAsia="en-US" w:bidi="ar-SA"/>
        </w:rPr>
        <w:t xml:space="preserve"> at para. 22; </w:t>
      </w:r>
      <w:r>
        <w:rPr>
          <w:rFonts w:ascii="arial" w:eastAsia="arial" w:hAnsi="arial" w:cs="arial"/>
          <w:i/>
          <w:color w:val="000000"/>
          <w:sz w:val="20"/>
          <w:lang w:val="en-US" w:eastAsia="en-US" w:bidi="ar-SA"/>
        </w:rPr>
        <w:t>Canadian Bar Assn. v. British Columbia</w:t>
      </w:r>
      <w:r>
        <w:rPr>
          <w:rFonts w:ascii="arial" w:eastAsia="arial" w:hAnsi="arial" w:cs="arial"/>
          <w:color w:val="000000"/>
          <w:sz w:val="20"/>
          <w:lang w:val="en-US" w:eastAsia="en-US" w:bidi="ar-SA"/>
        </w:rPr>
        <w:t xml:space="preserve">, </w:t>
      </w:r>
      <w:hyperlink r:id="rId603" w:history="1">
        <w:r>
          <w:rPr>
            <w:rFonts w:ascii="arial" w:eastAsia="arial" w:hAnsi="arial" w:cs="arial"/>
            <w:i/>
            <w:color w:val="0077CC"/>
            <w:sz w:val="20"/>
            <w:u w:val="single"/>
            <w:shd w:val="clear" w:color="auto" w:fill="FFFFFF"/>
            <w:lang w:val="en-US" w:eastAsia="en-US" w:bidi="ar-SA"/>
          </w:rPr>
          <w:t>2008 BCCA 92</w:t>
        </w:r>
      </w:hyperlink>
      <w:r>
        <w:rPr>
          <w:rFonts w:ascii="arial" w:eastAsia="arial" w:hAnsi="arial" w:cs="arial"/>
          <w:color w:val="000000"/>
          <w:sz w:val="20"/>
          <w:lang w:val="en-US" w:eastAsia="en-US" w:bidi="ar-SA"/>
        </w:rPr>
        <w:t xml:space="preserve"> at para. 37.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Pleadings also deserve a generous reading under the other sub-rules. The court in </w:t>
      </w:r>
      <w:r>
        <w:rPr>
          <w:rFonts w:ascii="arial" w:eastAsia="arial" w:hAnsi="arial" w:cs="arial"/>
          <w:i/>
          <w:color w:val="000000"/>
          <w:sz w:val="20"/>
          <w:lang w:val="en-US" w:eastAsia="en-US" w:bidi="ar-SA"/>
        </w:rPr>
        <w:t>Willow v. Chong</w:t>
      </w:r>
      <w:r>
        <w:rPr>
          <w:rFonts w:ascii="arial" w:eastAsia="arial" w:hAnsi="arial" w:cs="arial"/>
          <w:color w:val="000000"/>
          <w:sz w:val="20"/>
          <w:lang w:val="en-US" w:eastAsia="en-US" w:bidi="ar-SA"/>
        </w:rPr>
        <w:t xml:space="preserve">, </w:t>
      </w:r>
      <w:hyperlink r:id="rId604" w:history="1">
        <w:r>
          <w:rPr>
            <w:rFonts w:ascii="arial" w:eastAsia="arial" w:hAnsi="arial" w:cs="arial"/>
            <w:i/>
            <w:color w:val="0077CC"/>
            <w:sz w:val="20"/>
            <w:u w:val="single"/>
            <w:shd w:val="clear" w:color="auto" w:fill="FFFFFF"/>
            <w:lang w:val="en-US" w:eastAsia="en-US" w:bidi="ar-SA"/>
          </w:rPr>
          <w:t>2013 BCSC 1083</w:t>
        </w:r>
      </w:hyperlink>
      <w:r>
        <w:rPr>
          <w:rFonts w:ascii="arial" w:eastAsia="arial" w:hAnsi="arial" w:cs="arial"/>
          <w:color w:val="000000"/>
          <w:sz w:val="20"/>
          <w:lang w:val="en-US" w:eastAsia="en-US" w:bidi="ar-SA"/>
        </w:rPr>
        <w:t xml:space="preserve"> discussed the test under Rule 9-5(1)(b):</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[20] Under Rule 9-5(1)(b), a pleading is unnecessary or vexatious if it does not go to establishing the plaintiff's cause of action, if it does not advance any claim known in law, where it is obvious that an action cannot succeed, or where it would serve no useful purpose and would be a waste of the court's time and public resources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The court in </w:t>
      </w:r>
      <w:r>
        <w:rPr>
          <w:rFonts w:ascii="arial" w:eastAsia="arial" w:hAnsi="arial" w:cs="arial"/>
          <w:i/>
          <w:color w:val="000000"/>
          <w:sz w:val="20"/>
          <w:lang w:val="en-US" w:eastAsia="en-US" w:bidi="ar-SA"/>
        </w:rPr>
        <w:t>Mohebbi v. North Vancouver RCMP</w:t>
      </w:r>
      <w:r>
        <w:rPr>
          <w:rFonts w:ascii="arial" w:eastAsia="arial" w:hAnsi="arial" w:cs="arial"/>
          <w:color w:val="000000"/>
          <w:sz w:val="20"/>
          <w:lang w:val="en-US" w:eastAsia="en-US" w:bidi="ar-SA"/>
        </w:rPr>
        <w:t xml:space="preserve">, </w:t>
      </w:r>
      <w:hyperlink r:id="rId605" w:history="1">
        <w:r>
          <w:rPr>
            <w:rFonts w:ascii="arial" w:eastAsia="arial" w:hAnsi="arial" w:cs="arial"/>
            <w:i/>
            <w:color w:val="0077CC"/>
            <w:sz w:val="20"/>
            <w:u w:val="single"/>
            <w:shd w:val="clear" w:color="auto" w:fill="FFFFFF"/>
            <w:lang w:val="en-US" w:eastAsia="en-US" w:bidi="ar-SA"/>
          </w:rPr>
          <w:t>2015 BCSC 2083</w:t>
        </w:r>
      </w:hyperlink>
      <w:r>
        <w:rPr>
          <w:rFonts w:ascii="arial" w:eastAsia="arial" w:hAnsi="arial" w:cs="arial"/>
          <w:color w:val="000000"/>
          <w:sz w:val="20"/>
          <w:lang w:val="en-US" w:eastAsia="en-US" w:bidi="ar-SA"/>
        </w:rPr>
        <w:t xml:space="preserve"> also summarized some authorities on the meaning of frivolous, vexatious or unnecessary pleadings under Rule 9-5(1)(b), at para. 18: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"[a] pleading is frivolous if it is without substance, is groundless, fanciful, 'trifles with the court' or wastes time." A pleading is vexatious or unnecessary where it does not go to establishing the plaintiff's cause of action or fails to advance any known legal claim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[Citations omitted.]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The court in </w:t>
      </w:r>
      <w:r>
        <w:rPr>
          <w:rFonts w:ascii="arial" w:eastAsia="arial" w:hAnsi="arial" w:cs="arial"/>
          <w:i/>
          <w:color w:val="000000"/>
          <w:sz w:val="20"/>
          <w:lang w:val="en-US" w:eastAsia="en-US" w:bidi="ar-SA"/>
        </w:rPr>
        <w:t>Babavic v. Babowech</w:t>
      </w:r>
      <w:r>
        <w:rPr>
          <w:rFonts w:ascii="arial" w:eastAsia="arial" w:hAnsi="arial" w:cs="arial"/>
          <w:color w:val="000000"/>
          <w:sz w:val="20"/>
          <w:lang w:val="en-US" w:eastAsia="en-US" w:bidi="ar-SA"/>
        </w:rPr>
        <w:t xml:space="preserve">, </w:t>
      </w:r>
      <w:hyperlink r:id="rId606" w:history="1">
        <w:r>
          <w:rPr>
            <w:rFonts w:ascii="arial" w:eastAsia="arial" w:hAnsi="arial" w:cs="arial"/>
            <w:i/>
            <w:color w:val="0077CC"/>
            <w:sz w:val="20"/>
            <w:u w:val="single"/>
            <w:shd w:val="clear" w:color="auto" w:fill="FFFFFF"/>
            <w:lang w:val="en-US" w:eastAsia="en-US" w:bidi="ar-SA"/>
          </w:rPr>
          <w:t>1993 CarswellBC 2950</w:t>
        </w:r>
      </w:hyperlink>
      <w:r>
        <w:rPr>
          <w:rFonts w:ascii="arial" w:eastAsia="arial" w:hAnsi="arial" w:cs="arial"/>
          <w:color w:val="000000"/>
          <w:sz w:val="20"/>
          <w:lang w:val="en-US" w:eastAsia="en-US" w:bidi="ar-SA"/>
        </w:rPr>
        <w:t xml:space="preserve"> discussed abuse of process in the context of the predecessor to Rule 9-5(1)(d), at para. 18: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categories of abuse of process are open. Abuse of process may be found where proceedings involve a deception on the court or constitute a mere sham; where the process of the court is not being fairly or honestly used, or is employed for some ulterior or improper purpose; proceedings which are without foundation or serve no useful purpose and multiple or successive proceedings which cause or are likely to cause vexation or oppression.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As stated in Rule 9-5(2)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and as affirmed by Justice Johnson in the </w:t>
      </w:r>
      <w:r>
        <w:rPr>
          <w:rFonts w:ascii="arial" w:eastAsia="arial" w:hAnsi="arial" w:cs="arial"/>
          <w:i/>
          <w:color w:val="000000"/>
          <w:sz w:val="20"/>
          <w:lang w:val="en-US" w:eastAsia="en-US" w:bidi="ar-SA"/>
        </w:rPr>
        <w:t>Berthin</w:t>
      </w:r>
      <w:r>
        <w:rPr>
          <w:rFonts w:ascii="arial" w:eastAsia="arial" w:hAnsi="arial" w:cs="arial"/>
          <w:color w:val="000000"/>
          <w:sz w:val="20"/>
          <w:lang w:val="en-US" w:eastAsia="en-US" w:bidi="ar-SA"/>
        </w:rPr>
        <w:t xml:space="preserve"> decision, evidence is only permitted on an application to dismiss or strike brought pursuant to Rule 9-5(1)(b), (c), or (d). No evidence is to be considered on an application brought pursuant to Rule 9-5(1)(a), however it must be assumed that the facts pleaded are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On the date of removal pursuant to s. 30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three minor children lived in the home of the plaintiff parents, namely, Thai, born February 15, 1998 (the biological child of the plaintiff Trang), Marion, born September 28, 2007 and Beth, born March 10, 2009 (each of whom is the biological child of the plaintiff parents). I note that the child Thai has subsequently attained the age of majority and is not named as a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plaintiffs allege that on February 22, 2012, the director received an anonymous report to the effect that the child Thai alleged he and the other two children were being exposed to verbal and physical abuse from the plaintiff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February 24, 2012, all three children were removed from the parental home and placed in foster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matter came before the Provincial Court on February 29, 2012, was adjourned to March 7, 2012, further adjourned to March 14, 2012, and heard on March 22,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On March 22, 2012, the presentation hearing, as required pursuant to s. 34(1)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proceeded before the Honourable Judge Wood. It was contested. Wood P.C.J. concluded "... there were reasonable grounds to remove ..." the children pursuant to s. 30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Following that conclusion, and on March 30, 2012, Wood P.C.J. considered what order would adequately protect the plaintiff children pending a protection hearing. Pursuant to s. 35(2)(a)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he ordered the children be in the interim custody of the director with reasonable and supervised access to the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When the matter came before the Provincial Court on May 9, 2012, for a protection hearing, the Honourable Judge Harvey ordered, with the consent of the parties, that the three children be placed in the temporary care of the director for a period of three months with reasonable and supervised access to the parents. Subsequently, on June 27, 2012, Harvey P.C.J. ordered the children be returned to the custody of the plaintiff parents under supervision for a period of six months. Thereafter, the director took no further steps or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There was some issue during the course of arguments on this application as to whether both parents consented to the orders of Judge Harvey and if so, the circumstances of their consent; however, in my view, those are matters best left to be explored at a trial in this action if one should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this application, the plaintiff parents conceded, as stated in their written argument, that:</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established category of fiduciary duty between the Province and the Plaintiff Parents (para. 92);</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cause of action for negligent breach of the statutory duty (para. 93);</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Province does not owe a duty of care to the Plaintiff Parents (para. 94);</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their section 8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were not infringed and have removed these claims from the proposed Draft Amendments (para. 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Counsel agree that the only remaining cause of action pleaded by the plaintiff parents appears to be for alleged breaches of s.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As earlier noted, the primary argument of the Province is that the plaintiff parents' entire action is an abuse of process and ought to be dismissed pursuant to Rule 9-5(1)(d).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Collateral Attack and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As stated by Mr. Justice McIntyre in </w:t>
      </w:r>
      <w:r>
        <w:rPr>
          <w:rFonts w:ascii="arial" w:eastAsia="arial" w:hAnsi="arial" w:cs="arial"/>
          <w:i/>
          <w:color w:val="000000"/>
          <w:sz w:val="20"/>
          <w:lang w:val="en-US" w:eastAsia="en-US" w:bidi="ar-SA"/>
        </w:rPr>
        <w:t>R. v. Wilson</w:t>
      </w:r>
      <w:r>
        <w:rPr>
          <w:rFonts w:ascii="arial" w:eastAsia="arial" w:hAnsi="arial" w:cs="arial"/>
          <w:color w:val="000000"/>
          <w:sz w:val="20"/>
          <w:lang w:val="en-US" w:eastAsia="en-US" w:bidi="ar-SA"/>
        </w:rPr>
        <w:t xml:space="preserve">, </w:t>
      </w:r>
      <w:hyperlink r:id="rId607" w:history="1">
        <w:r>
          <w:rPr>
            <w:rFonts w:ascii="arial" w:eastAsia="arial" w:hAnsi="arial" w:cs="arial"/>
            <w:i/>
            <w:color w:val="0077CC"/>
            <w:sz w:val="20"/>
            <w:u w:val="single"/>
            <w:shd w:val="clear" w:color="auto" w:fill="FFFFFF"/>
            <w:lang w:val="en-US" w:eastAsia="en-US" w:bidi="ar-SA"/>
          </w:rPr>
          <w:t>[1983] 2 S.C.R. 594</w:t>
        </w:r>
      </w:hyperlink>
      <w:r>
        <w:rPr>
          <w:rFonts w:ascii="arial" w:eastAsia="arial" w:hAnsi="arial" w:cs="arial"/>
          <w:color w:val="000000"/>
          <w:sz w:val="20"/>
          <w:lang w:val="en-US" w:eastAsia="en-US" w:bidi="ar-SA"/>
        </w:rPr>
        <w:t xml:space="preserve"> at 599, "a collateral attack may be described as an attack made in proceedings other than those who specific object is the reversal, variation, or nullification of the order 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following are hallmarks of collateral attack: a party, bound by an order, seeking to avoid the effect of that order by challenging its validity in the wrong forum. See </w:t>
      </w:r>
      <w:r>
        <w:rPr>
          <w:rFonts w:ascii="arial" w:eastAsia="arial" w:hAnsi="arial" w:cs="arial"/>
          <w:i/>
          <w:color w:val="000000"/>
          <w:sz w:val="20"/>
          <w:lang w:val="en-US" w:eastAsia="en-US" w:bidi="ar-SA"/>
        </w:rPr>
        <w:t>Garland v. Consumers' Gas Co.</w:t>
      </w:r>
      <w:r>
        <w:rPr>
          <w:rFonts w:ascii="arial" w:eastAsia="arial" w:hAnsi="arial" w:cs="arial"/>
          <w:color w:val="000000"/>
          <w:sz w:val="20"/>
          <w:lang w:val="en-US" w:eastAsia="en-US" w:bidi="ar-SA"/>
        </w:rPr>
        <w:t xml:space="preserve">, </w:t>
      </w:r>
      <w:hyperlink r:id="rId608" w:history="1">
        <w:r>
          <w:rPr>
            <w:rFonts w:ascii="arial" w:eastAsia="arial" w:hAnsi="arial" w:cs="arial"/>
            <w:i/>
            <w:color w:val="0077CC"/>
            <w:sz w:val="20"/>
            <w:u w:val="single"/>
            <w:shd w:val="clear" w:color="auto" w:fill="FFFFFF"/>
            <w:lang w:val="en-US" w:eastAsia="en-US" w:bidi="ar-SA"/>
          </w:rPr>
          <w:t>2004 SCC 25</w:t>
        </w:r>
      </w:hyperlink>
      <w:r>
        <w:rPr>
          <w:rFonts w:ascii="arial" w:eastAsia="arial" w:hAnsi="arial" w:cs="arial"/>
          <w:color w:val="000000"/>
          <w:sz w:val="20"/>
          <w:lang w:val="en-US" w:eastAsia="en-US" w:bidi="ar-SA"/>
        </w:rPr>
        <w:t xml:space="preserve"> at para. 72. A court should consider whether the plaintiff is essentially seeking a rehearing of issues already determined: see </w:t>
      </w:r>
      <w:r>
        <w:rPr>
          <w:rFonts w:ascii="arial" w:eastAsia="arial" w:hAnsi="arial" w:cs="arial"/>
          <w:i/>
          <w:color w:val="000000"/>
          <w:sz w:val="20"/>
          <w:lang w:val="en-US" w:eastAsia="en-US" w:bidi="ar-SA"/>
        </w:rPr>
        <w:t>Sydel v. HMTQ</w:t>
      </w:r>
      <w:r>
        <w:rPr>
          <w:rFonts w:ascii="arial" w:eastAsia="arial" w:hAnsi="arial" w:cs="arial"/>
          <w:color w:val="000000"/>
          <w:sz w:val="20"/>
          <w:lang w:val="en-US" w:eastAsia="en-US" w:bidi="ar-SA"/>
        </w:rPr>
        <w:t xml:space="preserve">, </w:t>
      </w:r>
      <w:hyperlink r:id="rId609" w:history="1">
        <w:r>
          <w:rPr>
            <w:rFonts w:ascii="arial" w:eastAsia="arial" w:hAnsi="arial" w:cs="arial"/>
            <w:i/>
            <w:color w:val="0077CC"/>
            <w:sz w:val="20"/>
            <w:u w:val="single"/>
            <w:shd w:val="clear" w:color="auto" w:fill="FFFFFF"/>
            <w:lang w:val="en-US" w:eastAsia="en-US" w:bidi="ar-SA"/>
          </w:rPr>
          <w:t>2010 BCSC 638</w:t>
        </w:r>
      </w:hyperlink>
      <w:r>
        <w:rPr>
          <w:rFonts w:ascii="arial" w:eastAsia="arial" w:hAnsi="arial" w:cs="arial"/>
          <w:color w:val="000000"/>
          <w:sz w:val="20"/>
          <w:lang w:val="en-US" w:eastAsia="en-US" w:bidi="ar-SA"/>
        </w:rPr>
        <w:t xml:space="preserve"> at para. 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It has been noted that administrative law "has review mechanisms in place for reducing error or injustice ... [and that] the decision to pursue a court action instead of judicial review [or appeal]" has been found to result in an impermissible collateral attack on the decision of an administrative decision maker: see </w:t>
      </w:r>
      <w:r>
        <w:rPr>
          <w:rFonts w:ascii="arial" w:eastAsia="arial" w:hAnsi="arial" w:cs="arial"/>
          <w:i/>
          <w:color w:val="000000"/>
          <w:sz w:val="20"/>
          <w:lang w:val="en-US" w:eastAsia="en-US" w:bidi="ar-SA"/>
        </w:rPr>
        <w:t>British Columbia (Workers' Compensation Board) v. Figliola</w:t>
      </w:r>
      <w:r>
        <w:rPr>
          <w:rFonts w:ascii="arial" w:eastAsia="arial" w:hAnsi="arial" w:cs="arial"/>
          <w:color w:val="000000"/>
          <w:sz w:val="20"/>
          <w:lang w:val="en-US" w:eastAsia="en-US" w:bidi="ar-SA"/>
        </w:rPr>
        <w:t xml:space="preserve">, </w:t>
      </w:r>
      <w:hyperlink r:id="rId610" w:history="1">
        <w:r>
          <w:rPr>
            <w:rFonts w:ascii="arial" w:eastAsia="arial" w:hAnsi="arial" w:cs="arial"/>
            <w:i/>
            <w:color w:val="0077CC"/>
            <w:sz w:val="20"/>
            <w:u w:val="single"/>
            <w:shd w:val="clear" w:color="auto" w:fill="FFFFFF"/>
            <w:lang w:val="en-US" w:eastAsia="en-US" w:bidi="ar-SA"/>
          </w:rPr>
          <w:t>2011 SCC 52</w:t>
        </w:r>
      </w:hyperlink>
      <w:r>
        <w:rPr>
          <w:rFonts w:ascii="arial" w:eastAsia="arial" w:hAnsi="arial" w:cs="arial"/>
          <w:color w:val="000000"/>
          <w:sz w:val="20"/>
          <w:lang w:val="en-US" w:eastAsia="en-US" w:bidi="ar-SA"/>
        </w:rPr>
        <w:t xml:space="preserve">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Province agrees that the doctrine of collateral attack will not apply in cases where the specific object of the proceeding is not to invalidate an order or render it inoperative: see </w:t>
      </w:r>
      <w:r>
        <w:rPr>
          <w:rFonts w:ascii="arial" w:eastAsia="arial" w:hAnsi="arial" w:cs="arial"/>
          <w:i/>
          <w:color w:val="000000"/>
          <w:sz w:val="20"/>
          <w:lang w:val="en-US" w:eastAsia="en-US" w:bidi="ar-SA"/>
        </w:rPr>
        <w:t>Garland</w:t>
      </w:r>
      <w:r>
        <w:rPr>
          <w:rFonts w:ascii="arial" w:eastAsia="arial" w:hAnsi="arial" w:cs="arial"/>
          <w:color w:val="000000"/>
          <w:sz w:val="20"/>
          <w:lang w:val="en-US" w:eastAsia="en-US" w:bidi="ar-SA"/>
        </w:rPr>
        <w:t xml:space="preserve"> at para. 71; see also </w:t>
      </w:r>
      <w:r>
        <w:rPr>
          <w:rFonts w:ascii="arial" w:eastAsia="arial" w:hAnsi="arial" w:cs="arial"/>
          <w:i/>
          <w:color w:val="000000"/>
          <w:sz w:val="20"/>
          <w:lang w:val="en-US" w:eastAsia="en-US" w:bidi="ar-SA"/>
        </w:rPr>
        <w:t>Canada (Attorney General) v. TeleZone Inc.</w:t>
      </w:r>
      <w:r>
        <w:rPr>
          <w:rFonts w:ascii="arial" w:eastAsia="arial" w:hAnsi="arial" w:cs="arial"/>
          <w:color w:val="000000"/>
          <w:sz w:val="20"/>
          <w:lang w:val="en-US" w:eastAsia="en-US" w:bidi="ar-SA"/>
        </w:rPr>
        <w:t xml:space="preserve">, </w:t>
      </w:r>
      <w:hyperlink r:id="rId611" w:history="1">
        <w:r>
          <w:rPr>
            <w:rFonts w:ascii="arial" w:eastAsia="arial" w:hAnsi="arial" w:cs="arial"/>
            <w:i/>
            <w:color w:val="0077CC"/>
            <w:sz w:val="20"/>
            <w:u w:val="single"/>
            <w:shd w:val="clear" w:color="auto" w:fill="FFFFFF"/>
            <w:lang w:val="en-US" w:eastAsia="en-US" w:bidi="ar-SA"/>
          </w:rPr>
          <w:t>2010 SCC 62</w:t>
        </w:r>
      </w:hyperlink>
      <w:r>
        <w:rPr>
          <w:rFonts w:ascii="arial" w:eastAsia="arial" w:hAnsi="arial" w:cs="arial"/>
          <w:color w:val="000000"/>
          <w:sz w:val="20"/>
          <w:lang w:val="en-US" w:eastAsia="en-US" w:bidi="ar-SA"/>
        </w:rPr>
        <w:t xml:space="preserve"> at para. 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According to </w:t>
      </w:r>
      <w:r>
        <w:rPr>
          <w:rFonts w:ascii="arial" w:eastAsia="arial" w:hAnsi="arial" w:cs="arial"/>
          <w:i/>
          <w:color w:val="000000"/>
          <w:sz w:val="20"/>
          <w:lang w:val="en-US" w:eastAsia="en-US" w:bidi="ar-SA"/>
        </w:rPr>
        <w:t>Wilson</w:t>
      </w:r>
      <w:r>
        <w:rPr>
          <w:rFonts w:ascii="arial" w:eastAsia="arial" w:hAnsi="arial" w:cs="arial"/>
          <w:color w:val="000000"/>
          <w:sz w:val="20"/>
          <w:lang w:val="en-US" w:eastAsia="en-US" w:bidi="ar-SA"/>
        </w:rPr>
        <w:t xml:space="preserve"> at 599, exceptions to the general bar on collateral attacks include instances of fraud or the discovery of new evidence, neither of which is pleaded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the context of legislative child protection schemes, the British Columbia Court of Appeal has stated that judicial review of the decision of the director (as defined under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to remove a child is not a collateral attack on Provincial Court proceedings. As noted in </w:t>
      </w:r>
      <w:r>
        <w:rPr>
          <w:rFonts w:ascii="arial" w:eastAsia="arial" w:hAnsi="arial" w:cs="arial"/>
          <w:i/>
          <w:color w:val="000000"/>
          <w:sz w:val="20"/>
          <w:lang w:val="en-US" w:eastAsia="en-US" w:bidi="ar-SA"/>
        </w:rPr>
        <w:t>E.B. v. British Columbia (Director of Child, Family and Community Services)</w:t>
      </w:r>
      <w:r>
        <w:rPr>
          <w:rFonts w:ascii="arial" w:eastAsia="arial" w:hAnsi="arial" w:cs="arial"/>
          <w:color w:val="000000"/>
          <w:sz w:val="20"/>
          <w:lang w:val="en-US" w:eastAsia="en-US" w:bidi="ar-SA"/>
        </w:rPr>
        <w:t xml:space="preserve">, </w:t>
      </w:r>
      <w:hyperlink r:id="rId612" w:history="1">
        <w:r>
          <w:rPr>
            <w:rFonts w:ascii="arial" w:eastAsia="arial" w:hAnsi="arial" w:cs="arial"/>
            <w:i/>
            <w:color w:val="0077CC"/>
            <w:sz w:val="20"/>
            <w:u w:val="single"/>
            <w:shd w:val="clear" w:color="auto" w:fill="FFFFFF"/>
            <w:lang w:val="en-US" w:eastAsia="en-US" w:bidi="ar-SA"/>
          </w:rPr>
          <w:t>2016 BCCA 66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[70] ...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requires both presentation hearings and protection hearings, but neither is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a review or an endorsement of the actions that the Director takes to remove the child. The chambers judge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[126] It is at least theoretically possible that the court could conclude that a child needs protection, and also conclude that the Director acted improperly in apprehending a child under s. 30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[71] I agree with that assessment. The question of whether the child is in need of protection is one for the Provincial Court under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On the other hand, the Provincial Court is not given the authority to directly review the conduct of the Director in removing the child.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[74] ... There are existing Provincial Court orders dealing with custody, and those orders will not be under scrutiny in a judicial review proceeding directed at the initial decision of the Director to remove the child. Thus, it appears that the only remedy that a court could give on the judicial review proceeding would be a bare declaration that the actions of the Director were unlawful. The granting of declaratory relief is discretionary, and the Supreme Court might, in its discretion, even decline to hear the judicial review application, given the limited remedy that could be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doctrine of abuse of process has as its goal the protection of the fairness and integrity of the administration of justice by preventing needless multiplicity of proceedings: see </w:t>
      </w:r>
      <w:r>
        <w:rPr>
          <w:rFonts w:ascii="arial" w:eastAsia="arial" w:hAnsi="arial" w:cs="arial"/>
          <w:i/>
          <w:color w:val="000000"/>
          <w:sz w:val="20"/>
          <w:lang w:val="en-US" w:eastAsia="en-US" w:bidi="ar-SA"/>
        </w:rPr>
        <w:t>Figliola</w:t>
      </w:r>
      <w:r>
        <w:rPr>
          <w:rFonts w:ascii="arial" w:eastAsia="arial" w:hAnsi="arial" w:cs="arial"/>
          <w:color w:val="000000"/>
          <w:sz w:val="20"/>
          <w:lang w:val="en-US" w:eastAsia="en-US" w:bidi="ar-SA"/>
        </w:rPr>
        <w:t>, at para.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doctrine of abuse of process is characterized by its flexibility and is unencumbered by specific requirements. The plaintiff parents concede that this is a flexible doctrine, but argue that if their action is not found to be a collateral attack, then it follows that the action is also not an abuse of process. The Province submits that abuse of process is broader than the doctrine of collateral attack and is applicable irrespective of a determination on the collateral attack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Having regard to both the doctrines of collateral attack and abuse of process, both exist to preserve fairness by preventing abuse of the decision-making process. </w:t>
      </w:r>
      <w:r>
        <w:rPr>
          <w:rFonts w:ascii="arial" w:eastAsia="arial" w:hAnsi="arial" w:cs="arial"/>
          <w:i/>
          <w:color w:val="000000"/>
          <w:sz w:val="20"/>
          <w:lang w:val="en-US" w:eastAsia="en-US" w:bidi="ar-SA"/>
        </w:rPr>
        <w:t>Figliola</w:t>
      </w:r>
      <w:r>
        <w:rPr>
          <w:rFonts w:ascii="arial" w:eastAsia="arial" w:hAnsi="arial" w:cs="arial"/>
          <w:color w:val="000000"/>
          <w:sz w:val="20"/>
          <w:lang w:val="en-US" w:eastAsia="en-US" w:bidi="ar-SA"/>
        </w:rPr>
        <w:t>, at para. 34, provides the following non-exhaustive list of common underlying principles:</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Respect for the finality of a judicial or administrative decision increases fairness and the integrity of the administration of justice;</w:t>
      </w:r>
    </w:p>
    <w:p>
      <w:pPr>
        <w:numPr>
          <w:numId w:val="1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in the interests of the public and the parties that the finality of a decision can be relied on;</w:t>
      </w:r>
    </w:p>
    <w:p>
      <w:pPr>
        <w:numPr>
          <w:numId w:val="19"/>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Avoiding unnecessary re-litigation avoids an unnecessary expenditure of resources.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doctrine of abuse of process has its roots in a judge's inherent and residual discretion to prevent misuse of the court's procedure in a way that would be manifestly unfair to a party or would in some other way bring the administration of justice into disrepute. Abuse of process can be described as the bringing of proceedings that are unfair to the point that they are contrary to the interests of justice or as oppressive treatment. One circumstance in which abuse of process has been applied is where the litigation before the court is found to be in essence an attempt to re-litigate a claim which the court has already determined: see </w:t>
      </w:r>
      <w:r>
        <w:rPr>
          <w:rFonts w:ascii="arial" w:eastAsia="arial" w:hAnsi="arial" w:cs="arial"/>
          <w:i/>
          <w:color w:val="000000"/>
          <w:sz w:val="20"/>
          <w:lang w:val="en-US" w:eastAsia="en-US" w:bidi="ar-SA"/>
        </w:rPr>
        <w:t>Behn v. Moulton Contracting Ltd.</w:t>
      </w:r>
      <w:r>
        <w:rPr>
          <w:rFonts w:ascii="arial" w:eastAsia="arial" w:hAnsi="arial" w:cs="arial"/>
          <w:color w:val="000000"/>
          <w:sz w:val="20"/>
          <w:lang w:val="en-US" w:eastAsia="en-US" w:bidi="ar-SA"/>
        </w:rPr>
        <w:t xml:space="preserve">, </w:t>
      </w:r>
      <w:hyperlink r:id="rId613" w:history="1">
        <w:r>
          <w:rPr>
            <w:rFonts w:ascii="arial" w:eastAsia="arial" w:hAnsi="arial" w:cs="arial"/>
            <w:i/>
            <w:color w:val="0077CC"/>
            <w:sz w:val="20"/>
            <w:u w:val="single"/>
            <w:shd w:val="clear" w:color="auto" w:fill="FFFFFF"/>
            <w:lang w:val="en-US" w:eastAsia="en-US" w:bidi="ar-SA"/>
          </w:rPr>
          <w:t>2013 SCC 26</w:t>
        </w:r>
      </w:hyperlink>
      <w:r>
        <w:rPr>
          <w:rFonts w:ascii="arial" w:eastAsia="arial" w:hAnsi="arial" w:cs="arial"/>
          <w:color w:val="000000"/>
          <w:sz w:val="20"/>
          <w:lang w:val="en-US" w:eastAsia="en-US" w:bidi="ar-SA"/>
        </w:rPr>
        <w:t xml:space="preserve"> at paras. 39-40.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Position of the Province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 Collateral Attack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Province's position is that the action of the plaintiffs is an impermissible collateral attack on valid orders of the Provincial Court of British Columbia, including consent orders, made pursuant to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and is thus an abuse of process. Noting the hallmarks of collateral attack, the Province submits that the plaintiff parents were the object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orders and participated in the proceedings; they were bound by an order regarding the custody of the children and supervised access; and they are now challenging the validity of the court orders in an incorrect forum and seeking to circumvent the effect of the orders by seeking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Province notes that counsel for the plaintiff Desmond Quinn, at the presentation hearing, did not take issue with the circumstances surrounding the apprehension and accepted that there were reasonable grounds to remove the children (see the transcript of proceedings in the Provincial Court on March 22, 2012 at pp. 6 and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Province notes that although Wood P.C.J. did not have the authority to issue a declaration of the invalidity of child removal provisions, Wood P.C.J. was otherwise bound not to apply an unconstitutional law or act in an unconstitutional manner. The Province submits that the plaintiff parents did not raise any s. 7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claims in the presentation hearing, even though the Provincial Court would have had jurisdiction to consider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It is the position of the Province that while Wood P.C.J. was not required or even allowed to make determinations of fact, he nevertheless concluded that the removal of the children was lawful and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Moreover, the Province submits that since all of the issues raised on this civil action could have been raised before Wood P.C.J. at the presentation hearing (see written submission, at para. 62), the plaintiff parents are merely dressing up their claim as an issue concerning s.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and the actions of the director rather than the court orders. The very essence of the plaintiff parents' action, it is submitted, is an attempt to have a court re-hear and reconsider the evidence and issues before Wood P.C.J. at the presentation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It is the position of the Province that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orders were validly made and within the jurisdiction of the Provincial Court. The plaintiff parents should either bring a petition for judicial review, or proceed through the internal administrative review process provided for in s. 81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(which allows for an appeal of an order of the Provincial Court under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to the Supreme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Although the Province notes the limited availability of discretionary declaratory relief on judicial review, as stated in </w:t>
      </w:r>
      <w:r>
        <w:rPr>
          <w:rFonts w:ascii="arial" w:eastAsia="arial" w:hAnsi="arial" w:cs="arial"/>
          <w:i/>
          <w:color w:val="000000"/>
          <w:sz w:val="20"/>
          <w:lang w:val="en-US" w:eastAsia="en-US" w:bidi="ar-SA"/>
        </w:rPr>
        <w:t>E.B.</w:t>
      </w:r>
      <w:r>
        <w:rPr>
          <w:rFonts w:ascii="arial" w:eastAsia="arial" w:hAnsi="arial" w:cs="arial"/>
          <w:color w:val="000000"/>
          <w:sz w:val="20"/>
          <w:lang w:val="en-US" w:eastAsia="en-US" w:bidi="ar-SA"/>
        </w:rPr>
        <w:t>, the Province submits that the court in that case was not suggesting that potential parties should therefore proceed to seek a civil remedy through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With respect to the May 9, 2012 consent order, the Province submits that ss. 60(4) and (5) -- which allow for consent orders without admissions or findings of fact -- do not allow the plaintiff parents to bring a subsequent civil action to seek damages arising from the custody and supervised access consented to under that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Finally, the Province submits that the claim for damages for (1)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for separation from children; (2) costs of supervising access; and (3) legal costs, all flow from the orders regarding supervision and custody, not from any findings of fact.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ii.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Province also submits that the claim should be barred as being an abuse of process on the basis that the plaintiff parents are attempting to misuse this civil action to re-litigate matters that were already decided in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proceeding. Allowing the plaintiff parents to sue and seek a reconsideration of the same evidence before Wood P.C.J. would undermine child protection proceedings and the purposes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Moreover, the Province submits, in their reply argument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end result of the Plaintiff Parents' arguments at this hearing appears to be that every single parent who has had their children removed without the 20 principles of fundamental justice, such as an interview, being met prior to removal who had children returned without proceeding to a contested protection hearing, now has a claim for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even though they do not have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That, the Province argues, would bring the administration of justice into disrepute and is therefore an abuse of process.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Position of the Plaintiff Parents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 Collateral Attack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parents submit that the civil action is neither a collateral attack nor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parents argue that this claim is not a re-litigation of the matter before Wood P.C.J. Specifically, the plaintiff parents note that the basis for this civil action concerns matters -- whether the children were in need of protection and the appropriateness of the director's conduct -- which Wood P.C.J. did not have jurisdiction to consider given the limited scope of a presentation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Moreover, the plaintiff parents submit that, in light of ss. 60(4) and (5)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the consent ordered dated May 9, 2012 was entered into without a court finding that the children were in need of protection and without an admission of the grounds alleged by the director for their removal.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According to the plaintiff parents, the decision of Wood P.C.J. was not a finding that the director removed the children on reasonable grounds, nor was it a finding that the children were in need of protection. Rather, it was merely a finding that there was evidence which, if believed, could form reasonable grounds for the director to remove a child. As no finding of a need for protection was made at the presentation hearing, or on the consent order, it cannot be said that this claim seeks re-litigation of matters which were before the Provincial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plaintiff parents' response to the argument of the Province that they ought to have sought an appeal or judicial review of the orders made under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is that an appeal would be of no use given that the plaintiff parents agree with the test applied by Wood P.C.J., and the determinations he reached at the presentation hearing. The essence of the plaintiff parents' position is that Wood P.C.J. made a correct decision based on the unlawful actions of the Province -- actions which were beyond the authority of Wood P.C.J. to consider: see </w:t>
      </w:r>
      <w:r>
        <w:rPr>
          <w:rFonts w:ascii="arial" w:eastAsia="arial" w:hAnsi="arial" w:cs="arial"/>
          <w:i/>
          <w:color w:val="000000"/>
          <w:sz w:val="20"/>
          <w:lang w:val="en-US" w:eastAsia="en-US" w:bidi="ar-SA"/>
        </w:rPr>
        <w:t>E.B.</w:t>
      </w:r>
      <w:r>
        <w:rPr>
          <w:rFonts w:ascii="arial" w:eastAsia="arial" w:hAnsi="arial" w:cs="arial"/>
          <w:color w:val="000000"/>
          <w:sz w:val="20"/>
          <w:lang w:val="en-US" w:eastAsia="en-US" w:bidi="ar-SA"/>
        </w:rPr>
        <w:t>, at para. 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plaintiff parents note that judicial review would be of no use as the remedies available are insufficient. They argue that since a court, on judicial review, would be limited to an order of discretionary declaratory relief, there is the possibility that a court would simply decline to the hear matter entirely: see </w:t>
      </w:r>
      <w:r>
        <w:rPr>
          <w:rFonts w:ascii="arial" w:eastAsia="arial" w:hAnsi="arial" w:cs="arial"/>
          <w:i/>
          <w:color w:val="000000"/>
          <w:sz w:val="20"/>
          <w:lang w:val="en-US" w:eastAsia="en-US" w:bidi="ar-SA"/>
        </w:rPr>
        <w:t>E.B.</w:t>
      </w:r>
      <w:r>
        <w:rPr>
          <w:rFonts w:ascii="arial" w:eastAsia="arial" w:hAnsi="arial" w:cs="arial"/>
          <w:color w:val="000000"/>
          <w:sz w:val="20"/>
          <w:lang w:val="en-US" w:eastAsia="en-US" w:bidi="ar-SA"/>
        </w:rPr>
        <w:t>, at para. 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 parents also submit that the hallmarks of collateral attack are not present here. They note that both the interim custody order of Wood P.C.J. and the subsequent consent order have since expired and are of no present or future effect on the plaintiff parents. As such, it is submitted that there is no logical reason for the plaintiff parents to attempt to circumvent the effect of, invalidate, or render inoperative either order, and that accordingly, the argument of collateral attack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plaintiff parents therefore submit that all that remains is a civil action for constitutional damages -- a remedy recognized by the Supreme Court of Canada in </w:t>
      </w:r>
      <w:r>
        <w:rPr>
          <w:rFonts w:ascii="arial" w:eastAsia="arial" w:hAnsi="arial" w:cs="arial"/>
          <w:i/>
          <w:color w:val="000000"/>
          <w:sz w:val="20"/>
          <w:lang w:val="en-US" w:eastAsia="en-US" w:bidi="ar-SA"/>
        </w:rPr>
        <w:t>Vancouver (City) v. Ward</w:t>
      </w:r>
      <w:r>
        <w:rPr>
          <w:rFonts w:ascii="arial" w:eastAsia="arial" w:hAnsi="arial" w:cs="arial"/>
          <w:color w:val="000000"/>
          <w:sz w:val="20"/>
          <w:lang w:val="en-US" w:eastAsia="en-US" w:bidi="ar-SA"/>
        </w:rPr>
        <w:t xml:space="preserve">, </w:t>
      </w:r>
      <w:hyperlink r:id="rId614" w:history="1">
        <w:r>
          <w:rPr>
            <w:rFonts w:ascii="arial" w:eastAsia="arial" w:hAnsi="arial" w:cs="arial"/>
            <w:i/>
            <w:color w:val="0077CC"/>
            <w:sz w:val="20"/>
            <w:u w:val="single"/>
            <w:shd w:val="clear" w:color="auto" w:fill="FFFFFF"/>
            <w:lang w:val="en-US" w:eastAsia="en-US" w:bidi="ar-SA"/>
          </w:rPr>
          <w:t>2010 SCC 27</w:t>
        </w:r>
      </w:hyperlink>
      <w:r>
        <w:rPr>
          <w:rFonts w:ascii="arial" w:eastAsia="arial" w:hAnsi="arial" w:cs="arial"/>
          <w:color w:val="000000"/>
          <w:sz w:val="20"/>
          <w:lang w:val="en-US" w:eastAsia="en-US" w:bidi="ar-SA"/>
        </w:rPr>
        <w:t>. The plaintiff parents suggest that preventing this claim from proceeding would provide the director with immunity from scrutiny of its conduct in circumstances where a protection hearing does not occur. They submit the Province is trying to thwart a valid claim for constitutional damages by styling it a collateral attack.</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ii.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On the basis of the arguments earlier noted, the plaintiff parents submit that the issues raised in the present action have never been raised or decided in another proceeding, and that this action will have no impact on the finality or effect of the orders made under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Finally, the plaintiffs argue this action is neither unfair to the Province, nor does it bring the administration of justice in disrepute.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have concluded that the plaintiff parents' claim is neither a collateral attack on the decision of Wood P.C.J. nor an abuse of process. The applications to dismiss or strike on these grounds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my view, the plaintiff parents' claim is in regard to the conduct of the director in the director's investigation of allegations of harm and the ultimate decision made to remove the children from their parental home. Clearly, a judge at a presentation hearing does not have jurisdiction to make determinations on these issues and often, consent orders can be and are made without findings of fact or admissions of the grounds alleged by the director for removal. Accordingly, the claim in this action concerns matters and raises issues that have yet to be adjudicated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agree with the plaintiffs that neither an appeal under the act, or judicial review of the order of Wood P.C.J. or the consent order dated May 9, 2012, would be appropriate in the circumstances. The plaintiff parents do not dispute the reasoning invoked or conclusions reached. Moreover, the plaintiff parents seek damages, a remedy not available under either an appeal or on judicial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Furthermore, since the orders at issue have ceased to be of any effect, it cannot be argued that the plaintiff parents are attempting to circumvent the effect of, invalidate, or render inoperative an order of the Provincial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On the argument that their claim amounts to an abuse of process, I am of the view that the plaintiff parents are not merely seeking to use court resources in order to re-hear a previously litigated matter. As a consequence, I have concluded that to allow the claim to proceed would not bring the administration of justice into disrepute.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Finally, I note that the Province raises the concern that the plaintiff parents are dressing up an otherwise barred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 claim for constitutional damages on largely the same basis. Although I agree that if that were the case it is arguable the claim could be construed as one amounting to an abuse of process, I am unable to reach that conclusion. In their proposed amendments, the plaintiffs have deleted pleadings which go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And it is equally arguable that the claim as submitted by the plaintiffs, if dismissed, could immunize an administrative decision-maker from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scrutiny.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all of the circumstances, I am of the view that the argument of the Province that the claim be struck as an abuse of process has not been made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No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According to the Supreme Court of Canada in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980, the test governing R. 9-5(1)(a)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[A]ssuming that the facts as stated in the statement of claim can be proved, is it "plain and obvious" that the plaintiff's statement of claim discloses no reasonable cause of action? ... [I]f there is a chance that the plaintiff might succeed, then the plaintiff should not be "driven from the judgment seat". Neither the length and complexity of the issues, the novelty of the cause of action, nor the potential for the defendant to present a strong defence should prevent the plaintiff from proceeding with his or her case. Only if the action is certain to fail because it contains a radical defect ... should the relevant portions of a plaintiff's statement of claim be struck out under Rule 19(24)(a) [now, Rule 9-5(1)(a)].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599"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at para. 21, the Supreme Court of Canada restated the test as being "whether, assuming the facts pleaded are true, there is a reasonable prospect that the claim will succeed" and noted "[t]he approach must be generous and err on the side of permitting a novel but arguable claim to proceed to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Elements of Malmo-Levine Have Not Been Plead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Section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reads as follows:</w:t>
      </w:r>
      <w:r>
        <w:rPr>
          <w:rFonts w:ascii="arial" w:eastAsia="arial" w:hAnsi="arial" w:cs="arial"/>
          <w:sz w:val="20"/>
          <w:lang w:val="en-US" w:eastAsia="en-US" w:bidi="ar-SA"/>
        </w:rPr>
        <w:cr/>
      </w:r>
    </w:p>
    <w:p>
      <w:pPr>
        <w:numPr>
          <w:numId w:val="20"/>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Everyone has the right to life, liberty and security of the person and the right not to be deprived thereof except in accordance with the principles of fundamental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Section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requires a two-step analysis to determine whether legislation or other state action infringes that right:</w:t>
      </w:r>
      <w:r>
        <w:rPr>
          <w:rFonts w:ascii="arial" w:eastAsia="arial" w:hAnsi="arial" w:cs="arial"/>
          <w:sz w:val="20"/>
          <w:lang w:val="en-US" w:eastAsia="en-US" w:bidi="ar-SA"/>
        </w:rPr>
        <w:cr/>
      </w:r>
    </w:p>
    <w:p>
      <w:pPr>
        <w:numPr>
          <w:numId w:val="21"/>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an infringement of the right to life, liberty or security of the person?</w:t>
      </w:r>
    </w:p>
    <w:p>
      <w:pPr>
        <w:numPr>
          <w:numId w:val="22"/>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is the infringement contrary to the principles of fundamental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As stated in </w:t>
      </w:r>
      <w:r>
        <w:rPr>
          <w:rFonts w:ascii="arial" w:eastAsia="arial" w:hAnsi="arial" w:cs="arial"/>
          <w:i/>
          <w:color w:val="000000"/>
          <w:sz w:val="20"/>
          <w:lang w:val="en-US" w:eastAsia="en-US" w:bidi="ar-SA"/>
        </w:rPr>
        <w:t>R. v. Malmo-Levine</w:t>
      </w:r>
      <w:r>
        <w:rPr>
          <w:rFonts w:ascii="arial" w:eastAsia="arial" w:hAnsi="arial" w:cs="arial"/>
          <w:color w:val="000000"/>
          <w:sz w:val="20"/>
          <w:lang w:val="en-US" w:eastAsia="en-US" w:bidi="ar-SA"/>
        </w:rPr>
        <w:t xml:space="preserve">, </w:t>
      </w:r>
      <w:hyperlink r:id="rId615" w:history="1">
        <w:r>
          <w:rPr>
            <w:rFonts w:ascii="arial" w:eastAsia="arial" w:hAnsi="arial" w:cs="arial"/>
            <w:i/>
            <w:color w:val="0077CC"/>
            <w:sz w:val="20"/>
            <w:u w:val="single"/>
            <w:shd w:val="clear" w:color="auto" w:fill="FFFFFF"/>
            <w:lang w:val="en-US" w:eastAsia="en-US" w:bidi="ar-SA"/>
          </w:rPr>
          <w:t>2003 SCC 74</w:t>
        </w:r>
      </w:hyperlink>
      <w:r>
        <w:rPr>
          <w:rFonts w:ascii="arial" w:eastAsia="arial" w:hAnsi="arial" w:cs="arial"/>
          <w:color w:val="000000"/>
          <w:sz w:val="20"/>
          <w:lang w:val="en-US" w:eastAsia="en-US" w:bidi="ar-SA"/>
        </w:rPr>
        <w:t xml:space="preserve"> at para. 113, for a rule or principle to constitute a principle of fundamental justice it must be:</w:t>
      </w:r>
      <w:r>
        <w:rPr>
          <w:rFonts w:ascii="arial" w:eastAsia="arial" w:hAnsi="arial" w:cs="arial"/>
          <w:sz w:val="20"/>
          <w:lang w:val="en-US" w:eastAsia="en-US" w:bidi="ar-SA"/>
        </w:rPr>
        <w:cr/>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legal principle,</w:t>
      </w:r>
    </w:p>
    <w:p>
      <w:pPr>
        <w:numPr>
          <w:numId w:val="2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about which there is significant societal consensus that it is fundamental to the way in which the legal system ought to fairly operate, and</w:t>
      </w:r>
    </w:p>
    <w:p>
      <w:pPr>
        <w:numPr>
          <w:numId w:val="2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identified with sufficient precision to yield a manageable standard against which to measure deprivations of security of the person.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 Position of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Province agrees that the plaintiff parents' right to security of the person was engaged when the plaintiff parents' children were removed from their care. The only question is whether the removal was carried out in accordance with the principles of fundamental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Province argues that despite multiple amendments to the notice of civil claim, the plaintiff parents have failed to plead a principle of fundamental justice that not only meets the general criteria for a principle of fundamental justice but also would be a principle in the context of child protection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respect to further arguments of the Province, reference must be made to the plaintiffs' Draft Amendment to the notice of civil claim, Schedule "A", Part 3, paras. 6.1 and 6.3, which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 The right of the Plaintiffs' parents to be so protected includes the right to nurture the Plaintiff children, and the right to make fundamental choices, the right to personal liberty and autonomy and the right to psychological integrity for the themselves and the Plaintiff children, the particulars of which include the removal of the children from the nurture of their parents and the continuation of that nurture.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6.3 The duty owed to each of the Plaintiffs pursuant to section 7 of the </w:t>
      </w:r>
      <w:r>
        <w:rPr>
          <w:rFonts w:ascii="arial" w:eastAsia="arial" w:hAnsi="arial" w:cs="arial"/>
          <w:i/>
          <w:color w:val="000000"/>
          <w:sz w:val="20"/>
          <w:lang w:val="en-US" w:eastAsia="en-US" w:bidi="ar-SA"/>
        </w:rPr>
        <w:t>Charter of Rights</w:t>
      </w:r>
      <w:r>
        <w:rPr>
          <w:rFonts w:ascii="arial" w:eastAsia="arial" w:hAnsi="arial" w:cs="arial"/>
          <w:color w:val="000000"/>
          <w:sz w:val="20"/>
          <w:lang w:val="en-US" w:eastAsia="en-US" w:bidi="ar-SA"/>
        </w:rPr>
        <w:t xml:space="preserve"> includes the duty to act in accordance with the principles of natural justice, to act fairly, and in a procedurally fair manner, and to make impartial decisions, a duty to act in good faith and without oblique motive and not to act in an atmosphere of prejudice, or contrary to the cannons of decency and fairness and a duty not to act arbitrarily, the particulars of which include:</w:t>
      </w:r>
    </w:p>
    <w:p>
      <w:pPr>
        <w:numPr>
          <w:numId w:val="2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right not to have the Plaintiff children removed unless authorized by law</w:t>
      </w:r>
    </w:p>
    <w:p>
      <w:pPr>
        <w:numPr>
          <w:numId w:val="3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right to not have the Plaintiff children removed in an unfair manner or by biased agents of the state</w:t>
      </w:r>
    </w:p>
    <w:p>
      <w:pPr>
        <w:numPr>
          <w:numId w:val="3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right for there to be fair, unbiased and impartial or in the alternative unbiased investigation of the allegations prior to making a decision to remove the Plaintiff children</w:t>
      </w:r>
    </w:p>
    <w:p>
      <w:pPr>
        <w:numPr>
          <w:numId w:val="3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right to have the Defendant take fair and reasonable steps to ensure the Plaintiff children are not removed on the basis of false or unreliable allegations</w:t>
      </w:r>
    </w:p>
    <w:p>
      <w:pPr>
        <w:numPr>
          <w:numId w:val="3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right to not be remove arbitrarily on the basis of an uninvestigated and unsubstantiated allegation</w:t>
      </w:r>
    </w:p>
    <w:p>
      <w:pPr>
        <w:numPr>
          <w:numId w:val="4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right to have the allegations assessed in a fair or in the alternative, unbiased manner and in a process embodying procedural fairness</w:t>
      </w:r>
    </w:p>
    <w:p>
      <w:pPr>
        <w:numPr>
          <w:numId w:val="4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right of the Plaintiff parents to have the opportunity to be interviewed about an abuse allegation, to respond to that abuse allegation and to have their response and any other information they wish to provide fairly and impartially considered in an assessment of whether there were reasonable grounds to remove the Plaintiff children prior to any decision to remove the Plaintiff children except in exigent circumstances</w:t>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right to have information provided by the Plaintiff Parents fairly considered or in the alternative without bias and assessed, including information relating to the reliability and credibility of the allegations.</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ongoing right to have the Defendant reassess, fairly, whether, in light of any information provided by the Plaintiff Parents, the Defendants still had reasonable grounds to believe the Plaintiff children were in need of protection and whether the Plaintiff children could be adequately protected by less disruptive means if they were returned to the care of the Plaintiff parents, and not to refuse the return of the children arbitrarily.</w:t>
      </w:r>
    </w:p>
    <w:p>
      <w:pPr>
        <w:numPr>
          <w:numId w:val="4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right not to have removal or return decisions based on information that is dated, irrelevant, or false.</w:t>
      </w:r>
    </w:p>
    <w:p>
      <w:pPr>
        <w:numPr>
          <w:numId w:val="4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right to procedural fairness including:</w:t>
      </w:r>
    </w:p>
    <w:p>
      <w:pPr>
        <w:numPr>
          <w:numId w:val="4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right to prior notice that the decision-maker was considering making a decision to remove the Plaintiff children;</w:t>
      </w:r>
    </w:p>
    <w:p>
      <w:pPr>
        <w:numPr>
          <w:numId w:val="4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right to be advised of the allegations, the Defendant's concerns and the disclosure of the case to meet;</w:t>
      </w:r>
    </w:p>
    <w:p>
      <w:pPr>
        <w:numPr>
          <w:numId w:val="4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right to have a reasonable and meaningful opportunity to participate in the making of the decision to remove the Plaintiff children;</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right to an informal in-person oral hearing appropriate to the circumstances and the importance of the decision to the affect parties;</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right to present relevant evidence</w:t>
      </w:r>
    </w:p>
    <w:p>
      <w:pPr>
        <w:numPr>
          <w:numId w:val="5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right to make representations or submissions on their own behalf in relation to making the decision to remove the Plaintiff children</w:t>
      </w:r>
    </w:p>
    <w:p>
      <w:pPr>
        <w:numPr>
          <w:numId w:val="5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right to have the decision-maker disregard irrelevant evidence;</w:t>
      </w:r>
    </w:p>
    <w:p>
      <w:pPr>
        <w:numPr>
          <w:numId w:val="5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right to have the decision-maker not disregard relevant evidence</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right to have the decision-maker implement and follow a fair procedure;</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right to have a fair, impartial and unbiased decision-maker.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Province submits that the following pleading is not a principle of fundamental justice, and if it were, it is plain and obvious that the principle was upheld in the circumstances: Draft Amendment, Part 3, para. 6.3(a).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Province submits that the following pleadings do not meet the test laid out in </w:t>
      </w:r>
      <w:r>
        <w:rPr>
          <w:rFonts w:ascii="arial" w:eastAsia="arial" w:hAnsi="arial" w:cs="arial"/>
          <w:i/>
          <w:color w:val="000000"/>
          <w:sz w:val="20"/>
          <w:lang w:val="en-US" w:eastAsia="en-US" w:bidi="ar-SA"/>
        </w:rPr>
        <w:t>Malmo-Levine</w:t>
      </w:r>
      <w:r>
        <w:rPr>
          <w:rFonts w:ascii="arial" w:eastAsia="arial" w:hAnsi="arial" w:cs="arial"/>
          <w:color w:val="000000"/>
          <w:sz w:val="20"/>
          <w:lang w:val="en-US" w:eastAsia="en-US" w:bidi="ar-SA"/>
        </w:rPr>
        <w:t xml:space="preserve"> and do not describe principles of fundamental justice: Draft Amendment, Part 3, paras. 6.3(c), (e), (f), (g), (i), (j), (p), (r), and (s).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Province submits that the following pleadings delve into evidentiary issues discussed in </w:t>
      </w:r>
      <w:r>
        <w:rPr>
          <w:rFonts w:ascii="arial" w:eastAsia="arial" w:hAnsi="arial" w:cs="arial"/>
          <w:i/>
          <w:color w:val="000000"/>
          <w:sz w:val="20"/>
          <w:lang w:val="en-US" w:eastAsia="en-US" w:bidi="ar-SA"/>
        </w:rPr>
        <w:t>Winnipeg Child and Family Services v. K.L.W.</w:t>
      </w:r>
      <w:r>
        <w:rPr>
          <w:rFonts w:ascii="arial" w:eastAsia="arial" w:hAnsi="arial" w:cs="arial"/>
          <w:color w:val="000000"/>
          <w:sz w:val="20"/>
          <w:lang w:val="en-US" w:eastAsia="en-US" w:bidi="ar-SA"/>
        </w:rPr>
        <w:t xml:space="preserve">, </w:t>
      </w:r>
      <w:hyperlink r:id="rId616" w:history="1">
        <w:r>
          <w:rPr>
            <w:rFonts w:ascii="arial" w:eastAsia="arial" w:hAnsi="arial" w:cs="arial"/>
            <w:i/>
            <w:color w:val="0077CC"/>
            <w:sz w:val="20"/>
            <w:u w:val="single"/>
            <w:shd w:val="clear" w:color="auto" w:fill="FFFFFF"/>
            <w:lang w:val="en-US" w:eastAsia="en-US" w:bidi="ar-SA"/>
          </w:rPr>
          <w:t>2000 SCC 48</w:t>
        </w:r>
      </w:hyperlink>
      <w:r>
        <w:rPr>
          <w:rFonts w:ascii="arial" w:eastAsia="arial" w:hAnsi="arial" w:cs="arial"/>
          <w:color w:val="000000"/>
          <w:sz w:val="20"/>
          <w:lang w:val="en-US" w:eastAsia="en-US" w:bidi="ar-SA"/>
        </w:rPr>
        <w:t xml:space="preserve">, concerning the difficulties of evidence in child protection proceedings and is, on the basis of </w:t>
      </w:r>
      <w:r>
        <w:rPr>
          <w:rFonts w:ascii="arial" w:eastAsia="arial" w:hAnsi="arial" w:cs="arial"/>
          <w:i/>
          <w:color w:val="000000"/>
          <w:sz w:val="20"/>
          <w:lang w:val="en-US" w:eastAsia="en-US" w:bidi="ar-SA"/>
        </w:rPr>
        <w:t>K.L.W.</w:t>
      </w:r>
      <w:r>
        <w:rPr>
          <w:rFonts w:ascii="arial" w:eastAsia="arial" w:hAnsi="arial" w:cs="arial"/>
          <w:color w:val="000000"/>
          <w:sz w:val="20"/>
          <w:lang w:val="en-US" w:eastAsia="en-US" w:bidi="ar-SA"/>
        </w:rPr>
        <w:t xml:space="preserve"> not a principle of fundamental justice: Draft Amendment, Part 3, paras. 6.3(f), (g), and (s).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Province submits that the following pleadings describe principles of negligent investigation or negligent weighing of evidence, not principles of fundamental justice: Draft Amendment, Part 3, paras. 6.3(e), (f), (p), (r), and (s).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Province submits that the following pleadings are contrary to </w:t>
      </w:r>
      <w:r>
        <w:rPr>
          <w:rFonts w:ascii="arial" w:eastAsia="arial" w:hAnsi="arial" w:cs="arial"/>
          <w:i/>
          <w:color w:val="000000"/>
          <w:sz w:val="20"/>
          <w:lang w:val="en-US" w:eastAsia="en-US" w:bidi="ar-SA"/>
        </w:rPr>
        <w:t>K.L.W.</w:t>
      </w:r>
      <w:r>
        <w:rPr>
          <w:rFonts w:ascii="arial" w:eastAsia="arial" w:hAnsi="arial" w:cs="arial"/>
          <w:color w:val="000000"/>
          <w:sz w:val="20"/>
          <w:lang w:val="en-US" w:eastAsia="en-US" w:bidi="ar-SA"/>
        </w:rPr>
        <w:t>: Draft Amendment, Part 3, paras. 6.3(c), (i), and (j).</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ii. Position of the Plaintiff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 parents submit that the principle of fundamental justice they plead is the duty of procedural and substantive fairness, the content of which is particularized in Draft Amendment, Part 3, paras. 6.1 and 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plaintiff parents also say that each of the particulars enumerated in paras. 6.1 and 6.3 are rights which constitute principles of fundamental justice and which meet the three-part test in </w:t>
      </w:r>
      <w:r>
        <w:rPr>
          <w:rFonts w:ascii="arial" w:eastAsia="arial" w:hAnsi="arial" w:cs="arial"/>
          <w:i/>
          <w:color w:val="000000"/>
          <w:sz w:val="20"/>
          <w:lang w:val="en-US" w:eastAsia="en-US" w:bidi="ar-SA"/>
        </w:rPr>
        <w:t>Malmo-Levine</w:t>
      </w:r>
      <w:r>
        <w:rPr>
          <w:rFonts w:ascii="arial" w:eastAsia="arial" w:hAnsi="arial" w:cs="arial"/>
          <w:color w:val="000000"/>
          <w:sz w:val="20"/>
          <w:lang w:val="en-US" w:eastAsia="en-US" w:bidi="ar-SA"/>
        </w:rPr>
        <w:t>. The plaintiff parents further submit that any concerns the court may have in respect of the pleading of principles of fundamental justice, could be cured by further amendments to the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plaintiff parents assert that the duty to act fairly is at the basis of natural justice. The principle of fundamental justice in question is that there must be a measure of procedural fairness and a measure of unbiased and fair decision-making when the right to security of the person is engaged. The plaintiff parents say that this principle has long been accepted as having met the evidentiary requirements of the test in </w:t>
      </w:r>
      <w:r>
        <w:rPr>
          <w:rFonts w:ascii="arial" w:eastAsia="arial" w:hAnsi="arial" w:cs="arial"/>
          <w:i/>
          <w:color w:val="000000"/>
          <w:sz w:val="20"/>
          <w:lang w:val="en-US" w:eastAsia="en-US" w:bidi="ar-SA"/>
        </w:rPr>
        <w:t>Malmo-Levine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plaintiff parents rely on </w:t>
      </w:r>
      <w:r>
        <w:rPr>
          <w:rFonts w:ascii="arial" w:eastAsia="arial" w:hAnsi="arial" w:cs="arial"/>
          <w:i/>
          <w:color w:val="000000"/>
          <w:sz w:val="20"/>
          <w:lang w:val="en-US" w:eastAsia="en-US" w:bidi="ar-SA"/>
        </w:rPr>
        <w:t>Singh v. Canada (Minister of Employment and Immigration)</w:t>
      </w:r>
      <w:r>
        <w:rPr>
          <w:rFonts w:ascii="arial" w:eastAsia="arial" w:hAnsi="arial" w:cs="arial"/>
          <w:color w:val="000000"/>
          <w:sz w:val="20"/>
          <w:lang w:val="en-US" w:eastAsia="en-US" w:bidi="ar-SA"/>
        </w:rPr>
        <w:t xml:space="preserve">, </w:t>
      </w:r>
      <w:hyperlink r:id="rId617" w:history="1">
        <w:r>
          <w:rPr>
            <w:rFonts w:ascii="arial" w:eastAsia="arial" w:hAnsi="arial" w:cs="arial"/>
            <w:i/>
            <w:color w:val="0077CC"/>
            <w:sz w:val="20"/>
            <w:u w:val="single"/>
            <w:shd w:val="clear" w:color="auto" w:fill="FFFFFF"/>
            <w:lang w:val="en-US" w:eastAsia="en-US" w:bidi="ar-SA"/>
          </w:rPr>
          <w:t>[1985] 1 S.C.R. 177</w:t>
        </w:r>
      </w:hyperlink>
      <w:r>
        <w:rPr>
          <w:rFonts w:ascii="arial" w:eastAsia="arial" w:hAnsi="arial" w:cs="arial"/>
          <w:color w:val="000000"/>
          <w:sz w:val="20"/>
          <w:lang w:val="en-US" w:eastAsia="en-US" w:bidi="ar-SA"/>
        </w:rPr>
        <w:t xml:space="preserve">, for the proposition that fundamental justice includes, as a minimum, the notion of procedural fairness. The plaintiff parents assert that the tribunal in </w:t>
      </w:r>
      <w:r>
        <w:rPr>
          <w:rFonts w:ascii="arial" w:eastAsia="arial" w:hAnsi="arial" w:cs="arial"/>
          <w:i/>
          <w:color w:val="000000"/>
          <w:sz w:val="20"/>
          <w:lang w:val="en-US" w:eastAsia="en-US" w:bidi="ar-SA"/>
        </w:rPr>
        <w:t>Singh</w:t>
      </w:r>
      <w:r>
        <w:rPr>
          <w:rFonts w:ascii="arial" w:eastAsia="arial" w:hAnsi="arial" w:cs="arial"/>
          <w:color w:val="000000"/>
          <w:sz w:val="20"/>
          <w:lang w:val="en-US" w:eastAsia="en-US" w:bidi="ar-SA"/>
        </w:rPr>
        <w:t xml:space="preserve"> is similar to the director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as both are administrative decision-makers and that therefore the principle of fundamental justice contemplated in </w:t>
      </w:r>
      <w:r>
        <w:rPr>
          <w:rFonts w:ascii="arial" w:eastAsia="arial" w:hAnsi="arial" w:cs="arial"/>
          <w:i/>
          <w:color w:val="000000"/>
          <w:sz w:val="20"/>
          <w:lang w:val="en-US" w:eastAsia="en-US" w:bidi="ar-SA"/>
        </w:rPr>
        <w:t>Singh</w:t>
      </w:r>
      <w:r>
        <w:rPr>
          <w:rFonts w:ascii="arial" w:eastAsia="arial" w:hAnsi="arial" w:cs="arial"/>
          <w:color w:val="000000"/>
          <w:sz w:val="20"/>
          <w:lang w:val="en-US" w:eastAsia="en-US" w:bidi="ar-SA"/>
        </w:rPr>
        <w:t xml:space="preserve"> is applicable to the case at bar. Moreover, the plaintiff parents agree that procedural fairness may require different things in different contexts and that therefore it is for the court to determine, at trial, what the content of the pleaded principle of fundamental justice is in the particular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Moreover, the plaintiff submits that it is not necessary to plead the specific elements of </w:t>
      </w:r>
      <w:r>
        <w:rPr>
          <w:rFonts w:ascii="arial" w:eastAsia="arial" w:hAnsi="arial" w:cs="arial"/>
          <w:i/>
          <w:color w:val="000000"/>
          <w:sz w:val="20"/>
          <w:lang w:val="en-US" w:eastAsia="en-US" w:bidi="ar-SA"/>
        </w:rPr>
        <w:t>Malmo-Levine</w:t>
      </w:r>
      <w:r>
        <w:rPr>
          <w:rFonts w:ascii="arial" w:eastAsia="arial" w:hAnsi="arial" w:cs="arial"/>
          <w:color w:val="000000"/>
          <w:sz w:val="20"/>
          <w:lang w:val="en-US" w:eastAsia="en-US" w:bidi="ar-SA"/>
        </w:rPr>
        <w:t xml:space="preserve">. Rather, the plaintiff parents assert that the three-part test is of interpretive assistance and was necessary in </w:t>
      </w:r>
      <w:r>
        <w:rPr>
          <w:rFonts w:ascii="arial" w:eastAsia="arial" w:hAnsi="arial" w:cs="arial"/>
          <w:i/>
          <w:color w:val="000000"/>
          <w:sz w:val="20"/>
          <w:lang w:val="en-US" w:eastAsia="en-US" w:bidi="ar-SA"/>
        </w:rPr>
        <w:t>Malmo-Levine</w:t>
      </w:r>
      <w:r>
        <w:rPr>
          <w:rFonts w:ascii="arial" w:eastAsia="arial" w:hAnsi="arial" w:cs="arial"/>
          <w:color w:val="000000"/>
          <w:sz w:val="20"/>
          <w:lang w:val="en-US" w:eastAsia="en-US" w:bidi="ar-SA"/>
        </w:rPr>
        <w:t xml:space="preserve"> given the problematic nature of the proposed recognition of a "harm principle." This, it is argued, is contrasted from the case at bar which involves an already accepted principle of fundamental justice, the duty of procedural fairness.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iii.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 am of the view that the question of whether the duty of fairness meets the test in </w:t>
      </w:r>
      <w:r>
        <w:rPr>
          <w:rFonts w:ascii="arial" w:eastAsia="arial" w:hAnsi="arial" w:cs="arial"/>
          <w:i/>
          <w:color w:val="000000"/>
          <w:sz w:val="20"/>
          <w:lang w:val="en-US" w:eastAsia="en-US" w:bidi="ar-SA"/>
        </w:rPr>
        <w:t>Malmo-Levine</w:t>
      </w:r>
      <w:r>
        <w:rPr>
          <w:rFonts w:ascii="arial" w:eastAsia="arial" w:hAnsi="arial" w:cs="arial"/>
          <w:color w:val="000000"/>
          <w:sz w:val="20"/>
          <w:lang w:val="en-US" w:eastAsia="en-US" w:bidi="ar-SA"/>
        </w:rPr>
        <w:t xml:space="preserve"> is best left to be decided at trial if there is one, in the context of a full evidentiary record, rather than on an application to strike. The plaintiff parents note in their oral submission that it is anticipated that there will be evidence of societal consensus and manageability adduced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While I agree that the plaintiff parents' pleadings might have been drafted with greater clarification and less prolixity, having had the benefit of the plaintiff parents' written and oral submissions, I conclude it is not plain and obvious that the plaintiffs' claim discloses no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Finally, I note that to some degree I share the concern of the Province regarding lack of clarity on the question of whether the plaintiff parents are pleading a sole principle of fundamental justice -- the duty of procedural and substantial fairness, accompanied by a set of particulars which might form the content of that duty -- or whether the plaintiff parents are pleading a range of principles of fundamental justice, one of which is the duty of substantial fairness while others may be novel variations of that duty. However, I am satisfied that the plaintiffs' proposed further amendments would aid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On the proposed draft amendments to the amended notice of civil claim and given the possibility of further amendments as outlined in submissions before me, I am of the view that the plaintiff parents allege that the investigation and decision of the director infringed s. 7 in a manner that is contrary to the duty of fairness which, as noted in submissions, is a recognized principle of fundamental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As to whether or not the plaintiff parents are required to plead the constituent elements of the </w:t>
      </w:r>
      <w:r>
        <w:rPr>
          <w:rFonts w:ascii="arial" w:eastAsia="arial" w:hAnsi="arial" w:cs="arial"/>
          <w:i/>
          <w:color w:val="000000"/>
          <w:sz w:val="20"/>
          <w:lang w:val="en-US" w:eastAsia="en-US" w:bidi="ar-SA"/>
        </w:rPr>
        <w:t>Malmo-Levine</w:t>
      </w:r>
      <w:r>
        <w:rPr>
          <w:rFonts w:ascii="arial" w:eastAsia="arial" w:hAnsi="arial" w:cs="arial"/>
          <w:color w:val="000000"/>
          <w:sz w:val="20"/>
          <w:lang w:val="en-US" w:eastAsia="en-US" w:bidi="ar-SA"/>
        </w:rPr>
        <w:t xml:space="preserve"> test, I agree with the plaintiffs' submission that pleadings are meant to briefly state the legal basis on which the claim is proceeding and are not to include evidence. The principle pleaded is the duty of fairness, the context of which ought to be left to be determined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As well, it appears the plaintiffs also plead the material facts concerning the alleged infringement of s. 7 in Part 1 of the amended notice of civil claim. If the Province requires anything further, such requirements could presumably be met by further steps taken in accordance with the Rules, for example, an application for particulars or through the process of discovery, and that the pleadings are capable of amendment to correct deficiencies.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B. Whether </w:t>
      </w:r>
      <w:r>
        <w:rPr>
          <w:rFonts w:ascii="arial" w:eastAsia="arial" w:hAnsi="arial" w:cs="arial"/>
          <w:b/>
          <w:i/>
          <w:color w:val="000000"/>
          <w:sz w:val="20"/>
          <w:lang w:val="en-US" w:eastAsia="en-US" w:bidi="ar-SA"/>
        </w:rPr>
        <w:t>K.L.W.</w:t>
      </w:r>
      <w:r>
        <w:rPr>
          <w:rFonts w:ascii="arial" w:eastAsia="arial" w:hAnsi="arial" w:cs="arial"/>
          <w:b/>
          <w:color w:val="000000"/>
          <w:sz w:val="20"/>
          <w:lang w:val="en-US" w:eastAsia="en-US" w:bidi="ar-SA"/>
        </w:rPr>
        <w:t xml:space="preserve"> Bars the Plaintiff Parents'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issue in </w:t>
      </w:r>
      <w:r>
        <w:rPr>
          <w:rFonts w:ascii="arial" w:eastAsia="arial" w:hAnsi="arial" w:cs="arial"/>
          <w:i/>
          <w:color w:val="000000"/>
          <w:sz w:val="20"/>
          <w:lang w:val="en-US" w:eastAsia="en-US" w:bidi="ar-SA"/>
        </w:rPr>
        <w:t>K.L.W.</w:t>
      </w:r>
      <w:r>
        <w:rPr>
          <w:rFonts w:ascii="arial" w:eastAsia="arial" w:hAnsi="arial" w:cs="arial"/>
          <w:color w:val="000000"/>
          <w:sz w:val="20"/>
          <w:lang w:val="en-US" w:eastAsia="en-US" w:bidi="ar-SA"/>
        </w:rPr>
        <w:t xml:space="preserve"> concerned the constitutionality of child removal provisions in the Manitoba child-protection legislation. The claimant argued that a pre-apprehension </w:t>
      </w:r>
      <w:r>
        <w:rPr>
          <w:rFonts w:ascii="arial" w:eastAsia="arial" w:hAnsi="arial" w:cs="arial"/>
          <w:i/>
          <w:color w:val="000000"/>
          <w:sz w:val="20"/>
          <w:lang w:val="en-US" w:eastAsia="en-US" w:bidi="ar-SA"/>
        </w:rPr>
        <w:t>intra pares</w:t>
      </w:r>
      <w:r>
        <w:rPr>
          <w:rFonts w:ascii="arial" w:eastAsia="arial" w:hAnsi="arial" w:cs="arial"/>
          <w:color w:val="000000"/>
          <w:sz w:val="20"/>
          <w:lang w:val="en-US" w:eastAsia="en-US" w:bidi="ar-SA"/>
        </w:rPr>
        <w:t xml:space="preserve"> hearing was required in order to meet the minimum requirements of s.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The dissent would have held that a pre-apprehension </w:t>
      </w:r>
      <w:r>
        <w:rPr>
          <w:rFonts w:ascii="arial" w:eastAsia="arial" w:hAnsi="arial" w:cs="arial"/>
          <w:i/>
          <w:color w:val="000000"/>
          <w:sz w:val="20"/>
          <w:lang w:val="en-US" w:eastAsia="en-US" w:bidi="ar-SA"/>
        </w:rPr>
        <w:t>intra pares</w:t>
      </w:r>
      <w:r>
        <w:rPr>
          <w:rFonts w:ascii="arial" w:eastAsia="arial" w:hAnsi="arial" w:cs="arial"/>
          <w:color w:val="000000"/>
          <w:sz w:val="20"/>
          <w:lang w:val="en-US" w:eastAsia="en-US" w:bidi="ar-SA"/>
        </w:rPr>
        <w:t xml:space="preserve"> hearing was untenable, but that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judicial authorization should be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 majority found that in the child-protection context, the warrantless apprehension of a child in non-emergency situations would not offend the principles of fundamental justice so long as there was a fair and prompt post-apprehension hearing to determine whether or not the child required protection. Fairness here required that the parents receive reasonable notice of the hearing, are provided with particulars, and that the hearing be based on a more complete record in an adversarial forum: see </w:t>
      </w:r>
      <w:r>
        <w:rPr>
          <w:rFonts w:ascii="arial" w:eastAsia="arial" w:hAnsi="arial" w:cs="arial"/>
          <w:i/>
          <w:color w:val="000000"/>
          <w:sz w:val="20"/>
          <w:lang w:val="en-US" w:eastAsia="en-US" w:bidi="ar-SA"/>
        </w:rPr>
        <w:t>K.L.W.</w:t>
      </w:r>
      <w:r>
        <w:rPr>
          <w:rFonts w:ascii="arial" w:eastAsia="arial" w:hAnsi="arial" w:cs="arial"/>
          <w:color w:val="000000"/>
          <w:sz w:val="20"/>
          <w:lang w:val="en-US" w:eastAsia="en-US" w:bidi="ar-SA"/>
        </w:rPr>
        <w:t xml:space="preserve"> at para. 116.</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 Position of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As noted above, the Province argues that many of the pleaded principles of fundamental justice in the Draft Amendment are inconsistent with </w:t>
      </w:r>
      <w:r>
        <w:rPr>
          <w:rFonts w:ascii="arial" w:eastAsia="arial" w:hAnsi="arial" w:cs="arial"/>
          <w:i/>
          <w:color w:val="000000"/>
          <w:sz w:val="20"/>
          <w:lang w:val="en-US" w:eastAsia="en-US" w:bidi="ar-SA"/>
        </w:rPr>
        <w:t>K.L.W.</w:t>
      </w:r>
      <w:r>
        <w:rPr>
          <w:rFonts w:ascii="arial" w:eastAsia="arial" w:hAnsi="arial" w:cs="arial"/>
          <w:color w:val="000000"/>
          <w:sz w:val="20"/>
          <w:lang w:val="en-US" w:eastAsia="en-US" w:bidi="ar-SA"/>
        </w:rPr>
        <w:t xml:space="preserve"> and that because the child protection schemes in British Columbia and Manitoba are so similar, the plaintiff parents' argument is bound to fail. For the same reasons, the Province further suggests that if the plaintiff parents were to challenge the constitutionality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which it is agreed the plaintiff parents are not doing, such a challenge would nevertheless be bound to fail given the ruling in </w:t>
      </w:r>
      <w:r>
        <w:rPr>
          <w:rFonts w:ascii="arial" w:eastAsia="arial" w:hAnsi="arial" w:cs="arial"/>
          <w:i/>
          <w:color w:val="000000"/>
          <w:sz w:val="20"/>
          <w:lang w:val="en-US" w:eastAsia="en-US" w:bidi="ar-SA"/>
        </w:rPr>
        <w:t>K.L.W.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The Province submits that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requires that a post-apprehension hearing must follow warrantless apprehensions in non-emergency circumstances. Moreover, they submit that when the director removes a child, particulars are provided to the parents through "Form A" as prescribed by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and that parents will have an opportunity to be represented at the presentation hearing, to cross-examine the social worker -- acting on the authority of the director -- who affected the removal and who prepared the Form A report. They submit that this meets the minimum requirements of s.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 Province argues that the main thrust of plaintiff parents' argument as identified through the principles pleaded in Draft Amendment, Part 3, para. 6.3, is the plaintiff parents ought to have been afforded pre-removal procedural rights which even the dissent in </w:t>
      </w:r>
      <w:r>
        <w:rPr>
          <w:rFonts w:ascii="arial" w:eastAsia="arial" w:hAnsi="arial" w:cs="arial"/>
          <w:i/>
          <w:color w:val="000000"/>
          <w:sz w:val="20"/>
          <w:lang w:val="en-US" w:eastAsia="en-US" w:bidi="ar-SA"/>
        </w:rPr>
        <w:t>K.L.W.</w:t>
      </w:r>
      <w:r>
        <w:rPr>
          <w:rFonts w:ascii="arial" w:eastAsia="arial" w:hAnsi="arial" w:cs="arial"/>
          <w:color w:val="000000"/>
          <w:sz w:val="20"/>
          <w:lang w:val="en-US" w:eastAsia="en-US" w:bidi="ar-SA"/>
        </w:rPr>
        <w:t xml:space="preserve"> was unwilling to mandate. As such, the Province submits that the plaintiff parents' claim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The Province notes in their reply argument that they now understand the plaintiff parents' argument to be that if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does not meet the minimum requirements of s. 7, it therefore falls to the director to act in a quasi-judicial role. The Province argues that according to </w:t>
      </w:r>
      <w:r>
        <w:rPr>
          <w:rFonts w:ascii="arial" w:eastAsia="arial" w:hAnsi="arial" w:cs="arial"/>
          <w:i/>
          <w:color w:val="000000"/>
          <w:sz w:val="20"/>
          <w:lang w:val="en-US" w:eastAsia="en-US" w:bidi="ar-SA"/>
        </w:rPr>
        <w:t>P.E. v. Nunavut (Director of Child and Family Services)</w:t>
      </w:r>
      <w:r>
        <w:rPr>
          <w:rFonts w:ascii="arial" w:eastAsia="arial" w:hAnsi="arial" w:cs="arial"/>
          <w:color w:val="000000"/>
          <w:sz w:val="20"/>
          <w:lang w:val="en-US" w:eastAsia="en-US" w:bidi="ar-SA"/>
        </w:rPr>
        <w:t xml:space="preserve">, </w:t>
      </w:r>
      <w:hyperlink r:id="rId618" w:history="1">
        <w:r>
          <w:rPr>
            <w:rFonts w:ascii="arial" w:eastAsia="arial" w:hAnsi="arial" w:cs="arial"/>
            <w:i/>
            <w:color w:val="0077CC"/>
            <w:sz w:val="20"/>
            <w:u w:val="single"/>
            <w:shd w:val="clear" w:color="auto" w:fill="FFFFFF"/>
            <w:lang w:val="en-US" w:eastAsia="en-US" w:bidi="ar-SA"/>
          </w:rPr>
          <w:t>2010 NUCJ 24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Manitoba (Director of Child and Family Services) v. H.H. and C.G.</w:t>
      </w:r>
      <w:r>
        <w:rPr>
          <w:rFonts w:ascii="arial" w:eastAsia="arial" w:hAnsi="arial" w:cs="arial"/>
          <w:color w:val="000000"/>
          <w:sz w:val="20"/>
          <w:lang w:val="en-US" w:eastAsia="en-US" w:bidi="ar-SA"/>
        </w:rPr>
        <w:t xml:space="preserve">, </w:t>
      </w:r>
      <w:hyperlink r:id="rId619" w:history="1">
        <w:r>
          <w:rPr>
            <w:rFonts w:ascii="arial" w:eastAsia="arial" w:hAnsi="arial" w:cs="arial"/>
            <w:i/>
            <w:color w:val="0077CC"/>
            <w:sz w:val="20"/>
            <w:u w:val="single"/>
            <w:shd w:val="clear" w:color="auto" w:fill="FFFFFF"/>
            <w:lang w:val="en-US" w:eastAsia="en-US" w:bidi="ar-SA"/>
          </w:rPr>
          <w:t>2016 MBQB 138</w:t>
        </w:r>
      </w:hyperlink>
      <w:r>
        <w:rPr>
          <w:rFonts w:ascii="arial" w:eastAsia="arial" w:hAnsi="arial" w:cs="arial"/>
          <w:color w:val="000000"/>
          <w:sz w:val="20"/>
          <w:lang w:val="en-US" w:eastAsia="en-US" w:bidi="ar-SA"/>
        </w:rPr>
        <w:t xml:space="preserve">, a s. 7 breach in either the legislation or the process before the Provincial Court does not retroactively put additional pre-removal obligations on the director. Instead of imposing a quasi-judicial role on the director,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 requires the legislature fix the post-apprehension process.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ii. Position of the Plaintiff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The plaintiff parents submit that the outcome reached in </w:t>
      </w:r>
      <w:r>
        <w:rPr>
          <w:rFonts w:ascii="arial" w:eastAsia="arial" w:hAnsi="arial" w:cs="arial"/>
          <w:i/>
          <w:color w:val="000000"/>
          <w:sz w:val="20"/>
          <w:lang w:val="en-US" w:eastAsia="en-US" w:bidi="ar-SA"/>
        </w:rPr>
        <w:t>K.L.W.</w:t>
      </w:r>
      <w:r>
        <w:rPr>
          <w:rFonts w:ascii="arial" w:eastAsia="arial" w:hAnsi="arial" w:cs="arial"/>
          <w:color w:val="000000"/>
          <w:sz w:val="20"/>
          <w:lang w:val="en-US" w:eastAsia="en-US" w:bidi="ar-SA"/>
        </w:rPr>
        <w:t xml:space="preserve"> is distinguishable from the circumstances of this matter. Primarily, the plaintiff parents argue that </w:t>
      </w:r>
      <w:r>
        <w:rPr>
          <w:rFonts w:ascii="arial" w:eastAsia="arial" w:hAnsi="arial" w:cs="arial"/>
          <w:i/>
          <w:color w:val="000000"/>
          <w:sz w:val="20"/>
          <w:lang w:val="en-US" w:eastAsia="en-US" w:bidi="ar-SA"/>
        </w:rPr>
        <w:t>K.L.W.</w:t>
      </w:r>
      <w:r>
        <w:rPr>
          <w:rFonts w:ascii="arial" w:eastAsia="arial" w:hAnsi="arial" w:cs="arial"/>
          <w:color w:val="000000"/>
          <w:sz w:val="20"/>
          <w:lang w:val="en-US" w:eastAsia="en-US" w:bidi="ar-SA"/>
        </w:rPr>
        <w:t xml:space="preserve"> involves a constitutional challenge to the child protection scheme in Manitoba, whereas the present matter concerns a claim for constitutional damages against the director of the, materially different, child protection scheme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K.L.W.</w:t>
      </w:r>
      <w:r>
        <w:rPr>
          <w:rFonts w:ascii="arial" w:eastAsia="arial" w:hAnsi="arial" w:cs="arial"/>
          <w:color w:val="000000"/>
          <w:sz w:val="20"/>
          <w:lang w:val="en-US" w:eastAsia="en-US" w:bidi="ar-SA"/>
        </w:rPr>
        <w:t xml:space="preserve"> notes at paras. 116 and 122-23 that "the seriousness of the interests at stake demands that the resulting disruption of the child-parent relationship be minimized as much as possible by a fair and prompt post-apprehension hearing" and that "[i]n order to be fair, the hearing must involve reasonable notice with particulars to the parent, as well as an opportunity for them to participate meaningfully in the proceedings." The court contemplated that this hearing would determine whether a child is in need of protection based on a more complete record in an adversarial forum.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On this basis, the Supreme Court of Canada concluded that the scheme in Manitoba met the minimum requirements of s. 7. The plaintiff parents argue that, unlike in </w:t>
      </w:r>
      <w:r>
        <w:rPr>
          <w:rFonts w:ascii="arial" w:eastAsia="arial" w:hAnsi="arial" w:cs="arial"/>
          <w:i/>
          <w:color w:val="000000"/>
          <w:sz w:val="20"/>
          <w:lang w:val="en-US" w:eastAsia="en-US" w:bidi="ar-SA"/>
        </w:rPr>
        <w:t>K.L.W.</w:t>
      </w:r>
      <w:r>
        <w:rPr>
          <w:rFonts w:ascii="arial" w:eastAsia="arial" w:hAnsi="arial" w:cs="arial"/>
          <w:color w:val="000000"/>
          <w:sz w:val="20"/>
          <w:lang w:val="en-US" w:eastAsia="en-US" w:bidi="ar-SA"/>
        </w:rPr>
        <w:t>, the scheme in British Columbia does not meet the minimum requirements of s. 7 on the basis that it is not until the protection hearing -- which might not be scheduled for a month and a half after the removal -- that a determination is actually made as to whether the child is in need of protection.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Accordingly, the overall argument of the plaintiff parents is that their s. 7 rights were engaged at the moment that there was a consideration by the director to infringe those rights vis-à-vis the removal of the plaintiff parents' children. As the post-apprehension process does not meet the minimum requirements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it therefore falls to the director to act with judicial temperance in considering and investigating removal and s. 7 must to be applied in its full force to the decisions of the director. The director cannot look to the post-apprehension process under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as a defence.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iii.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When </w:t>
      </w:r>
      <w:r>
        <w:rPr>
          <w:rFonts w:ascii="arial" w:eastAsia="arial" w:hAnsi="arial" w:cs="arial"/>
          <w:i/>
          <w:color w:val="000000"/>
          <w:sz w:val="20"/>
          <w:lang w:val="en-US" w:eastAsia="en-US" w:bidi="ar-SA"/>
        </w:rPr>
        <w:t>K.L.W.</w:t>
      </w:r>
      <w:r>
        <w:rPr>
          <w:rFonts w:ascii="arial" w:eastAsia="arial" w:hAnsi="arial" w:cs="arial"/>
          <w:color w:val="000000"/>
          <w:sz w:val="20"/>
          <w:lang w:val="en-US" w:eastAsia="en-US" w:bidi="ar-SA"/>
        </w:rPr>
        <w:t xml:space="preserve"> was decided, the child removal provisions under the </w:t>
      </w:r>
      <w:r>
        <w:rPr>
          <w:rFonts w:ascii="arial" w:eastAsia="arial" w:hAnsi="arial" w:cs="arial"/>
          <w:i/>
          <w:color w:val="000000"/>
          <w:sz w:val="20"/>
          <w:lang w:val="en-US" w:eastAsia="en-US" w:bidi="ar-SA"/>
        </w:rPr>
        <w:t>Child and Family Services Act</w:t>
      </w:r>
      <w:r>
        <w:rPr>
          <w:rFonts w:ascii="arial" w:eastAsia="arial" w:hAnsi="arial" w:cs="arial"/>
          <w:color w:val="000000"/>
          <w:sz w:val="20"/>
          <w:lang w:val="en-US" w:eastAsia="en-US" w:bidi="ar-SA"/>
        </w:rPr>
        <w:t>, S.M. 1985-86, c. 8, operated as follows:</w:t>
      </w:r>
      <w:r>
        <w:rPr>
          <w:rFonts w:ascii="arial" w:eastAsia="arial" w:hAnsi="arial" w:cs="arial"/>
          <w:sz w:val="20"/>
          <w:lang w:val="en-US" w:eastAsia="en-US" w:bidi="ar-SA"/>
        </w:rPr>
        <w:cr/>
      </w:r>
    </w:p>
    <w:p>
      <w:pPr>
        <w:numPr>
          <w:numId w:val="5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warrantless apprehension was authorized when the director had reasonable and probable grounds to believe that a child was in need of protection (s. 21(1)).</w:t>
      </w:r>
    </w:p>
    <w:p>
      <w:pPr>
        <w:numPr>
          <w:numId w:val="5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4 juridical days of the apprehension, the director was required to make an application for a hearing to determine whether the child was in need of protection (s. 27(1)).</w:t>
      </w:r>
    </w:p>
    <w:p>
      <w:pPr>
        <w:numPr>
          <w:numId w:val="5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application for a hearing had to be returned within 7 juridical days of being filed (s. 29(1)).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Therefore, under the legislative scheme before the court in </w:t>
      </w:r>
      <w:r>
        <w:rPr>
          <w:rFonts w:ascii="arial" w:eastAsia="arial" w:hAnsi="arial" w:cs="arial"/>
          <w:i/>
          <w:color w:val="000000"/>
          <w:sz w:val="20"/>
          <w:lang w:val="en-US" w:eastAsia="en-US" w:bidi="ar-SA"/>
        </w:rPr>
        <w:t>K.L.W.</w:t>
      </w:r>
      <w:r>
        <w:rPr>
          <w:rFonts w:ascii="arial" w:eastAsia="arial" w:hAnsi="arial" w:cs="arial"/>
          <w:color w:val="000000"/>
          <w:sz w:val="20"/>
          <w:lang w:val="en-US" w:eastAsia="en-US" w:bidi="ar-SA"/>
        </w:rPr>
        <w:t>, an adversarial hearing was required within approximately two weeks of apprehension where a finding would be made as to whether or not the child was in need of protection.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The parallel scheme in British Columbia, under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differs materially. The BC scheme operates as follows:</w:t>
      </w:r>
      <w:r>
        <w:rPr>
          <w:rFonts w:ascii="arial" w:eastAsia="arial" w:hAnsi="arial" w:cs="arial"/>
          <w:sz w:val="20"/>
          <w:lang w:val="en-US" w:eastAsia="en-US" w:bidi="ar-SA"/>
        </w:rPr>
        <w:cr/>
      </w:r>
    </w:p>
    <w:p>
      <w:pPr>
        <w:numPr>
          <w:numId w:val="6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warrantless apprehension is authorized when the director has reasonable grounds to believe that the child needs protection (s. 30).</w:t>
      </w:r>
    </w:p>
    <w:p>
      <w:pPr>
        <w:numPr>
          <w:numId w:val="6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director must then attend a presentation hearing no later than 7 days after the day a child is removed (s. 34).</w:t>
      </w:r>
    </w:p>
    <w:p>
      <w:pPr>
        <w:numPr>
          <w:numId w:val="6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a presentation hearing, the trial judge does not determine whether or not a child is need of protection, but is required to determine whether there is admissible evidence which, if believed, could lead to a finding that the child was in need of protection.</w:t>
      </w:r>
    </w:p>
    <w:p>
      <w:pPr>
        <w:numPr>
          <w:numId w:val="6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the presentation hearing stage, a judge must resolve any conflict in the evidence in favour of the director and not make any findings of credibility: </w:t>
      </w:r>
      <w:r>
        <w:rPr>
          <w:rFonts w:ascii="arial" w:eastAsia="arial" w:hAnsi="arial" w:cs="arial"/>
          <w:i/>
          <w:color w:val="000000"/>
          <w:sz w:val="20"/>
          <w:lang w:val="en-US" w:eastAsia="en-US" w:bidi="ar-SA"/>
        </w:rPr>
        <w:t>British Columbia (Director, Child, Family and Community Services) v. J.C.</w:t>
      </w:r>
      <w:r>
        <w:rPr>
          <w:rFonts w:ascii="arial" w:eastAsia="arial" w:hAnsi="arial" w:cs="arial"/>
          <w:color w:val="000000"/>
          <w:sz w:val="20"/>
          <w:lang w:val="en-US" w:eastAsia="en-US" w:bidi="ar-SA"/>
        </w:rPr>
        <w:t xml:space="preserve">, </w:t>
      </w:r>
      <w:hyperlink r:id="rId620" w:history="1">
        <w:r>
          <w:rPr>
            <w:rFonts w:ascii="arial" w:eastAsia="arial" w:hAnsi="arial" w:cs="arial"/>
            <w:i/>
            <w:color w:val="0077CC"/>
            <w:sz w:val="20"/>
            <w:u w:val="single"/>
            <w:shd w:val="clear" w:color="auto" w:fill="FFFFFF"/>
            <w:lang w:val="en-US" w:eastAsia="en-US" w:bidi="ar-SA"/>
          </w:rPr>
          <w:t>2014 BCSC 496</w:t>
        </w:r>
      </w:hyperlink>
      <w:r>
        <w:rPr>
          <w:rFonts w:ascii="arial" w:eastAsia="arial" w:hAnsi="arial" w:cs="arial"/>
          <w:color w:val="000000"/>
          <w:sz w:val="20"/>
          <w:lang w:val="en-US" w:eastAsia="en-US" w:bidi="ar-SA"/>
        </w:rPr>
        <w:t xml:space="preserve"> at paras. 21-22.</w:t>
      </w:r>
    </w:p>
    <w:p>
      <w:pPr>
        <w:numPr>
          <w:numId w:val="6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conclusion of a presentation hearing, the court must then set the "the earliest possible date for a hearing to determine if the child needs protection" which "must not be more than 45 days after the conclusion of the presentation hearing" (ss. 37(1) and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Wood P.C.J. notes that "there is a statutory time or date by which [a protection hearing] must begin ... [b]ut the practical reality which we all live with is that nothing will happen on that date, unless some magic intervenes to provide the kind of window that would enable this matter to be heard completely" (Reasons for Judgment, Presentation Hearing, March 30, 2012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On this application, and considering the limited view of the action I have at this stage, I generally agree with the position of the plaintiff parents regarding the application of </w:t>
      </w:r>
      <w:r>
        <w:rPr>
          <w:rFonts w:ascii="arial" w:eastAsia="arial" w:hAnsi="arial" w:cs="arial"/>
          <w:i/>
          <w:color w:val="000000"/>
          <w:sz w:val="20"/>
          <w:lang w:val="en-US" w:eastAsia="en-US" w:bidi="ar-SA"/>
        </w:rPr>
        <w:t>K.L.W.</w:t>
      </w:r>
      <w:r>
        <w:rPr>
          <w:rFonts w:ascii="arial" w:eastAsia="arial" w:hAnsi="arial" w:cs="arial"/>
          <w:color w:val="000000"/>
          <w:sz w:val="20"/>
          <w:lang w:val="en-US" w:eastAsia="en-US" w:bidi="ar-SA"/>
        </w:rPr>
        <w:t xml:space="preserve"> to the case at bar. Whether </w:t>
      </w:r>
      <w:r>
        <w:rPr>
          <w:rFonts w:ascii="arial" w:eastAsia="arial" w:hAnsi="arial" w:cs="arial"/>
          <w:i/>
          <w:color w:val="000000"/>
          <w:sz w:val="20"/>
          <w:lang w:val="en-US" w:eastAsia="en-US" w:bidi="ar-SA"/>
        </w:rPr>
        <w:t>K.L.W.</w:t>
      </w:r>
      <w:r>
        <w:rPr>
          <w:rFonts w:ascii="arial" w:eastAsia="arial" w:hAnsi="arial" w:cs="arial"/>
          <w:color w:val="000000"/>
          <w:sz w:val="20"/>
          <w:lang w:val="en-US" w:eastAsia="en-US" w:bidi="ar-SA"/>
        </w:rPr>
        <w:t xml:space="preserve"> will ultimately defeat the claim of the plaintiff parents, is a matter to be determined at trial, not on an application to strike. The test on an application to strike is whether the plaintiffs' case as pled is bound to fail or whether proposed amendments could salvage an otherwise questionable case. I am not persuaded that it is plain and obvious that, in light of </w:t>
      </w:r>
      <w:r>
        <w:rPr>
          <w:rFonts w:ascii="arial" w:eastAsia="arial" w:hAnsi="arial" w:cs="arial"/>
          <w:i/>
          <w:color w:val="000000"/>
          <w:sz w:val="20"/>
          <w:lang w:val="en-US" w:eastAsia="en-US" w:bidi="ar-SA"/>
        </w:rPr>
        <w:t>K.L.W.</w:t>
      </w:r>
      <w:r>
        <w:rPr>
          <w:rFonts w:ascii="arial" w:eastAsia="arial" w:hAnsi="arial" w:cs="arial"/>
          <w:color w:val="000000"/>
          <w:sz w:val="20"/>
          <w:lang w:val="en-US" w:eastAsia="en-US" w:bidi="ar-SA"/>
        </w:rPr>
        <w:t>, the plaintiffs' claim discloses no reasonable cause of action such that the plaintiff parents' should be barred from taking further steps.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Accordingly, the application of the Province to strike on this basis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Unnecessary, Scandalous, or Vexatious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Province is also seeking to strike or dismiss the plaintiff parents' pleadings on the basis that their claim is unnecessary, scandalous, or vexatious pursuant to Rule 9-5(1)(b).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For the reasons provided above, and in light of the analysis in </w:t>
      </w:r>
      <w:r>
        <w:rPr>
          <w:rFonts w:ascii="arial" w:eastAsia="arial" w:hAnsi="arial" w:cs="arial"/>
          <w:i/>
          <w:color w:val="000000"/>
          <w:sz w:val="20"/>
          <w:lang w:val="en-US" w:eastAsia="en-US" w:bidi="ar-SA"/>
        </w:rPr>
        <w:t>Mohebbi</w:t>
      </w:r>
      <w:r>
        <w:rPr>
          <w:rFonts w:ascii="arial" w:eastAsia="arial" w:hAnsi="arial" w:cs="arial"/>
          <w:color w:val="000000"/>
          <w:sz w:val="20"/>
          <w:lang w:val="en-US" w:eastAsia="en-US" w:bidi="ar-SA"/>
        </w:rPr>
        <w:t xml:space="preserve">, as quoted in </w:t>
      </w:r>
      <w:r>
        <w:rPr>
          <w:rFonts w:ascii="arial" w:eastAsia="arial" w:hAnsi="arial" w:cs="arial"/>
          <w:i/>
          <w:color w:val="000000"/>
          <w:sz w:val="20"/>
          <w:lang w:val="en-US" w:eastAsia="en-US" w:bidi="ar-SA"/>
        </w:rPr>
        <w:t>Berthin</w:t>
      </w:r>
      <w:r>
        <w:rPr>
          <w:rFonts w:ascii="arial" w:eastAsia="arial" w:hAnsi="arial" w:cs="arial"/>
          <w:color w:val="000000"/>
          <w:sz w:val="20"/>
          <w:lang w:val="en-US" w:eastAsia="en-US" w:bidi="ar-SA"/>
        </w:rPr>
        <w:t>, I conclude that the claim pled by the plaintiff parents is not unnecessary, scandalous, or vexatious.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Province's application to strike or dismiss on this basis must also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Declaratory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Finally, the Province argues that the declarations sought in Part 2, para. 1(a), (b), (c) and (d) of the Draft Amendment ought to be struck as being inappropriate, vague, of no utility (given that declarations cannot invalidate court orders), as not pertaining to legal rights, and because the plaintiff parents failed to pursue and exhaust internal review processes.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plaintiff parents reiterate that the content of the declarations sought differ from the findings, if any, arising from the orders made in the child removal proceedings. The gist of their argument is that the only finding made was that there was sufficient evidence which, if believed, could form reasonable grounds for the director to remove a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Having considered the parties' positions, I am prepared, on this application, to strike paras. 1(a), (b), and (c) of Part 2 of the amended notice of civil claim as vague, overlapping variations of the same theme and therefore unnecessary. However, I am not prepared to strike para. 1(d) on the arguments advanced by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Subject to para. 106 above, the application of the Province to dismiss or strike is dismissed. The parties are at liberty to argue the matter of costs if they wish.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J.L. DORGAN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6" style="position:absolute;z-index:2518886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21"/>
          <w:headerReference w:type="default" r:id="rId622"/>
          <w:footerReference w:type="even" r:id="rId623"/>
          <w:footerReference w:type="default" r:id="rId624"/>
          <w:headerReference w:type="first" r:id="rId625"/>
          <w:footerReference w:type="first" r:id="rId62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27" w:history="1">
        <w:r>
          <w:rPr>
            <w:rFonts w:ascii="arial" w:eastAsia="arial" w:hAnsi="arial" w:cs="arial"/>
            <w:b/>
            <w:bCs/>
            <w:i/>
            <w:color w:val="0077CC"/>
            <w:kern w:val="32"/>
            <w:sz w:val="28"/>
            <w:szCs w:val="32"/>
            <w:u w:val="single"/>
            <w:shd w:val="clear" w:color="auto" w:fill="FFFFFF"/>
            <w:lang w:val="en-US" w:eastAsia="en-US" w:bidi="ar-SA"/>
          </w:rPr>
          <w:t>Raju v. Kumar, [2006] B.C.J. No. 630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E.R.A. Edwards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31 and February 1,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16,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S78997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630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439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265 D.L.R. (4th) 632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26 R.F.L. (6th) 451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147 A.C.W.S. (3d) 418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CarswellBC 666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Madhavi Raju, plaintiff, and Rajendra Kumar,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7" style="position:absolute;z-index:2516899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2" w:name="Keywords_30"/>
      <w:bookmarkEnd w:id="202"/>
      <w:r>
        <w:rPr>
          <w:rFonts w:ascii="arial" w:eastAsia="arial" w:hAnsi="arial" w:cs="arial"/>
          <w:b/>
          <w:color w:val="000000"/>
          <w:sz w:val="20"/>
          <w:lang w:val="en-US" w:eastAsia="en-US" w:bidi="ar-SA"/>
        </w:rPr>
        <w:t>Damages — Psychological injuries — Emotional distress — Wife awarded damages for husband's misrepresentations inducing her to marry him — Special damage award limited to those expenses incurred by wife due to husband's misrepresentations — General damages of $10,000 awarded for hurt feelings, humiliation, inconvenience and postponement of opportunity to marry another man while still capable of bearing children — Law and Equity Act, s. 60.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Family law — Marriage — Wife awarded damages for husband's misrepresentations inducing her to marry him — Special damage award limited to those expenses incurred by wife due to husband's misrepresentations — General damages of $10,000 awarded for hurt feelings, humiliation, inconvenience and postponement of opportunity to marry another man while still capable of bearing children.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Fraud and misrepresentation — Fraudulent misrepresentation — Wife awarded damages for husband's misrepresentations inducing her to marry him — Special damage award limited to those expenses incurred by wife due to husband's misrepresentations — General damages of $10,000 awarded for hurt feelings, humiliation, inconvenience and postponement of opportunity to marry another man while still capable of bearing children.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3" w:name="Case Summary_26"/>
            <w:bookmarkEnd w:id="20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Raju to recover damages from Kumar for fraudulent misrepresentation inducing her to marry him -- Raju was a Canadian citizen of Fijian origin, Kumar was Fijian -- Parties introduced by family members, corresponded and spoke by phone -- Discussed marriage, children -- Met personally in June 1999 when Raju traveled to Fiji -- Raju brought engagement and wedding saris she purchased, as well as immigration forms for Kumar -- Kumar told Raju he had daughter from previous marriage -- Raju married Kumar in Fiji in June 1999 -- Raju had no time to wear engagement sari -- Raju bought Kumar wedding ring and paid for wedding reception and photos -- Raju paid fee to file immigration forms for Kumar -- Raju returned to Canada -- Raju received phone call from woman claiming Kumar would be hers -- Kumar's application for immigrant visa refused in November 2000, as he did poorly at interview, failing to give Raju's address or mention his intention to join Raju in Canada as husband -- Raju filed immigration appeal, paid fee -- Raju received another anonymous phone call, claiming woman, Vijay, was having affair with Kumar -- Raju returned to Fiji to confront Kumar -- Kumar denied affair -- Raju doubted Kumar's faithfulness but reconciled with him -- Raju returned to Canada, continued to phone Kumar at her expense -- Kumar continued to send Raju love letters -- Kumar arrived in Canada in December 2001 -- Raju paid Kumar's landing fee -- Marital relationship commenced but ceased within days, without explanation from Kumar -- Kumar did not look for work in Canada -- Kumar denied communicating with Vijay from Canada, but admitted at trial to affair -- Kumar claimed Raju threatened him with knife, threatened to shoot him -- Raju denied threatening Kumar -- Kumar did not report threats to police -- Kumar disappeared in January 2002 -- Was in Edmonton residing with relatives and working -- Resumed correspondence with Vijay -- Raju spent $8,000 attempting to locate Kumar -- Raju found Kumar in September 2002 -- Kumar told Raju not to call him again -- Raju hospitalized with grief, anxiety, psoriasis caused by stress, and loss of ability to work due to anxiety and grief -- Kumar petitioned for divorce in January 2003 -- Raju commenced action in damages in March 2003 -- Letter from Vijay introduced as evidence -- Letter stated Kumar married Raju to secure immigration to Canada, and intended to leave Raju after entering Canada to later marry Vijay -- HELD: Action allowed -- Raju did not threaten to shoot Kumar, or threaten him with knife -- Kumar did not have affection for Raju he professed in his love letters -- Letter from Vijay was not admissible as evidence -- Kumar viewed marriage as means of entering Canada, not real marital commitment -- Kumar misrepresented his feelings toward Raju to induce her to marry him -- Raju married Kumar in reliance on his misrepresentations -- Raju entitled to damages resulting for her reliance on Kumar's misrepresentations -- Raju not entitled to damages for expenses incurred after Kumar disappeared, as she could not have continued to rely on his misrepresentations after he left -- Raju's damages limited to those resulting from Kumar's misrepresentations before marriage, and after marriage until he left for Edmonton -- Raju's expenses in attempting to locate Kumar not recoverable -- Raju's expenses to travel to Fiji prior to marriage not recoverable, as these incurred prior to any promise to marry -- Raju's travel expenses to Fiji to confront Kumar not recoverable, as Raju went because she did not believe Kumar, not because she believed his misrepresentations -- Long distance calls, immigration fees recoverable -- Raju awarded general damages of $10,000 for hurt feelings, humiliation, inconvenience and postponement of opportunity to marry another man while still capable of bearing children -- Punitive damages not awarded because Kumar's conduct motivated by self-interest, not vindictiveness.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4" w:name="Legislation Cited_25"/>
      <w:bookmarkEnd w:id="20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8" style="position:absolute;z-index:2517411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Charter of Rights Amendment Act, S.B.C. 1985, c. 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Divorce Act, R.S.C. 1985, c.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Family Relations Act, </w:t>
      </w:r>
      <w:hyperlink r:id="rId628" w:history="1">
        <w:r>
          <w:rPr>
            <w:rFonts w:ascii="arial" w:eastAsia="arial" w:hAnsi="arial" w:cs="arial"/>
            <w:i/>
            <w:color w:val="0077CC"/>
            <w:sz w:val="20"/>
            <w:u w:val="single"/>
            <w:shd w:val="clear" w:color="auto" w:fill="FFFFFF"/>
            <w:lang w:val="en-US" w:eastAsia="en-US" w:bidi="ar-SA"/>
          </w:rPr>
          <w:t>R.S.B.C. 1996, c. 128</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Law and Equity Act, </w:t>
      </w:r>
      <w:hyperlink r:id="rId629" w:history="1">
        <w:r>
          <w:rPr>
            <w:rFonts w:ascii="arial" w:eastAsia="arial" w:hAnsi="arial" w:cs="arial"/>
            <w:i/>
            <w:color w:val="0077CC"/>
            <w:sz w:val="20"/>
            <w:u w:val="single"/>
            <w:shd w:val="clear" w:color="auto" w:fill="FFFFFF"/>
            <w:lang w:val="en-US" w:eastAsia="en-US" w:bidi="ar-SA"/>
          </w:rPr>
          <w:t>R.S.B.C. 1996, c. 253, s. 60</w:t>
        </w:r>
      </w:hyperlink>
      <w:r>
        <w:rPr>
          <w:rFonts w:ascii="arial" w:eastAsia="arial" w:hAnsi="arial" w:cs="arial"/>
          <w:color w:val="000000"/>
          <w:sz w:val="20"/>
          <w:lang w:val="en-US" w:eastAsia="en-US" w:bidi="ar-SA"/>
        </w:rPr>
        <w:t>, s. 60(3), s. 60(3)(a)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Married Woman's Property Act, R.S.B.C. 1979, c. 252, s. 10(3)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05" w:name="Counsel_30"/>
      <w:bookmarkEnd w:id="20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9" style="position:absolute;z-index:251792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J.D. McGreevy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 Pillay (of the Alberta bar)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6" w:name="Judgment_30"/>
      <w:bookmarkEnd w:id="206"/>
      <w:r>
        <w:pict>
          <v:line id="_x0000_s1180" style="position:absolute;z-index:251843584"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March 20, 2006.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7" w:name="E.R.A. EDWARDS J."/>
            <w:bookmarkEnd w:id="207"/>
            <w:r>
              <w:rPr>
                <w:rFonts w:ascii="arial" w:eastAsia="arial" w:hAnsi="arial" w:cs="arial"/>
                <w:b/>
                <w:color w:val="000000"/>
                <w:sz w:val="30"/>
                <w:lang w:val="en-US" w:eastAsia="en-US" w:bidi="ar-SA"/>
              </w:rPr>
              <w:t>E.R.A. EDWARDS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marriage failed. She sues her husband for damages on the basis she was induced to marry him by the fraudulent misrepresentation "that it was his intention to stay married to the plaintiff and that he was not using her as a means to come to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parties were married in Fiji on June 13, 1999. The plaintiff, a Canadian citizen of Fijian origin, was a self-supporting, childless, 41 year old divorcee. The defendant, a Fijian citizen, was a 29 year old divorcee with one daughter. He had never been abroad.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parties were introduced through family connections in April 1999. They corresponded and spoke by telephone a few times before the plaintiff flew to Fiji in June 1999 to meet the defendant personally. They both testified each had told the other there could be no agreement to marry until they had met face-to-face. According to the plaintiff, they discussed their mutual desire to have children and the defendant expressed to her a desire to live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purchased engagement and wedding saris in Canada which she took with her to Fiji anticipating her marriage. She also took Canadian immigration forms necessary for the defendant to obtain landed immigrant status so he could live with her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When the plaintiff arrived in Fiji, she met the defendant two or three times for a few hours. With the assurance of her father that the defendant was a suitable man of the proper caste, the plaintiff agreed to the marriage at a family meeting, as did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Before the marriage, the defendant told the plaintiff of his divorce, that he had a daughter, and that he had split up with his girlfriend a few months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parties were wed so soon after they agreed to marry there was no opportunity for the plaintiff to wear the sari she had bought for an engagement party. She bought the defendant a wedding ring for $300 and paid $1000 for the wedding reception including an album of photos. Communication during the honeymoon was "good" according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did not see the immigration forms until after the marriage. The plaintiff showed him the forms the day before she left Fiji. He read but did not complete or sign them, because he was "too busy". The plaintiff returned to Canada with the blank forms, filled them in and sent them to the defendant in Fiji for signature. She then submitted them on his behalf in July 1999, paying the requisite $500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November 1999 the plaintiff received an anonymous telephone call from a woman in Fiji who said "your husband is going to be 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defendant's interview with Canadian immigration in Fiji did not go well. In November 2000 his application for a visa was refused. The plaintiff testified she was told by immigration officials that the defendant could not answer some questions, failed to mention that he was intending to join her in Canada and did not give her address.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a letter dated November 24, 2000, the defendant wrote to the plaintiff saying he did not know what went wrong in the interview and expressing his continued desire to join her in Canada "soon".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filed an immigration appeal on his behalf and paid the $2500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January 2001 the plaintiff received another anonymous telephone call from a woman in Fiji who told her the defendant was having an affair with Vijay Kumari ("Vijay"). The plaintiff called the defendant who denied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Not satisfied with his denial, she flew to Fiji and confronted him. He again denied the affair with Vijay. The plaintiff met Vijay's mother and told her to tell Vijay to stay away from the defendant. Vijay then visited the plaintiff, accompanied by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At a meeting at the police station, the defendant told the plaintiff, in Vijay's presence, that he and Vijay were not having an affair and that he wanted his marriage.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According to the plaintiff, the next day the defendant told her Vijay was pursuing him, but he wanted to maintain the marriage because Vijay meant nothing to him. The plaintiff testified she doubted this was true and "sort of" believed the defendant was being unfaithful. Nevertheless, she accepted the defendant's explanation after he assured her he still wanted to come to Canada to live with her. As a result, they reconciled.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plaintiff's suspicion of infidelity was justified. The defendant admitted at trial he had lied to the plaintiff and resumed his affair with Vijay shortly after the plaintiff returned to Canada from Fiji in January 2001. However, he continued to write love letters to the plaintiff and she called him frequently at considerable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defendant's immigration appeal was granted in July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 arrived in Canada on December 21, 2001. The plaintiff paid his $975 landing fee. She took him to her home and they resumed intimate relations. After a few nights this ceased. According to the plaintiff the defendant hardly spoke to her and answered "you wouldn't understand" when she asked why.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testified that the defendant asked her shortly after his arrival where Edmonton was and how to call there. The plaintiff drove the defendant to see the Vancouver airport. She testified this was at his request. He testified she suggested they go to see the airport.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 declined to look for work and stayed home while the plaintiff went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 testified the he became unhappy when the plaintiff criticized him for being messy and because she brought up his relationship with Vjiay.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suspected the defendant might be calling Vijay. She saw him looking into his wallet frequently and she found in it a telephone card and photo of Vijay. The defendant explained that he had been looking at a photo of his mother in the wallet and told the plaintiff he was unaware of the photo of Vijay which was in his wallet by "mistake". He denied using the telephone card to call Vijay.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defendant testified the plaintiff became enraged. He said she threatened him with a knife and threatened to shoot him as she had earlier threatened to have him shot when she suspected his infidelity in January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Cross-examined at the trial, the plaintiff denied threatening to shoot the defendant. She was not asked if she had threatened him with a knife.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 acknowledged on cross-examination he had no knowledge of the plaintiff owning a gun. He testified he did not call the police in response to the alleged threat because he did not know how. He stayed with the plaintiff for several days after the threats he alleged, but claimed he lay awake at night out of fear.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do not believe the defendant's testimony that the plaintiff threatened to shoot him. Even if she did, he clearly did not take the threat seriously. Nor do I believe the plaintiff threatened the defendant with a knife. He did not claim to have been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By January 2, 2002, things deteriorated to the point the defendant packed his things and left the plaintiff's residence. He had no where to go. The plaintiff persuaded him to come back inside. It is implausible he would have returned if he felt threatened with physical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January 7, 2002, the plaintiff called the defendant from work to pick her up because she was ill. There was no answer. When the defendant failed to pick her up at the end of her shift, she made her way home by bus. The defendant called her to tell her where to find her car and her house keys. He did not say where he was. That was the last contact the plaintiff had with him until September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defendant had flown to Edmonton where he resided with relatives and got a job. Within a few days of arriving there he contacted Vijay in Fiji and began to write love letters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From January to September 2002 the plaintiff tried to locate the defendant. She spent over $8,000 on long distance telephone calls. She was bilked of her jewellery by a psychic she engaged to help her find the defendant. At one point the defendant's mother told the plaintiff the defendant wished to come back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Eventually the plaintiff learned the defendant was in Edmonton and contacted him there by telephone in September 2002. The defendant told her he did not want to speak to her and that she should not call again. He refused to answer her subsequent calls.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was devastated. According to a Notice to Admit she "presented at Surrey General Mental Health on September 26, 2002 and attended through October 7, 2002 and was diagnosed to be suffering from: (a) acute grief; (b) anxiety; (c) psoriasis of skin under stress; (d) loss of ability to work due to anxiety and grief response". Supporting clinical records of the Fraser Health Authority were admitted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January 27, 2003, the defendant petitioned in Alberta for divorce on grounds of separation for more than one year. The case has not been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divorce is not apparently intended to pave the way for marriage between the defendant and Vijay. Although it is not clear when, Vijay rejected the defendant despite his many love letters to her from Edmonton. She sent copies of those letters to the plaintiff together with a copy of a letter dated February 21, 2003, headed: "TO WHOM THIS LETTER GOES TO: - CANADIAN IMMIGRATION - LAWYER" which purports to have been sent at the request of the plaintiff. It is not stated if the lawyer referred to is the plaintiff's counsel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defendant's counsel objected to the admission of this letter on hearsay grounds. There is no doubt the letter is authentic, that is, written by Vijay. The authenticity of the letter is corroborated by the fact it included copies of letters the defendant wrote to Vijay, as he admitted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hearsay objection was accepted by counsel for the plaintiff, rightly insofar as the letter is not admissible to prove the truth of its content. However, regardless of its truth, the content discloses what likely prompted the plaintiff to bring this action, which was commenced on March 12, 2003, about three weeks after the date of the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letter states Vijay last received a letter from the defendant in September 2002 and last spoke to him January 26, 2003, the day before he filed for divorce. It includes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Vijay Kumari like to inform you that Rajendra Kumar was my boyfriend. I was with him before his marriage to Madhavi Raju and after his marriage his intension (sic) was not to leave me but just to enter Canada and leave his wife. He just married to her just to go to Canada and what he did you all now (sic) about it. He spends his time to his married wife about only 2 months or even less. I have spend (sic) more than five years with him I now (sic) him better than you people and more than his married wife. He is a person who cannot be trusted in anyway he is a big lier (sic) he is fond of changing girls in his life just like people change clothes.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2001 when she (Madhavi) came to Fiji she made allegation (sic) to me that I was comming (sic) on her husband which was not true he used to come after me every time and we had exchange of words and we end up to Nakua police station. Rajen never wanted his wife to see me and talk just because his wife Madhavi will now (sic) the truth.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 testified his relationship with Vijay began long before his marriage to the plaintiff and his letters to Vijay disclose it continued into 2002. Those letters include a proposal of marriage.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do not accept, in light of the defendant's continuing relationship with Vijay and the little opportunity he had to get to know the plaintiff before and during their marriage that he developed the intense affection for her he professed in his love letters to her. I have no hesitation in finding that from the defendant's perspective the parties' marriage was one of convenience, not a love match.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plaintiff's faith in the defendant's professions of affection, by contrast, seem to have left her besotted by him, as demonstrated by her acceptance of his denial of infidelity when she confronted him and Vijay in Fiji in January 2001, by her unrelenting efforts to find the defendant in order to rekindle their relationship after he left in January 2002 and by her physical and emotional reaction to his final rejection of the marriage in September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Vijay's assertion that the defendant married the plaintiff in order to enter Canada is not admissible evidence that is true. The defendant denied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Immigrating to Canada did not seem to be the defendant's top priority immediately after the marriage when he failed to fill out the necessary papers before the plaintiff left Fiji, later when he failed his immigration interview or even later when he failed to join the plaintiff in Canada for five months after his immigration appeal was allowed, by then some two and a half years after their marriage.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the other hand, once in Canada the defendant has remained and has apparently prospered. He ceased to reside with the plaintiff within days of his arrival and avoided contact with her for nearly nine months by not disclosing his whereabouts. He commenced divorce proceedings as soon as he could.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defendant's premarital representations of affection and his love letters to the plaintiff while he was in Fiji and she in Canada were obviously insincere in light of the defendant's continuous relationship with Vijay and the short duration of his cohabitation with the plaintiff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evidence is clear that the defendant did not view the parties' marriage as a committed relationship. I find the defendant's primary motivation in marrying the plaintiff was not love, since they hardly knew one another when they married, nor a true desire to build a family with her, since he only stayed with her for a few days after he arrived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find it more likely than not that the defendant viewed his marriage to the plaintiff as a means to enter Canada under her sponsorship, if and when he decided to emigrate. I also find it more likely than not that the defendant did not view the marriage as a real marital commitment to the plaintiff, as he was keeping open the possibility of remaining in Fiji with Vijay or alternatively bring her to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Until the repeal of the </w:t>
      </w:r>
      <w:r>
        <w:rPr>
          <w:rFonts w:ascii="arial" w:eastAsia="arial" w:hAnsi="arial" w:cs="arial"/>
          <w:b/>
          <w:i/>
          <w:color w:val="000000"/>
          <w:sz w:val="20"/>
          <w:lang w:val="en-US" w:eastAsia="en-US" w:bidi="ar-SA"/>
        </w:rPr>
        <w:t>Married Woman's Property Act</w:t>
      </w:r>
      <w:r>
        <w:rPr>
          <w:rFonts w:ascii="arial" w:eastAsia="arial" w:hAnsi="arial" w:cs="arial"/>
          <w:color w:val="000000"/>
          <w:sz w:val="20"/>
          <w:lang w:val="en-US" w:eastAsia="en-US" w:bidi="ar-SA"/>
        </w:rPr>
        <w:t xml:space="preserve">, R.S.B.C. 1979, c. 252, by the </w:t>
      </w:r>
      <w:r>
        <w:rPr>
          <w:rFonts w:ascii="arial" w:eastAsia="arial" w:hAnsi="arial" w:cs="arial"/>
          <w:b/>
          <w:i/>
          <w:color w:val="000000"/>
          <w:sz w:val="20"/>
          <w:lang w:val="en-US" w:eastAsia="en-US" w:bidi="ar-SA"/>
        </w:rPr>
        <w:t>Charter of Rights Amendment Act</w:t>
      </w:r>
      <w:r>
        <w:rPr>
          <w:rFonts w:ascii="arial" w:eastAsia="arial" w:hAnsi="arial" w:cs="arial"/>
          <w:color w:val="000000"/>
          <w:sz w:val="20"/>
          <w:lang w:val="en-US" w:eastAsia="en-US" w:bidi="ar-SA"/>
        </w:rPr>
        <w:t>, S.B.C. 1985, c. 68, on April 17, 1985, an action such as this by one spouse against the other alleging the tort of deceit was barred by s. 10(3) of the repealed statute which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10(1) Every married woman shall have in her own name against all persons, including her husband, the same remedies for the protection and security of her own separate property as if the property belonged to her as a single woman.</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proceedings under this section it is sufficient to allege that the property referred to in subsection (1) is the property of the married woman.</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as aforesaid, no husband or wife is entitled to sue the other for a tort.</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proceedings under this section a husband or wife is competent to give evidence against each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As to the effect of the repealed statute, see </w:t>
      </w:r>
      <w:r>
        <w:rPr>
          <w:rFonts w:ascii="arial" w:eastAsia="arial" w:hAnsi="arial" w:cs="arial"/>
          <w:b/>
          <w:i/>
          <w:color w:val="000000"/>
          <w:sz w:val="20"/>
          <w:lang w:val="en-US" w:eastAsia="en-US" w:bidi="ar-SA"/>
        </w:rPr>
        <w:t>Said v. Said</w:t>
      </w:r>
      <w:r>
        <w:rPr>
          <w:rFonts w:ascii="arial" w:eastAsia="arial" w:hAnsi="arial" w:cs="arial"/>
          <w:color w:val="000000"/>
          <w:sz w:val="20"/>
          <w:lang w:val="en-US" w:eastAsia="en-US" w:bidi="ar-SA"/>
        </w:rPr>
        <w:t xml:space="preserve">, </w:t>
      </w:r>
      <w:hyperlink r:id="rId630" w:history="1">
        <w:r>
          <w:rPr>
            <w:rFonts w:ascii="arial" w:eastAsia="arial" w:hAnsi="arial" w:cs="arial"/>
            <w:i/>
            <w:color w:val="0077CC"/>
            <w:sz w:val="20"/>
            <w:u w:val="single"/>
            <w:shd w:val="clear" w:color="auto" w:fill="FFFFFF"/>
            <w:lang w:val="en-US" w:eastAsia="en-US" w:bidi="ar-SA"/>
          </w:rPr>
          <w:t>[1987] 1 W.W.R. 691</w:t>
        </w:r>
      </w:hyperlink>
      <w:r>
        <w:rPr>
          <w:rFonts w:ascii="arial" w:eastAsia="arial" w:hAnsi="arial" w:cs="arial"/>
          <w:color w:val="000000"/>
          <w:sz w:val="20"/>
          <w:lang w:val="en-US" w:eastAsia="en-US" w:bidi="ar-SA"/>
        </w:rPr>
        <w:t xml:space="preserve">, </w:t>
      </w:r>
      <w:hyperlink r:id="rId630" w:history="1">
        <w:r>
          <w:rPr>
            <w:rFonts w:ascii="arial" w:eastAsia="arial" w:hAnsi="arial" w:cs="arial"/>
            <w:i/>
            <w:color w:val="0077CC"/>
            <w:sz w:val="20"/>
            <w:u w:val="single"/>
            <w:shd w:val="clear" w:color="auto" w:fill="FFFFFF"/>
            <w:lang w:val="en-US" w:eastAsia="en-US" w:bidi="ar-SA"/>
          </w:rPr>
          <w:t>33 D.L.R. (4th) 382</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Currently, the applicable statutory provision is s. 60 of the </w:t>
      </w:r>
      <w:r>
        <w:rPr>
          <w:rFonts w:ascii="arial" w:eastAsia="arial" w:hAnsi="arial" w:cs="arial"/>
          <w:b/>
          <w:i/>
          <w:color w:val="000000"/>
          <w:sz w:val="20"/>
          <w:lang w:val="en-US" w:eastAsia="en-US" w:bidi="ar-SA"/>
        </w:rPr>
        <w:t>Law and Equity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xml:space="preserve">, which was enacted at the same time as the repeal of s. 10(3) of the </w:t>
      </w:r>
      <w:r>
        <w:rPr>
          <w:rFonts w:ascii="arial" w:eastAsia="arial" w:hAnsi="arial" w:cs="arial"/>
          <w:b/>
          <w:i/>
          <w:color w:val="000000"/>
          <w:sz w:val="20"/>
          <w:lang w:val="en-US" w:eastAsia="en-US" w:bidi="ar-SA"/>
        </w:rPr>
        <w:t>Married Woman's Property Act</w:t>
      </w:r>
      <w:r>
        <w:rPr>
          <w:rFonts w:ascii="arial" w:eastAsia="arial" w:hAnsi="arial" w:cs="arial"/>
          <w:color w:val="000000"/>
          <w:sz w:val="20"/>
          <w:lang w:val="en-US" w:eastAsia="en-US" w:bidi="ar-SA"/>
        </w:rPr>
        <w:t>. Section 60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60(1) For all purposes of the law of British Columbia, a married man has a legal personality that is independent, separate and distinct from that of his wife and a married woman has a legal personality that is independent, separate and distinct from that of her husband.</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married person has and must be accorded legal capacity for all purposes and in all respects as if the person were unmarried.</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limiting subsections (1) and (2),</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each of the parties to a marriage has the same right of action in tort against the other as if they were not married,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married woman is capable of acting as litigation guardian or next friend as if she were an unmarried woman,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married woman is capable of acquiring a domicile independent from that of her husband, and the same rules must be applied to determine the domicile of a married woman as for a married man.</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purpose of subsections (1) and (2) is to make the same law apply, and apply equally, to married men and married women and to remove any difference resulting from any common law rule or doctrine, and subsections (1) and (2) must be so construed.</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(3)(a) does not apply if the cause of action arose before April 17, 1985.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Hansard excerpts suggest the intention of the legislature in enacting s. 60 was to eliminate inter-spousal immunity in tort so that a spouse injured by the other through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for example, in a motor vehicle accident could recover damages. There is nothing in Hansard to indicate that the public policy implications of eliminating inter-spousal immunity in respect of intentional torts or more specifically deceit to induce marriage were considered by the legislature when s. 60 was enacted.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Tumna v. Tumna</w:t>
      </w:r>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(2004), 5 R.F.L. (6th) 467</w:t>
        </w:r>
      </w:hyperlink>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2004 BCSC 654</w:t>
        </w:r>
      </w:hyperlink>
      <w:r>
        <w:rPr>
          <w:rFonts w:ascii="arial" w:eastAsia="arial" w:hAnsi="arial" w:cs="arial"/>
          <w:color w:val="000000"/>
          <w:sz w:val="20"/>
          <w:lang w:val="en-US" w:eastAsia="en-US" w:bidi="ar-SA"/>
        </w:rPr>
        <w:t xml:space="preserve">, Master McCallum dismissed the defendant wife's application to have the plaintiff husband's claim that she had fraudulently deceived him as to her reasons for marrying him struck out as disclosing no reasonable cause of action. The learned Master distinguished </w:t>
      </w:r>
      <w:r>
        <w:rPr>
          <w:rFonts w:ascii="arial" w:eastAsia="arial" w:hAnsi="arial" w:cs="arial"/>
          <w:b/>
          <w:i/>
          <w:color w:val="000000"/>
          <w:sz w:val="20"/>
          <w:lang w:val="en-US" w:eastAsia="en-US" w:bidi="ar-SA"/>
        </w:rPr>
        <w:t>Said</w:t>
      </w:r>
      <w:r>
        <w:rPr>
          <w:rFonts w:ascii="arial" w:eastAsia="arial" w:hAnsi="arial" w:cs="arial"/>
          <w:color w:val="000000"/>
          <w:sz w:val="20"/>
          <w:lang w:val="en-US" w:eastAsia="en-US" w:bidi="ar-SA"/>
        </w:rPr>
        <w:t xml:space="preserve"> on the basis it was supplanted by s. 60 of the </w:t>
      </w:r>
      <w:r>
        <w:rPr>
          <w:rFonts w:ascii="arial" w:eastAsia="arial" w:hAnsi="arial" w:cs="arial"/>
          <w:b/>
          <w:i/>
          <w:color w:val="000000"/>
          <w:sz w:val="20"/>
          <w:lang w:val="en-US" w:eastAsia="en-US" w:bidi="ar-SA"/>
        </w:rPr>
        <w:t>Law and Equity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public policy considerations arising from the availability of tort remedies in the family law context were discussed by the Supreme Court of Canada in </w:t>
      </w:r>
      <w:r>
        <w:rPr>
          <w:rFonts w:ascii="arial" w:eastAsia="arial" w:hAnsi="arial" w:cs="arial"/>
          <w:b/>
          <w:i/>
          <w:color w:val="000000"/>
          <w:sz w:val="20"/>
          <w:lang w:val="en-US" w:eastAsia="en-US" w:bidi="ar-SA"/>
        </w:rPr>
        <w:t>Frame v. Smith</w:t>
      </w:r>
      <w:r>
        <w:rPr>
          <w:rFonts w:ascii="arial" w:eastAsia="arial" w:hAnsi="arial" w:cs="arial"/>
          <w:color w:val="000000"/>
          <w:sz w:val="20"/>
          <w:lang w:val="en-US" w:eastAsia="en-US" w:bidi="ar-SA"/>
        </w:rPr>
        <w:t xml:space="preserve">, </w:t>
      </w:r>
      <w:hyperlink r:id="rId632" w:history="1">
        <w:r>
          <w:rPr>
            <w:rFonts w:ascii="arial" w:eastAsia="arial" w:hAnsi="arial" w:cs="arial"/>
            <w:i/>
            <w:color w:val="0077CC"/>
            <w:sz w:val="20"/>
            <w:u w:val="single"/>
            <w:shd w:val="clear" w:color="auto" w:fill="FFFFFF"/>
            <w:lang w:val="en-US" w:eastAsia="en-US" w:bidi="ar-SA"/>
          </w:rPr>
          <w:t>[1987] 2 S.C.R. 99</w:t>
        </w:r>
      </w:hyperlink>
      <w:r>
        <w:rPr>
          <w:rFonts w:ascii="arial" w:eastAsia="arial" w:hAnsi="arial" w:cs="arial"/>
          <w:color w:val="000000"/>
          <w:sz w:val="20"/>
          <w:lang w:val="en-US" w:eastAsia="en-US" w:bidi="ar-SA"/>
        </w:rPr>
        <w:t xml:space="preserve">, </w:t>
      </w:r>
      <w:hyperlink r:id="rId632" w:history="1">
        <w:r>
          <w:rPr>
            <w:rFonts w:ascii="arial" w:eastAsia="arial" w:hAnsi="arial" w:cs="arial"/>
            <w:i/>
            <w:color w:val="0077CC"/>
            <w:sz w:val="20"/>
            <w:u w:val="single"/>
            <w:shd w:val="clear" w:color="auto" w:fill="FFFFFF"/>
            <w:lang w:val="en-US" w:eastAsia="en-US" w:bidi="ar-SA"/>
          </w:rPr>
          <w:t>42 D.L.R (4th) 81</w:t>
        </w:r>
      </w:hyperlink>
      <w:r>
        <w:rPr>
          <w:rFonts w:ascii="arial" w:eastAsia="arial" w:hAnsi="arial" w:cs="arial"/>
          <w:color w:val="000000"/>
          <w:sz w:val="20"/>
          <w:lang w:val="en-US" w:eastAsia="en-US" w:bidi="ar-SA"/>
        </w:rPr>
        <w:t>. In that case, following their divorce, the plaintiff sued his former wife for frustrating his court ordered "generous" access to their children, seeking general, special and punitive damages for the torts of "wilful infliction of harm", "intentional interference with a legal right" and conspiracy to do both. The wife's application to strike out the claim as disclosing no cause of action was granted and both the Ontario Court of Appeal and Supreme Court of Canada dismissed the husband's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Supreme Court of Canada's decision in </w:t>
      </w:r>
      <w:r>
        <w:rPr>
          <w:rFonts w:ascii="arial" w:eastAsia="arial" w:hAnsi="arial" w:cs="arial"/>
          <w:b/>
          <w:i/>
          <w:color w:val="000000"/>
          <w:sz w:val="20"/>
          <w:lang w:val="en-US" w:eastAsia="en-US" w:bidi="ar-SA"/>
        </w:rPr>
        <w:t>Frame</w:t>
      </w:r>
      <w:r>
        <w:rPr>
          <w:rFonts w:ascii="arial" w:eastAsia="arial" w:hAnsi="arial" w:cs="arial"/>
          <w:color w:val="000000"/>
          <w:sz w:val="20"/>
          <w:lang w:val="en-US" w:eastAsia="en-US" w:bidi="ar-SA"/>
        </w:rPr>
        <w:t xml:space="preserve"> was based on the fact that federal and provincial legislation provided numerous statutory remedies for the enforcement of child custody and access orders and Ontario had expressly abolished the tort remedies of enticement, harbouring, seduction or loss of services of a child, which at common law could be brought by a 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public policy considerations against tort liability between spouses identified in </w:t>
      </w:r>
      <w:r>
        <w:rPr>
          <w:rFonts w:ascii="arial" w:eastAsia="arial" w:hAnsi="arial" w:cs="arial"/>
          <w:b/>
          <w:i/>
          <w:color w:val="000000"/>
          <w:sz w:val="20"/>
          <w:lang w:val="en-US" w:eastAsia="en-US" w:bidi="ar-SA"/>
        </w:rPr>
        <w:t>Frame</w:t>
      </w:r>
      <w:r>
        <w:rPr>
          <w:rFonts w:ascii="arial" w:eastAsia="arial" w:hAnsi="arial" w:cs="arial"/>
          <w:color w:val="000000"/>
          <w:sz w:val="20"/>
          <w:lang w:val="en-US" w:eastAsia="en-US" w:bidi="ar-SA"/>
        </w:rPr>
        <w:t xml:space="preserve"> were considered in </w:t>
      </w:r>
      <w:r>
        <w:rPr>
          <w:rFonts w:ascii="arial" w:eastAsia="arial" w:hAnsi="arial" w:cs="arial"/>
          <w:b/>
          <w:i/>
          <w:color w:val="000000"/>
          <w:sz w:val="20"/>
          <w:lang w:val="en-US" w:eastAsia="en-US" w:bidi="ar-SA"/>
        </w:rPr>
        <w:t>Thompson v. Thompson</w:t>
      </w:r>
      <w:r>
        <w:rPr>
          <w:rFonts w:ascii="arial" w:eastAsia="arial" w:hAnsi="arial" w:cs="arial"/>
          <w:color w:val="000000"/>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[2003] A.J. No. 1577</w:t>
        </w:r>
      </w:hyperlink>
      <w:r>
        <w:rPr>
          <w:rFonts w:ascii="arial" w:eastAsia="arial" w:hAnsi="arial" w:cs="arial"/>
          <w:color w:val="000000"/>
          <w:sz w:val="20"/>
          <w:lang w:val="en-US" w:eastAsia="en-US" w:bidi="ar-SA"/>
        </w:rPr>
        <w:t xml:space="preserve"> (Alta Q.B.). The plaintiff sued his former wife and the biological father of her child to recover spousal and child support he had paid, alleging that the defendants had deceived him by representing that he was the child's biological father. The defendants applied to strike out the plaintiff's claim, relying on </w:t>
      </w:r>
      <w:r>
        <w:rPr>
          <w:rFonts w:ascii="arial" w:eastAsia="arial" w:hAnsi="arial" w:cs="arial"/>
          <w:b/>
          <w:i/>
          <w:color w:val="000000"/>
          <w:sz w:val="20"/>
          <w:lang w:val="en-US" w:eastAsia="en-US" w:bidi="ar-SA"/>
        </w:rPr>
        <w:t>Frame</w:t>
      </w:r>
      <w:r>
        <w:rPr>
          <w:rFonts w:ascii="arial" w:eastAsia="arial" w:hAnsi="arial" w:cs="arial"/>
          <w:color w:val="000000"/>
          <w:sz w:val="20"/>
          <w:lang w:val="en-US" w:eastAsia="en-US" w:bidi="ar-SA"/>
        </w:rPr>
        <w:t xml:space="preserve">. Murray J. dismissed that application, distinguishing </w:t>
      </w:r>
      <w:r>
        <w:rPr>
          <w:rFonts w:ascii="arial" w:eastAsia="arial" w:hAnsi="arial" w:cs="arial"/>
          <w:b/>
          <w:i/>
          <w:color w:val="000000"/>
          <w:sz w:val="20"/>
          <w:lang w:val="en-US" w:eastAsia="en-US" w:bidi="ar-SA"/>
        </w:rPr>
        <w:t>Frame</w:t>
      </w:r>
      <w:r>
        <w:rPr>
          <w:rFonts w:ascii="arial" w:eastAsia="arial" w:hAnsi="arial" w:cs="arial"/>
          <w:color w:val="000000"/>
          <w:sz w:val="20"/>
          <w:lang w:val="en-US" w:eastAsia="en-US" w:bidi="ar-SA"/>
        </w:rPr>
        <w:t xml:space="preserve"> and stating at para. 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find it difficult to imagine that the Supreme Court of Canada in </w:t>
      </w:r>
      <w:r>
        <w:rPr>
          <w:rFonts w:ascii="arial" w:eastAsia="arial" w:hAnsi="arial" w:cs="arial"/>
          <w:b/>
          <w:i/>
          <w:color w:val="000000"/>
          <w:sz w:val="20"/>
          <w:lang w:val="en-US" w:eastAsia="en-US" w:bidi="ar-SA"/>
        </w:rPr>
        <w:t>Frame v. Smith</w:t>
      </w:r>
      <w:r>
        <w:rPr>
          <w:rFonts w:ascii="arial" w:eastAsia="arial" w:hAnsi="arial" w:cs="arial"/>
          <w:color w:val="000000"/>
          <w:sz w:val="20"/>
          <w:lang w:val="en-US" w:eastAsia="en-US" w:bidi="ar-SA"/>
        </w:rPr>
        <w:t xml:space="preserve"> intended to prohibit an action based on deceit in the family context. To do so would be tantamount to the Court directing that fraud be condoned in this type of circumstance.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Thompson</w:t>
      </w:r>
      <w:r>
        <w:rPr>
          <w:rFonts w:ascii="arial" w:eastAsia="arial" w:hAnsi="arial" w:cs="arial"/>
          <w:color w:val="000000"/>
          <w:sz w:val="20"/>
          <w:lang w:val="en-US" w:eastAsia="en-US" w:bidi="ar-SA"/>
        </w:rPr>
        <w:t xml:space="preserve"> is distinguishable from the present case in that the deceit alleged here relates to the representations of the defendant inducing the plaintiff to enter into the marriage contract, while the deceit alleged in </w:t>
      </w:r>
      <w:r>
        <w:rPr>
          <w:rFonts w:ascii="arial" w:eastAsia="arial" w:hAnsi="arial" w:cs="arial"/>
          <w:b/>
          <w:i/>
          <w:color w:val="000000"/>
          <w:sz w:val="20"/>
          <w:lang w:val="en-US" w:eastAsia="en-US" w:bidi="ar-SA"/>
        </w:rPr>
        <w:t>Thompson</w:t>
      </w:r>
      <w:r>
        <w:rPr>
          <w:rFonts w:ascii="arial" w:eastAsia="arial" w:hAnsi="arial" w:cs="arial"/>
          <w:color w:val="000000"/>
          <w:sz w:val="20"/>
          <w:lang w:val="en-US" w:eastAsia="en-US" w:bidi="ar-SA"/>
        </w:rPr>
        <w:t xml:space="preserve"> related to the defendant ex-wife's entitlement to the statutory remedy of support on the breakdown of the marriage.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Just as there is no evidence the legislature considered the full implications of enacting s. 60 of the </w:t>
      </w:r>
      <w:r>
        <w:rPr>
          <w:rFonts w:ascii="arial" w:eastAsia="arial" w:hAnsi="arial" w:cs="arial"/>
          <w:b/>
          <w:i/>
          <w:color w:val="000000"/>
          <w:sz w:val="20"/>
          <w:lang w:val="en-US" w:eastAsia="en-US" w:bidi="ar-SA"/>
        </w:rPr>
        <w:t>Law and Equity Act</w:t>
      </w:r>
      <w:r>
        <w:rPr>
          <w:rFonts w:ascii="arial" w:eastAsia="arial" w:hAnsi="arial" w:cs="arial"/>
          <w:color w:val="000000"/>
          <w:sz w:val="20"/>
          <w:lang w:val="en-US" w:eastAsia="en-US" w:bidi="ar-SA"/>
        </w:rPr>
        <w:t xml:space="preserve">, neither </w:t>
      </w:r>
      <w:r>
        <w:rPr>
          <w:rFonts w:ascii="arial" w:eastAsia="arial" w:hAnsi="arial" w:cs="arial"/>
          <w:b/>
          <w:i/>
          <w:color w:val="000000"/>
          <w:sz w:val="20"/>
          <w:lang w:val="en-US" w:eastAsia="en-US" w:bidi="ar-SA"/>
        </w:rPr>
        <w:t>Frame</w:t>
      </w:r>
      <w:r>
        <w:rPr>
          <w:rFonts w:ascii="arial" w:eastAsia="arial" w:hAnsi="arial" w:cs="arial"/>
          <w:color w:val="000000"/>
          <w:sz w:val="20"/>
          <w:lang w:val="en-US" w:eastAsia="en-US" w:bidi="ar-SA"/>
        </w:rPr>
        <w:t xml:space="preserve"> nor </w:t>
      </w:r>
      <w:r>
        <w:rPr>
          <w:rFonts w:ascii="arial" w:eastAsia="arial" w:hAnsi="arial" w:cs="arial"/>
          <w:b/>
          <w:i/>
          <w:color w:val="000000"/>
          <w:sz w:val="20"/>
          <w:lang w:val="en-US" w:eastAsia="en-US" w:bidi="ar-SA"/>
        </w:rPr>
        <w:t>Thompson</w:t>
      </w:r>
      <w:r>
        <w:rPr>
          <w:rFonts w:ascii="arial" w:eastAsia="arial" w:hAnsi="arial" w:cs="arial"/>
          <w:color w:val="000000"/>
          <w:sz w:val="20"/>
          <w:lang w:val="en-US" w:eastAsia="en-US" w:bidi="ar-SA"/>
        </w:rPr>
        <w:t xml:space="preserve"> directly addresses the public policy considerations of permitting one spouse to sue the other for deceit inducing marriage or as to the quality of the marriage.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Those considerations were discussed by the Court of Appeal in </w:t>
      </w:r>
      <w:r>
        <w:rPr>
          <w:rFonts w:ascii="arial" w:eastAsia="arial" w:hAnsi="arial" w:cs="arial"/>
          <w:b/>
          <w:i/>
          <w:color w:val="000000"/>
          <w:sz w:val="20"/>
          <w:lang w:val="en-US" w:eastAsia="en-US" w:bidi="ar-SA"/>
        </w:rPr>
        <w:t>Said</w:t>
      </w:r>
      <w:r>
        <w:rPr>
          <w:rFonts w:ascii="arial" w:eastAsia="arial" w:hAnsi="arial" w:cs="arial"/>
          <w:color w:val="000000"/>
          <w:sz w:val="20"/>
          <w:lang w:val="en-US" w:eastAsia="en-US" w:bidi="ar-SA"/>
        </w:rPr>
        <w:t>. At page 699, Macfarlane J.A.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courts have consistently refused to grant damages for deceit when a marriage has not been invalidated, and when the representation has extended only to the quality of the marriage. </w:t>
      </w:r>
      <w:r>
        <w:rPr>
          <w:rFonts w:ascii="arial" w:eastAsia="arial" w:hAnsi="arial" w:cs="arial"/>
          <w:color w:val="000000"/>
          <w:sz w:val="20"/>
          <w:u w:val="single"/>
          <w:lang w:val="en-US" w:eastAsia="en-US" w:bidi="ar-SA"/>
        </w:rPr>
        <w:t>The fact that the husband had an improper motive for marriage, or was not as suitable a candidate as the wife had thought, has never been a ground for invalidating the marriage, or for awarding damages</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Macfarlane J.A. continued at page 700: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courts are involved in the results flowing from invalid marriages, from divorce, and from broken marriages. </w:t>
      </w:r>
      <w:r>
        <w:rPr>
          <w:rFonts w:ascii="arial" w:eastAsia="arial" w:hAnsi="arial" w:cs="arial"/>
          <w:color w:val="000000"/>
          <w:sz w:val="20"/>
          <w:u w:val="single"/>
          <w:lang w:val="en-US" w:eastAsia="en-US" w:bidi="ar-SA"/>
        </w:rPr>
        <w:t>The courts cannot become involved in enquiries relating to</w:t>
      </w:r>
      <w:r>
        <w:rPr>
          <w:rFonts w:ascii="arial" w:eastAsia="arial" w:hAnsi="arial" w:cs="arial"/>
          <w:color w:val="000000"/>
          <w:sz w:val="20"/>
          <w:lang w:val="en-US" w:eastAsia="en-US" w:bidi="ar-SA"/>
        </w:rPr>
        <w:t xml:space="preserve"> the quality of a marriage, </w:t>
      </w:r>
      <w:r>
        <w:rPr>
          <w:rFonts w:ascii="arial" w:eastAsia="arial" w:hAnsi="arial" w:cs="arial"/>
          <w:color w:val="000000"/>
          <w:sz w:val="20"/>
          <w:u w:val="single"/>
          <w:lang w:val="en-US" w:eastAsia="en-US" w:bidi="ar-SA"/>
        </w:rPr>
        <w:t>the motives and expectations of the parties, the reasons behind the marriage,</w:t>
      </w:r>
      <w:r>
        <w:rPr>
          <w:rFonts w:ascii="arial" w:eastAsia="arial" w:hAnsi="arial" w:cs="arial"/>
          <w:color w:val="000000"/>
          <w:sz w:val="20"/>
          <w:lang w:val="en-US" w:eastAsia="en-US" w:bidi="ar-SA"/>
        </w:rPr>
        <w:t xml:space="preserve"> matters of conscience and the theological impact of the union upon the parties to a valid marriage. </w:t>
      </w:r>
      <w:r>
        <w:rPr>
          <w:rFonts w:ascii="arial" w:eastAsia="arial" w:hAnsi="arial" w:cs="arial"/>
          <w:color w:val="000000"/>
          <w:sz w:val="20"/>
          <w:u w:val="single"/>
          <w:lang w:val="en-US" w:eastAsia="en-US" w:bidi="ar-SA"/>
        </w:rPr>
        <w:t>If the marriage is valid, all these concerns are collateral, not actionable. The parties to a valid marriage ought to be left alone to work out their differences with respect to such collateral questions</w:t>
      </w:r>
      <w:r>
        <w:rPr>
          <w:rFonts w:ascii="arial" w:eastAsia="arial" w:hAnsi="arial" w:cs="arial"/>
          <w:color w:val="000000"/>
          <w:sz w:val="20"/>
          <w:lang w:val="en-US" w:eastAsia="en-US" w:bidi="ar-SA"/>
        </w:rPr>
        <w:t xml:space="preserve"> .... </w:t>
      </w:r>
      <w:r>
        <w:rPr>
          <w:rFonts w:ascii="arial" w:eastAsia="arial" w:hAnsi="arial" w:cs="arial"/>
          <w:color w:val="000000"/>
          <w:sz w:val="20"/>
          <w:u w:val="single"/>
          <w:lang w:val="en-US" w:eastAsia="en-US" w:bidi="ar-SA"/>
        </w:rPr>
        <w:t xml:space="preserve">The parties to the marriage have their remedies under the </w:t>
      </w:r>
      <w:r>
        <w:rPr>
          <w:rFonts w:ascii="arial" w:eastAsia="arial" w:hAnsi="arial" w:cs="arial"/>
          <w:b/>
          <w:i/>
          <w:color w:val="000000"/>
          <w:sz w:val="20"/>
          <w:u w:val="single"/>
          <w:lang w:val="en-US" w:eastAsia="en-US" w:bidi="ar-SA"/>
        </w:rPr>
        <w:t>Divorce Act</w:t>
      </w:r>
      <w:r>
        <w:rPr>
          <w:rFonts w:ascii="arial" w:eastAsia="arial" w:hAnsi="arial" w:cs="arial"/>
          <w:color w:val="000000"/>
          <w:sz w:val="20"/>
          <w:u w:val="single"/>
          <w:lang w:val="en-US" w:eastAsia="en-US" w:bidi="ar-SA"/>
        </w:rPr>
        <w:t xml:space="preserve">, the </w:t>
      </w:r>
      <w:r>
        <w:rPr>
          <w:rFonts w:ascii="arial" w:eastAsia="arial" w:hAnsi="arial" w:cs="arial"/>
          <w:b/>
          <w:i/>
          <w:color w:val="000000"/>
          <w:sz w:val="20"/>
          <w:u w:val="single"/>
          <w:lang w:val="en-US" w:eastAsia="en-US" w:bidi="ar-SA"/>
        </w:rPr>
        <w:t>Family Relations Act</w:t>
      </w:r>
      <w:r>
        <w:rPr>
          <w:rFonts w:ascii="arial" w:eastAsia="arial" w:hAnsi="arial" w:cs="arial"/>
          <w:color w:val="000000"/>
          <w:sz w:val="20"/>
          <w:u w:val="single"/>
          <w:lang w:val="en-US" w:eastAsia="en-US" w:bidi="ar-SA"/>
        </w:rPr>
        <w:t xml:space="preserve"> and otherwise. The remedies which the parties seek in this litigation are not ones which the law can provide</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underlying public policy considerations against allowing actions alleging deceit by one party to a marriage as to his or her motives for entering the marriage is reflected in earlier cases cited in </w:t>
      </w:r>
      <w:r>
        <w:rPr>
          <w:rFonts w:ascii="arial" w:eastAsia="arial" w:hAnsi="arial" w:cs="arial"/>
          <w:b/>
          <w:i/>
          <w:color w:val="000000"/>
          <w:sz w:val="20"/>
          <w:lang w:val="en-US" w:eastAsia="en-US" w:bidi="ar-SA"/>
        </w:rPr>
        <w:t>Said</w:t>
      </w:r>
      <w:r>
        <w:rPr>
          <w:rFonts w:ascii="arial" w:eastAsia="arial" w:hAnsi="arial" w:cs="arial"/>
          <w:color w:val="000000"/>
          <w:sz w:val="20"/>
          <w:lang w:val="en-US" w:eastAsia="en-US" w:bidi="ar-SA"/>
        </w:rPr>
        <w:t xml:space="preserve">, and by the maxim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as articulated by Falconbridge J. in </w:t>
      </w:r>
      <w:r>
        <w:rPr>
          <w:rFonts w:ascii="arial" w:eastAsia="arial" w:hAnsi="arial" w:cs="arial"/>
          <w:b/>
          <w:i/>
          <w:color w:val="000000"/>
          <w:sz w:val="20"/>
          <w:lang w:val="en-US" w:eastAsia="en-US" w:bidi="ar-SA"/>
        </w:rPr>
        <w:t>Brennan v. Brennan</w:t>
      </w:r>
      <w:r>
        <w:rPr>
          <w:rFonts w:ascii="arial" w:eastAsia="arial" w:hAnsi="arial" w:cs="arial"/>
          <w:color w:val="000000"/>
          <w:sz w:val="20"/>
          <w:lang w:val="en-US" w:eastAsia="en-US" w:bidi="ar-SA"/>
        </w:rPr>
        <w:t xml:space="preserve"> (1890), 10 O.R. 327 (H.C.) at p. 337: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maximum caveat emptor seems as brutally and necessarily applicable to the case of marrying and taking in marriage as it is to the purchase of a rood of land or of a horse.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b/>
          <w:i/>
          <w:color w:val="000000"/>
          <w:sz w:val="20"/>
          <w:lang w:val="en-US" w:eastAsia="en-US" w:bidi="ar-SA"/>
        </w:rPr>
        <w:t>Christian v. Georgas</w:t>
      </w:r>
      <w:r>
        <w:rPr>
          <w:rFonts w:ascii="arial" w:eastAsia="arial" w:hAnsi="arial" w:cs="arial"/>
          <w:color w:val="000000"/>
          <w:sz w:val="20"/>
          <w:lang w:val="en-US" w:eastAsia="en-US" w:bidi="ar-SA"/>
        </w:rPr>
        <w:t xml:space="preserve">, </w:t>
      </w:r>
      <w:hyperlink r:id="rId634" w:history="1">
        <w:r>
          <w:rPr>
            <w:rFonts w:ascii="arial" w:eastAsia="arial" w:hAnsi="arial" w:cs="arial"/>
            <w:i/>
            <w:color w:val="0077CC"/>
            <w:sz w:val="20"/>
            <w:u w:val="single"/>
            <w:shd w:val="clear" w:color="auto" w:fill="FFFFFF"/>
            <w:lang w:val="en-US" w:eastAsia="en-US" w:bidi="ar-SA"/>
          </w:rPr>
          <w:t>[1939] 3 D.L.R. 350</w:t>
        </w:r>
      </w:hyperlink>
      <w:r>
        <w:rPr>
          <w:rFonts w:ascii="arial" w:eastAsia="arial" w:hAnsi="arial" w:cs="arial"/>
          <w:color w:val="000000"/>
          <w:sz w:val="20"/>
          <w:lang w:val="en-US" w:eastAsia="en-US" w:bidi="ar-SA"/>
        </w:rPr>
        <w:t xml:space="preserve">, </w:t>
      </w:r>
      <w:hyperlink r:id="rId634" w:history="1">
        <w:r>
          <w:rPr>
            <w:rFonts w:ascii="arial" w:eastAsia="arial" w:hAnsi="arial" w:cs="arial"/>
            <w:i/>
            <w:color w:val="0077CC"/>
            <w:sz w:val="20"/>
            <w:u w:val="single"/>
            <w:shd w:val="clear" w:color="auto" w:fill="FFFFFF"/>
            <w:lang w:val="en-US" w:eastAsia="en-US" w:bidi="ar-SA"/>
          </w:rPr>
          <w:t>[1939] O.W.N. 136</w:t>
        </w:r>
      </w:hyperlink>
      <w:r>
        <w:rPr>
          <w:rFonts w:ascii="arial" w:eastAsia="arial" w:hAnsi="arial" w:cs="arial"/>
          <w:color w:val="000000"/>
          <w:sz w:val="20"/>
          <w:lang w:val="en-US" w:eastAsia="en-US" w:bidi="ar-SA"/>
        </w:rPr>
        <w:t xml:space="preserve"> (Ont. H.C.J.) aff'd [1939] 3 D.L.R. 778, </w:t>
      </w:r>
      <w:hyperlink r:id="rId635" w:history="1">
        <w:r>
          <w:rPr>
            <w:rFonts w:ascii="arial" w:eastAsia="arial" w:hAnsi="arial" w:cs="arial"/>
            <w:i/>
            <w:color w:val="0077CC"/>
            <w:sz w:val="20"/>
            <w:u w:val="single"/>
            <w:shd w:val="clear" w:color="auto" w:fill="FFFFFF"/>
            <w:lang w:val="en-US" w:eastAsia="en-US" w:bidi="ar-SA"/>
          </w:rPr>
          <w:t>[1939] O.W.N. 340</w:t>
        </w:r>
      </w:hyperlink>
      <w:r>
        <w:rPr>
          <w:rFonts w:ascii="arial" w:eastAsia="arial" w:hAnsi="arial" w:cs="arial"/>
          <w:color w:val="000000"/>
          <w:sz w:val="20"/>
          <w:lang w:val="en-US" w:eastAsia="en-US" w:bidi="ar-SA"/>
        </w:rPr>
        <w:t xml:space="preserve"> (Ont. C.A.) and </w:t>
      </w:r>
      <w:r>
        <w:rPr>
          <w:rFonts w:ascii="arial" w:eastAsia="arial" w:hAnsi="arial" w:cs="arial"/>
          <w:b/>
          <w:i/>
          <w:color w:val="000000"/>
          <w:sz w:val="20"/>
          <w:lang w:val="en-US" w:eastAsia="en-US" w:bidi="ar-SA"/>
        </w:rPr>
        <w:t>Philips v. Philips</w:t>
      </w:r>
      <w:r>
        <w:rPr>
          <w:rFonts w:ascii="arial" w:eastAsia="arial" w:hAnsi="arial" w:cs="arial"/>
          <w:color w:val="000000"/>
          <w:sz w:val="20"/>
          <w:lang w:val="en-US" w:eastAsia="en-US" w:bidi="ar-SA"/>
        </w:rPr>
        <w:t xml:space="preserve"> </w:t>
      </w:r>
      <w:hyperlink r:id="rId636" w:history="1">
        <w:r>
          <w:rPr>
            <w:rFonts w:ascii="arial" w:eastAsia="arial" w:hAnsi="arial" w:cs="arial"/>
            <w:i/>
            <w:color w:val="0077CC"/>
            <w:sz w:val="20"/>
            <w:u w:val="single"/>
            <w:shd w:val="clear" w:color="auto" w:fill="FFFFFF"/>
            <w:lang w:val="en-US" w:eastAsia="en-US" w:bidi="ar-SA"/>
          </w:rPr>
          <w:t>(1962), 31 D.L.R. (2d) 546</w:t>
        </w:r>
      </w:hyperlink>
      <w:r>
        <w:rPr>
          <w:rFonts w:ascii="arial" w:eastAsia="arial" w:hAnsi="arial" w:cs="arial"/>
          <w:color w:val="000000"/>
          <w:sz w:val="20"/>
          <w:lang w:val="en-US" w:eastAsia="en-US" w:bidi="ar-SA"/>
        </w:rPr>
        <w:t xml:space="preserve">, </w:t>
      </w:r>
      <w:hyperlink r:id="rId636" w:history="1">
        <w:r>
          <w:rPr>
            <w:rFonts w:ascii="arial" w:eastAsia="arial" w:hAnsi="arial" w:cs="arial"/>
            <w:i/>
            <w:color w:val="0077CC"/>
            <w:sz w:val="20"/>
            <w:u w:val="single"/>
            <w:shd w:val="clear" w:color="auto" w:fill="FFFFFF"/>
            <w:lang w:val="en-US" w:eastAsia="en-US" w:bidi="ar-SA"/>
          </w:rPr>
          <w:t>[1962] O.R. 242</w:t>
        </w:r>
      </w:hyperlink>
      <w:r>
        <w:rPr>
          <w:rFonts w:ascii="arial" w:eastAsia="arial" w:hAnsi="arial" w:cs="arial"/>
          <w:color w:val="000000"/>
          <w:sz w:val="20"/>
          <w:lang w:val="en-US" w:eastAsia="en-US" w:bidi="ar-SA"/>
        </w:rPr>
        <w:t xml:space="preserve"> (H.C.J.).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Both the </w:t>
      </w:r>
      <w:r>
        <w:rPr>
          <w:rFonts w:ascii="arial" w:eastAsia="arial" w:hAnsi="arial" w:cs="arial"/>
          <w:b/>
          <w:i/>
          <w:color w:val="000000"/>
          <w:sz w:val="20"/>
          <w:lang w:val="en-US" w:eastAsia="en-US" w:bidi="ar-SA"/>
        </w:rPr>
        <w:t>Divorce Act</w:t>
      </w:r>
      <w:r>
        <w:rPr>
          <w:rFonts w:ascii="arial" w:eastAsia="arial" w:hAnsi="arial" w:cs="arial"/>
          <w:color w:val="000000"/>
          <w:sz w:val="20"/>
          <w:lang w:val="en-US" w:eastAsia="en-US" w:bidi="ar-SA"/>
        </w:rPr>
        <w:t xml:space="preserve">, R.S.C. 1985, c. 3 and the </w:t>
      </w:r>
      <w:r>
        <w:rPr>
          <w:rFonts w:ascii="arial" w:eastAsia="arial" w:hAnsi="arial" w:cs="arial"/>
          <w:b/>
          <w:i/>
          <w:color w:val="000000"/>
          <w:sz w:val="20"/>
          <w:lang w:val="en-US" w:eastAsia="en-US" w:bidi="ar-SA"/>
        </w:rPr>
        <w:t>Family Relations Act</w:t>
      </w:r>
      <w:r>
        <w:rPr>
          <w:rFonts w:ascii="arial" w:eastAsia="arial" w:hAnsi="arial" w:cs="arial"/>
          <w:color w:val="000000"/>
          <w:sz w:val="20"/>
          <w:lang w:val="en-US" w:eastAsia="en-US" w:bidi="ar-SA"/>
        </w:rPr>
        <w:t xml:space="preserve">, </w:t>
      </w:r>
      <w:hyperlink r:id="rId628" w:history="1">
        <w:r>
          <w:rPr>
            <w:rFonts w:ascii="arial" w:eastAsia="arial" w:hAnsi="arial" w:cs="arial"/>
            <w:i/>
            <w:color w:val="0077CC"/>
            <w:sz w:val="20"/>
            <w:u w:val="single"/>
            <w:shd w:val="clear" w:color="auto" w:fill="FFFFFF"/>
            <w:lang w:val="en-US" w:eastAsia="en-US" w:bidi="ar-SA"/>
          </w:rPr>
          <w:t>R.S.B.C. 1996, c. 128</w:t>
        </w:r>
      </w:hyperlink>
      <w:r>
        <w:rPr>
          <w:rFonts w:ascii="arial" w:eastAsia="arial" w:hAnsi="arial" w:cs="arial"/>
          <w:color w:val="000000"/>
          <w:sz w:val="20"/>
          <w:lang w:val="en-US" w:eastAsia="en-US" w:bidi="ar-SA"/>
        </w:rPr>
        <w:t xml:space="preserve"> were enacted when the common law in Canada and British Columbia did not permit inter-spousal deceit claims, as the cases just cited illustrate. Legislation would have had to alter the common law to provide specifically for such a cause of action. The fact neither enactment so provided is not surprising, since both enactments deal primarily with remedies on marriage breakdown, which both enactments stipulate are available irrespective of the conduct or fault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Tumna</w:t>
      </w:r>
      <w:r>
        <w:rPr>
          <w:rFonts w:ascii="arial" w:eastAsia="arial" w:hAnsi="arial" w:cs="arial"/>
          <w:color w:val="000000"/>
          <w:sz w:val="20"/>
          <w:lang w:val="en-US" w:eastAsia="en-US" w:bidi="ar-SA"/>
        </w:rPr>
        <w:t xml:space="preserve">, Master McCallum concluded the effect of s. 60 of the </w:t>
      </w:r>
      <w:r>
        <w:rPr>
          <w:rFonts w:ascii="arial" w:eastAsia="arial" w:hAnsi="arial" w:cs="arial"/>
          <w:b/>
          <w:i/>
          <w:color w:val="000000"/>
          <w:sz w:val="20"/>
          <w:lang w:val="en-US" w:eastAsia="en-US" w:bidi="ar-SA"/>
        </w:rPr>
        <w:t>Law and Equity Act</w:t>
      </w:r>
      <w:r>
        <w:rPr>
          <w:rFonts w:ascii="arial" w:eastAsia="arial" w:hAnsi="arial" w:cs="arial"/>
          <w:color w:val="000000"/>
          <w:sz w:val="20"/>
          <w:lang w:val="en-US" w:eastAsia="en-US" w:bidi="ar-SA"/>
        </w:rPr>
        <w:t xml:space="preserve"> was to permit the common law tort of deceit by one spouse against the other notwithstanding the long established judicially recognized public policy against such actions. That interpretation of s. 60 had the effect of introducing the concept of fault as a basis for remedies between still married spouses years after both Parliament in the </w:t>
      </w:r>
      <w:r>
        <w:rPr>
          <w:rFonts w:ascii="arial" w:eastAsia="arial" w:hAnsi="arial" w:cs="arial"/>
          <w:b/>
          <w:i/>
          <w:color w:val="000000"/>
          <w:sz w:val="20"/>
          <w:lang w:val="en-US" w:eastAsia="en-US" w:bidi="ar-SA"/>
        </w:rPr>
        <w:t>Divorce Act</w:t>
      </w:r>
      <w:r>
        <w:rPr>
          <w:rFonts w:ascii="arial" w:eastAsia="arial" w:hAnsi="arial" w:cs="arial"/>
          <w:color w:val="000000"/>
          <w:sz w:val="20"/>
          <w:lang w:val="en-US" w:eastAsia="en-US" w:bidi="ar-SA"/>
        </w:rPr>
        <w:t xml:space="preserve"> and the British Columbia Legislature in the </w:t>
      </w:r>
      <w:r>
        <w:rPr>
          <w:rFonts w:ascii="arial" w:eastAsia="arial" w:hAnsi="arial" w:cs="arial"/>
          <w:b/>
          <w:i/>
          <w:color w:val="000000"/>
          <w:sz w:val="20"/>
          <w:lang w:val="en-US" w:eastAsia="en-US" w:bidi="ar-SA"/>
        </w:rPr>
        <w:t>Family Relations Act</w:t>
      </w:r>
      <w:r>
        <w:rPr>
          <w:rFonts w:ascii="arial" w:eastAsia="arial" w:hAnsi="arial" w:cs="arial"/>
          <w:color w:val="000000"/>
          <w:sz w:val="20"/>
          <w:lang w:val="en-US" w:eastAsia="en-US" w:bidi="ar-SA"/>
        </w:rPr>
        <w:t xml:space="preserve"> specifically eliminated conduct as a consideration in respect of the statutory remedies available on marriage breakdown.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elimination of inter-spousal tort immunity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order to permit one spouse to recover damages from the other for negligently inflicted injuries or for intentional torts such as assault or conversion was enlightened public policy. All of these causes of action are unrelated to the status of marriage or the obligations one spouse owes to the other qua spouse.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However, deceit or misrepresentation which induces the other spouse to marry goes directly to the unique marital relationship. While any person may sue another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assault or conversion, only married persons could conceivably allege their very status of spouses and their martial relationship, which includes duties and obligations and such mutual support, had been induced by deceit.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On first impression it seems a perverse that s. 60 of the </w:t>
      </w:r>
      <w:r>
        <w:rPr>
          <w:rFonts w:ascii="arial" w:eastAsia="arial" w:hAnsi="arial" w:cs="arial"/>
          <w:b/>
          <w:i/>
          <w:color w:val="000000"/>
          <w:sz w:val="20"/>
          <w:lang w:val="en-US" w:eastAsia="en-US" w:bidi="ar-SA"/>
        </w:rPr>
        <w:t>Law and Equity Act</w:t>
      </w:r>
      <w:r>
        <w:rPr>
          <w:rFonts w:ascii="arial" w:eastAsia="arial" w:hAnsi="arial" w:cs="arial"/>
          <w:color w:val="000000"/>
          <w:sz w:val="20"/>
          <w:lang w:val="en-US" w:eastAsia="en-US" w:bidi="ar-SA"/>
        </w:rPr>
        <w:t xml:space="preserve"> should have the effect of permitting a tort remedy between spouses for deceit, that is one based on intentional (mis)conduct, years after both Parliament and the Legislature determined that conduct should not be a factor in remedies available on marriage breakdown.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However, this effect of s. 60 provides a remedy for a spouse who discovers deceit and separates before the parties have established any economic interdependence which would entitle the deceived spouse to a "no fault" statutory remedy, such as support or reapportionment of family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Tumna</w:t>
      </w:r>
      <w:r>
        <w:rPr>
          <w:rFonts w:ascii="arial" w:eastAsia="arial" w:hAnsi="arial" w:cs="arial"/>
          <w:color w:val="000000"/>
          <w:sz w:val="20"/>
          <w:lang w:val="en-US" w:eastAsia="en-US" w:bidi="ar-SA"/>
        </w:rPr>
        <w:t xml:space="preserve">, Master McCallum concluded that s. 60 of the </w:t>
      </w:r>
      <w:r>
        <w:rPr>
          <w:rFonts w:ascii="arial" w:eastAsia="arial" w:hAnsi="arial" w:cs="arial"/>
          <w:b/>
          <w:i/>
          <w:color w:val="000000"/>
          <w:sz w:val="20"/>
          <w:lang w:val="en-US" w:eastAsia="en-US" w:bidi="ar-SA"/>
        </w:rPr>
        <w:t>Law and Equity Act</w:t>
      </w:r>
      <w:r>
        <w:rPr>
          <w:rFonts w:ascii="arial" w:eastAsia="arial" w:hAnsi="arial" w:cs="arial"/>
          <w:color w:val="000000"/>
          <w:sz w:val="20"/>
          <w:lang w:val="en-US" w:eastAsia="en-US" w:bidi="ar-SA"/>
        </w:rPr>
        <w:t xml:space="preserve"> had the effect of overturning </w:t>
      </w:r>
      <w:r>
        <w:rPr>
          <w:rFonts w:ascii="arial" w:eastAsia="arial" w:hAnsi="arial" w:cs="arial"/>
          <w:b/>
          <w:i/>
          <w:color w:val="000000"/>
          <w:sz w:val="20"/>
          <w:lang w:val="en-US" w:eastAsia="en-US" w:bidi="ar-SA"/>
        </w:rPr>
        <w:t>Said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Where there was no valid marriage, as in cases of bigamy, the bigamist could always be sued for deceit by the party induced to "marry" by the deceitful representation that the bigamist was single and so had the capacity to marry.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This point leads to the conclusion that subsection 60(3) ended the common law prohibition of inter-spousal actions for deceit, as articulated in </w:t>
      </w:r>
      <w:r>
        <w:rPr>
          <w:rFonts w:ascii="arial" w:eastAsia="arial" w:hAnsi="arial" w:cs="arial"/>
          <w:b/>
          <w:i/>
          <w:color w:val="000000"/>
          <w:sz w:val="20"/>
          <w:lang w:val="en-US" w:eastAsia="en-US" w:bidi="ar-SA"/>
        </w:rPr>
        <w:t>Said</w:t>
      </w:r>
      <w:r>
        <w:rPr>
          <w:rFonts w:ascii="arial" w:eastAsia="arial" w:hAnsi="arial" w:cs="arial"/>
          <w:color w:val="000000"/>
          <w:sz w:val="20"/>
          <w:lang w:val="en-US" w:eastAsia="en-US" w:bidi="ar-SA"/>
        </w:rPr>
        <w:t>. Subsection 60(3)(a) provides: "each of the parties to a marriage has the same right of action in tort against the other as if they were not married." The effect of this subsection must be to give the parties to a valid marriage the same right of action against one another for deceit as has hitherto been available to the wronged party to a bigamous relationship, unless misrepresentation as to the deceiver's capacity to marry is treated by the law differently from the misrepresentation as to "the quality of the marriage, the motives and expectations of the parties, the reasons behind the marriage."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Where, as here, there is no effective statutory remedy in light of the absence of economic interdependence between the parties, there is no compelling argument for making such a distinction. This case is more akin to the bigamy cases where the wronged party says, in effect "I would never have entered this relationship but for the misrepresentations of what it would be", than it is to a typical case of marriage breakdown where it is the financial impact on the parties of the marriage and its breakdown which are addressed by the no fault statutory remedies.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four elements of the tort of deceit are: a false representation, knowledge of its falsity, an intent to deceive and reliance by the plaintiff with resulting damage. Here the defendant either knew that his representations that he had split up with Vijay prior to the marriage and that he would move to Canada to raise a family with the plaintiff as his wife were false or he was reckless as to their truth or falsity. There is no doubt the defendant intended the plaintiff would believe these representations so she would marry him, nor is there any doubt the plaintiff relied on these representations when she agree to marry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find the defendant misrepresented his true feelings towards the plaintiff and his true motive for marrying her order to induce her to marry him so he could emigrate to Canada. I find the plaintiff married the defendant relying on his misrepresentations of true affection and a desire to build a family with her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defendant's misrepresentations entitle the plaintiff to damages resulting from her reliance on them. The issue is the amount of damages the plaintiff may recover for the defendant's deceit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main misrepresentations made by the defendant after the marriage were that he was not continuing an adulterous relationship with Vijay and that he still wanted to come to Canada to live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One spouse owes the other no duty to disclose an adulterous relationship. See </w:t>
      </w:r>
      <w:r>
        <w:rPr>
          <w:rFonts w:ascii="arial" w:eastAsia="arial" w:hAnsi="arial" w:cs="arial"/>
          <w:b/>
          <w:i/>
          <w:color w:val="000000"/>
          <w:sz w:val="20"/>
          <w:lang w:val="en-US" w:eastAsia="en-US" w:bidi="ar-SA"/>
        </w:rPr>
        <w:t>Fleming v. Fleming</w:t>
      </w:r>
      <w:r>
        <w:rPr>
          <w:rFonts w:ascii="arial" w:eastAsia="arial" w:hAnsi="arial" w:cs="arial"/>
          <w:color w:val="000000"/>
          <w:sz w:val="20"/>
          <w:lang w:val="en-US" w:eastAsia="en-US" w:bidi="ar-SA"/>
        </w:rPr>
        <w:t xml:space="preserve"> </w:t>
      </w:r>
      <w:hyperlink r:id="rId637" w:history="1">
        <w:r>
          <w:rPr>
            <w:rFonts w:ascii="arial" w:eastAsia="arial" w:hAnsi="arial" w:cs="arial"/>
            <w:i/>
            <w:color w:val="0077CC"/>
            <w:sz w:val="20"/>
            <w:u w:val="single"/>
            <w:shd w:val="clear" w:color="auto" w:fill="FFFFFF"/>
            <w:lang w:val="en-US" w:eastAsia="en-US" w:bidi="ar-SA"/>
          </w:rPr>
          <w:t>(2001), 19 R.F.L. (5th) 274</w:t>
        </w:r>
      </w:hyperlink>
      <w:r>
        <w:rPr>
          <w:rFonts w:ascii="arial" w:eastAsia="arial" w:hAnsi="arial" w:cs="arial"/>
          <w:color w:val="000000"/>
          <w:sz w:val="20"/>
          <w:lang w:val="en-US" w:eastAsia="en-US" w:bidi="ar-SA"/>
        </w:rPr>
        <w:t xml:space="preserve"> (Ont. S.C.J.). The plaintiff admitted that after her trip to Fiji where she confronted the defendant and Vijay she was dubious about his denial of the affair.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However, by actively denying his adultery and representing to the plaintiff that he still wanted to have his marriage and join her "soon" in Canada, after failing his immigration interview, the defendant must have intended that the plaintiff would continue to support his immigration by paying for his appeal. Had the plaintiff not relied on these representations presumably she would not have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defendant's lack of commitment to the marriage was evident almost immediately upon his arrival in Canada. The plaintiff's suspicion that the defendant was continuing his relationship with Vijay could only have been enhanced by her discovery of Vijay's picture and a phone card in his wallet. The defendant's departure within days could lead the plaintiff to no other rational conclusion than that all the defendant represented about his intentions in respect of the marriage was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By the time the defendant left for Edmonton he could have had no intention that the plaintiff would continue to rely on his misrepresentations. Nor can the plaintiff, who by then had means of knowledge that the defendant's representations were false, assert that she continued to rely on them to her detriment in pursuing her extended effort to re-establish contact with the defendant in the hope of saving the marriage.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therefore conclude that the plaintiff's damages are limited to those which resulted from the defendant's misrepresentations before the marriage which induced her to marry him and support his immigration and those misrepresentations made after the marriage which induced her to continue to continue to support it, despite his falsely denied adultery, by paying for his immigration appeal and landing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For the following reasons, I decline to award the plaintiff damages for her expenses in trying to locate the defendant after he left or for her emotional and physical response to his ultimate rejection of her in September 2002. First, the plaintiff, by the circumstances of the defendant's departure, had knowledge that his representations were false. Second, neither her effort to locate the defendant to re-establish what was by then clearly a failed marriage nor her belated emotional and physical response to his final rejection of her can have been something the defendant intended or could have foreseen would be the result of his misrepresentations.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 claims as special damages her expenses related to travelling to Fiji to meet the defendant, her wedding expenses, expenses she paid relating to his immigration, long distance telephone expenses and the expenses of her second trip to Fiji to confront him respecting his infidelity.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Since the plaintiff had not agreed to marry the defendant until they met face to face, the cost of her flight to Fiji to meet him and the costs of her engagement and wedding saris were costs she incurred independently of any reliance on his misrepresentations. She was not certain she would marry him when she incurred those expenses. They would have been "thrown away" if she had decided the parties were incompatible once they met. The expenses she incurred for the marriage are a result of the defendant's misrepresentations, they are the cost of the reception, photos and ring, for which I award $1,300.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expenses related to the defendant's immigration, his $500 application, $2,500 appeal and $975 landing fee, are recoverable. I award $3,475.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expenses incurred in respect of the plaintiff's second trip to Fiji to confront the defendant in respect of his infidelity were incurred by the plaintiff not because she believed the defendant's telephone denial of the affair with Vijay, which was a misrepresentation, but because she did not. Had the defendant admitted the affair, the plaintiff might well have travelled to Fiji in an effort to reconcile. I find these expenses were not incurred as a result of the defendant's misrepresentation and are not recoverable.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However, the defendant's further face-to-face denial of the affair with Vijay, which he intended the plaintiff to act on and she did, resulted in her continuing the relationship. Her pre and post marriage long distance telephone expenses were reasonably incurred to establish and maintain contact with the defendant who continued to claim he loved her until he arrived in Canada. I award the plaintiff the cost of these calls from 1999 through 2001, when the defendant arrived in Canada, in the amount of $6,601, for a total award of special damages of $11,376.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In light of the effect of s. 60(3)(a) of the </w:t>
      </w:r>
      <w:r>
        <w:rPr>
          <w:rFonts w:ascii="arial" w:eastAsia="arial" w:hAnsi="arial" w:cs="arial"/>
          <w:b/>
          <w:i/>
          <w:color w:val="000000"/>
          <w:sz w:val="20"/>
          <w:lang w:val="en-US" w:eastAsia="en-US" w:bidi="ar-SA"/>
        </w:rPr>
        <w:t>Law and Equity Act</w:t>
      </w:r>
      <w:r>
        <w:rPr>
          <w:rFonts w:ascii="arial" w:eastAsia="arial" w:hAnsi="arial" w:cs="arial"/>
          <w:color w:val="000000"/>
          <w:sz w:val="20"/>
          <w:lang w:val="en-US" w:eastAsia="en-US" w:bidi="ar-SA"/>
        </w:rPr>
        <w:t>, which is to put this case on the same footing as cases where deceit has resulted in bigamy, those cases which have considered damages arising from bigamous relationships are of some assistance in respect of 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plaintiff claims damages for loss of the opportunity to have children. She testified the defendant's representation that he was anxious to have children was something she relied on. She is now too old to conceive. The defendant denied they had any agreement about when they would have children. Whether they did or did not have an agreement, the marriage offered the plaintiff at least the prospect of children and ended her search for a sire. When the defendant abandoned the marriage that prospect 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 have already determined that the plaintiff cannot recover damages for the period after the defendant left for Edmonton. If I am wrong about that, it is my view the plaintiff cannot recover damages for what is characterized as "nervous shock" in respect of her reaction to the defendant's rejection of her in September 2002. His conduct at that time does not approach the categories of "extreme," "flagrant," "outrageous" or "beyond mere insult" necessary to "actually cause harm consisting of a recognizable psychiatric illness and not merely mental distress." See </w:t>
      </w:r>
      <w:r>
        <w:rPr>
          <w:rFonts w:ascii="arial" w:eastAsia="arial" w:hAnsi="arial" w:cs="arial"/>
          <w:b/>
          <w:i/>
          <w:color w:val="000000"/>
          <w:sz w:val="20"/>
          <w:lang w:val="en-US" w:eastAsia="en-US" w:bidi="ar-SA"/>
        </w:rPr>
        <w:t>Falbo v. Coutts Estate</w:t>
      </w:r>
      <w:r>
        <w:rPr>
          <w:rFonts w:ascii="arial" w:eastAsia="arial" w:hAnsi="arial" w:cs="arial"/>
          <w:color w:val="000000"/>
          <w:sz w:val="20"/>
          <w:lang w:val="en-US" w:eastAsia="en-US" w:bidi="ar-SA"/>
        </w:rPr>
        <w:t xml:space="preserve">, </w:t>
      </w:r>
      <w:hyperlink r:id="rId638" w:history="1">
        <w:r>
          <w:rPr>
            <w:rFonts w:ascii="arial" w:eastAsia="arial" w:hAnsi="arial" w:cs="arial"/>
            <w:i/>
            <w:color w:val="0077CC"/>
            <w:sz w:val="20"/>
            <w:u w:val="single"/>
            <w:shd w:val="clear" w:color="auto" w:fill="FFFFFF"/>
            <w:lang w:val="en-US" w:eastAsia="en-US" w:bidi="ar-SA"/>
          </w:rPr>
          <w:t>[2000] B.C.J. No. 504</w:t>
        </w:r>
      </w:hyperlink>
      <w:r>
        <w:rPr>
          <w:rFonts w:ascii="arial" w:eastAsia="arial" w:hAnsi="arial" w:cs="arial"/>
          <w:color w:val="000000"/>
          <w:sz w:val="20"/>
          <w:lang w:val="en-US" w:eastAsia="en-US" w:bidi="ar-SA"/>
        </w:rPr>
        <w:t xml:space="preserve">, </w:t>
      </w:r>
      <w:hyperlink r:id="rId638" w:history="1">
        <w:r>
          <w:rPr>
            <w:rFonts w:ascii="arial" w:eastAsia="arial" w:hAnsi="arial" w:cs="arial"/>
            <w:i/>
            <w:color w:val="0077CC"/>
            <w:sz w:val="20"/>
            <w:u w:val="single"/>
            <w:shd w:val="clear" w:color="auto" w:fill="FFFFFF"/>
            <w:lang w:val="en-US" w:eastAsia="en-US" w:bidi="ar-SA"/>
          </w:rPr>
          <w:t>2000 BCSC 434</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Louie v. Lastman</w:t>
      </w:r>
      <w:r>
        <w:rPr>
          <w:rFonts w:ascii="arial" w:eastAsia="arial" w:hAnsi="arial" w:cs="arial"/>
          <w:color w:val="000000"/>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(1999), 199 D.L.R. (4th) 741</w:t>
        </w:r>
      </w:hyperlink>
      <w:r>
        <w:rPr>
          <w:rFonts w:ascii="arial" w:eastAsia="arial" w:hAnsi="arial" w:cs="arial"/>
          <w:color w:val="000000"/>
          <w:sz w:val="20"/>
          <w:lang w:val="en-US" w:eastAsia="en-US" w:bidi="ar-SA"/>
        </w:rPr>
        <w:t xml:space="preserve"> (Ont. S.C.J.), aff'd </w:t>
      </w:r>
      <w:hyperlink r:id="rId640" w:history="1">
        <w:r>
          <w:rPr>
            <w:rFonts w:ascii="arial" w:eastAsia="arial" w:hAnsi="arial" w:cs="arial"/>
            <w:i/>
            <w:color w:val="0077CC"/>
            <w:sz w:val="20"/>
            <w:u w:val="single"/>
            <w:shd w:val="clear" w:color="auto" w:fill="FFFFFF"/>
            <w:lang w:val="en-US" w:eastAsia="en-US" w:bidi="ar-SA"/>
          </w:rPr>
          <w:t>(2002), 217 D.L.R. (4th) 269</w:t>
        </w:r>
      </w:hyperlink>
      <w:r>
        <w:rPr>
          <w:rFonts w:ascii="arial" w:eastAsia="arial" w:hAnsi="arial" w:cs="arial"/>
          <w:color w:val="000000"/>
          <w:sz w:val="20"/>
          <w:lang w:val="en-US" w:eastAsia="en-US" w:bidi="ar-SA"/>
        </w:rPr>
        <w:t xml:space="preserve"> at 89 (Ont.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Awards of general damages in bigamy cases have been modest, even in respect of lengthy relationships which have precluded the deceived party from being legally married. See </w:t>
      </w:r>
      <w:r>
        <w:rPr>
          <w:rFonts w:ascii="arial" w:eastAsia="arial" w:hAnsi="arial" w:cs="arial"/>
          <w:b/>
          <w:i/>
          <w:color w:val="000000"/>
          <w:sz w:val="20"/>
          <w:lang w:val="en-US" w:eastAsia="en-US" w:bidi="ar-SA"/>
        </w:rPr>
        <w:t>Bolentiru v. Radulescu</w:t>
      </w:r>
      <w:r>
        <w:rPr>
          <w:rFonts w:ascii="arial" w:eastAsia="arial" w:hAnsi="arial" w:cs="arial"/>
          <w:color w:val="000000"/>
          <w:sz w:val="20"/>
          <w:lang w:val="en-US" w:eastAsia="en-US" w:bidi="ar-SA"/>
        </w:rPr>
        <w:t xml:space="preserve"> </w:t>
      </w:r>
      <w:hyperlink r:id="rId641" w:history="1">
        <w:r>
          <w:rPr>
            <w:rFonts w:ascii="arial" w:eastAsia="arial" w:hAnsi="arial" w:cs="arial"/>
            <w:i/>
            <w:color w:val="0077CC"/>
            <w:sz w:val="20"/>
            <w:u w:val="single"/>
            <w:shd w:val="clear" w:color="auto" w:fill="FFFFFF"/>
            <w:lang w:val="en-US" w:eastAsia="en-US" w:bidi="ar-SA"/>
          </w:rPr>
          <w:t>(2004), 10 R.F.L. (6th) 258</w:t>
        </w:r>
      </w:hyperlink>
      <w:r>
        <w:rPr>
          <w:rFonts w:ascii="arial" w:eastAsia="arial" w:hAnsi="arial" w:cs="arial"/>
          <w:color w:val="000000"/>
          <w:sz w:val="20"/>
          <w:lang w:val="en-US" w:eastAsia="en-US" w:bidi="ar-SA"/>
        </w:rPr>
        <w:t xml:space="preserve"> (Ont. S.C.J.), </w:t>
      </w:r>
      <w:r>
        <w:rPr>
          <w:rFonts w:ascii="arial" w:eastAsia="arial" w:hAnsi="arial" w:cs="arial"/>
          <w:b/>
          <w:i/>
          <w:color w:val="000000"/>
          <w:sz w:val="20"/>
          <w:lang w:val="en-US" w:eastAsia="en-US" w:bidi="ar-SA"/>
        </w:rPr>
        <w:t>Dubenchuk (Cooke) v. Cooke</w:t>
      </w:r>
      <w:r>
        <w:rPr>
          <w:rFonts w:ascii="arial" w:eastAsia="arial" w:hAnsi="arial" w:cs="arial"/>
          <w:color w:val="000000"/>
          <w:sz w:val="20"/>
          <w:lang w:val="en-US" w:eastAsia="en-US" w:bidi="ar-SA"/>
        </w:rPr>
        <w:t xml:space="preserve"> </w:t>
      </w:r>
      <w:hyperlink r:id="rId642" w:history="1">
        <w:r>
          <w:rPr>
            <w:rFonts w:ascii="arial" w:eastAsia="arial" w:hAnsi="arial" w:cs="arial"/>
            <w:i/>
            <w:color w:val="0077CC"/>
            <w:sz w:val="20"/>
            <w:u w:val="single"/>
            <w:shd w:val="clear" w:color="auto" w:fill="FFFFFF"/>
            <w:lang w:val="en-US" w:eastAsia="en-US" w:bidi="ar-SA"/>
          </w:rPr>
          <w:t>(1985), 48 R.F.L. (2d) 315</w:t>
        </w:r>
      </w:hyperlink>
      <w:r>
        <w:rPr>
          <w:rFonts w:ascii="arial" w:eastAsia="arial" w:hAnsi="arial" w:cs="arial"/>
          <w:color w:val="000000"/>
          <w:sz w:val="20"/>
          <w:lang w:val="en-US" w:eastAsia="en-US" w:bidi="ar-SA"/>
        </w:rPr>
        <w:t xml:space="preserve"> (B.C.S.C.), </w:t>
      </w:r>
      <w:r>
        <w:rPr>
          <w:rFonts w:ascii="arial" w:eastAsia="arial" w:hAnsi="arial" w:cs="arial"/>
          <w:b/>
          <w:i/>
          <w:color w:val="000000"/>
          <w:sz w:val="20"/>
          <w:lang w:val="en-US" w:eastAsia="en-US" w:bidi="ar-SA"/>
        </w:rPr>
        <w:t>Kaminski v. Kaminski</w:t>
      </w:r>
      <w:r>
        <w:rPr>
          <w:rFonts w:ascii="arial" w:eastAsia="arial" w:hAnsi="arial" w:cs="arial"/>
          <w:color w:val="000000"/>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(1982), 48 A.R. 164</w:t>
        </w:r>
      </w:hyperlink>
      <w:r>
        <w:rPr>
          <w:rFonts w:ascii="arial" w:eastAsia="arial" w:hAnsi="arial" w:cs="arial"/>
          <w:color w:val="000000"/>
          <w:sz w:val="20"/>
          <w:lang w:val="en-US" w:eastAsia="en-US" w:bidi="ar-SA"/>
        </w:rPr>
        <w:t xml:space="preserve"> (Q.B.), </w:t>
      </w:r>
      <w:r>
        <w:rPr>
          <w:rFonts w:ascii="arial" w:eastAsia="arial" w:hAnsi="arial" w:cs="arial"/>
          <w:b/>
          <w:i/>
          <w:color w:val="000000"/>
          <w:sz w:val="20"/>
          <w:lang w:val="en-US" w:eastAsia="en-US" w:bidi="ar-SA"/>
        </w:rPr>
        <w:t>Beaulne v. Ricketts</w:t>
      </w:r>
      <w:r>
        <w:rPr>
          <w:rFonts w:ascii="arial" w:eastAsia="arial" w:hAnsi="arial" w:cs="arial"/>
          <w:color w:val="000000"/>
          <w:sz w:val="20"/>
          <w:lang w:val="en-US" w:eastAsia="en-US" w:bidi="ar-SA"/>
        </w:rPr>
        <w:t xml:space="preserve">, </w:t>
      </w:r>
      <w:hyperlink r:id="rId644" w:history="1">
        <w:r>
          <w:rPr>
            <w:rFonts w:ascii="arial" w:eastAsia="arial" w:hAnsi="arial" w:cs="arial"/>
            <w:i/>
            <w:color w:val="0077CC"/>
            <w:sz w:val="20"/>
            <w:u w:val="single"/>
            <w:shd w:val="clear" w:color="auto" w:fill="FFFFFF"/>
            <w:lang w:val="en-US" w:eastAsia="en-US" w:bidi="ar-SA"/>
          </w:rPr>
          <w:t>[1979] 3 W.W.R. 270</w:t>
        </w:r>
      </w:hyperlink>
      <w:r>
        <w:rPr>
          <w:rFonts w:ascii="arial" w:eastAsia="arial" w:hAnsi="arial" w:cs="arial"/>
          <w:color w:val="000000"/>
          <w:sz w:val="20"/>
          <w:lang w:val="en-US" w:eastAsia="en-US" w:bidi="ar-SA"/>
        </w:rPr>
        <w:t xml:space="preserve"> (Alta. S.C.T.D.) and </w:t>
      </w:r>
      <w:r>
        <w:rPr>
          <w:rFonts w:ascii="arial" w:eastAsia="arial" w:hAnsi="arial" w:cs="arial"/>
          <w:b/>
          <w:i/>
          <w:color w:val="000000"/>
          <w:sz w:val="20"/>
          <w:lang w:val="en-US" w:eastAsia="en-US" w:bidi="ar-SA"/>
        </w:rPr>
        <w:t>Snarr (Austin) v. Austin</w:t>
      </w:r>
      <w:r>
        <w:rPr>
          <w:rFonts w:ascii="arial" w:eastAsia="arial" w:hAnsi="arial" w:cs="arial"/>
          <w:color w:val="000000"/>
          <w:sz w:val="20"/>
          <w:lang w:val="en-US" w:eastAsia="en-US" w:bidi="ar-SA"/>
        </w:rPr>
        <w:t xml:space="preserve"> </w:t>
      </w:r>
      <w:hyperlink r:id="rId645" w:history="1">
        <w:r>
          <w:rPr>
            <w:rFonts w:ascii="arial" w:eastAsia="arial" w:hAnsi="arial" w:cs="arial"/>
            <w:i/>
            <w:color w:val="0077CC"/>
            <w:sz w:val="20"/>
            <w:u w:val="single"/>
            <w:shd w:val="clear" w:color="auto" w:fill="FFFFFF"/>
            <w:lang w:val="en-US" w:eastAsia="en-US" w:bidi="ar-SA"/>
          </w:rPr>
          <w:t>(1978), 6 R.F.L. (2d) 293</w:t>
        </w:r>
      </w:hyperlink>
      <w:r>
        <w:rPr>
          <w:rFonts w:ascii="arial" w:eastAsia="arial" w:hAnsi="arial" w:cs="arial"/>
          <w:color w:val="000000"/>
          <w:sz w:val="20"/>
          <w:lang w:val="en-US" w:eastAsia="en-US" w:bidi="ar-SA"/>
        </w:rPr>
        <w:t xml:space="preserve"> (Ont. S.C. H.C.J.).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Bearing in mind these authorities I award the plaintiff $10,000 general damages for hurt feelings, humiliation, inconvenience and postponement of the opportunity to marry another man while she was still capable of bearing children. I discount the latter aspect of the claim on the basis of the contingencies that she might not have found a suitable husband and might not have had a child for any number of reasons even had she married someone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make no award of punitive damages. While the defendant's conduct was that of a cad, courts are reluctant to censure even the most egregious marital conduct, since to do so may promote vindictive and extortionate litigation, where such disputes are more appropriately resolved under the existing provincial and federal statutory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Kaddoura v. Hammoud</w:t>
      </w:r>
      <w:r>
        <w:rPr>
          <w:rFonts w:ascii="arial" w:eastAsia="arial" w:hAnsi="arial" w:cs="arial"/>
          <w:color w:val="000000"/>
          <w:sz w:val="20"/>
          <w:lang w:val="en-US" w:eastAsia="en-US" w:bidi="ar-SA"/>
        </w:rPr>
        <w:t xml:space="preserve"> </w:t>
      </w:r>
      <w:hyperlink r:id="rId646" w:history="1">
        <w:r>
          <w:rPr>
            <w:rFonts w:ascii="arial" w:eastAsia="arial" w:hAnsi="arial" w:cs="arial"/>
            <w:i/>
            <w:color w:val="0077CC"/>
            <w:sz w:val="20"/>
            <w:u w:val="single"/>
            <w:shd w:val="clear" w:color="auto" w:fill="FFFFFF"/>
            <w:lang w:val="en-US" w:eastAsia="en-US" w:bidi="ar-SA"/>
          </w:rPr>
          <w:t>(1998), 168 D.L.R. (4th) 503</w:t>
        </w:r>
      </w:hyperlink>
      <w:r>
        <w:rPr>
          <w:rFonts w:ascii="arial" w:eastAsia="arial" w:hAnsi="arial" w:cs="arial"/>
          <w:color w:val="000000"/>
          <w:sz w:val="20"/>
          <w:lang w:val="en-US" w:eastAsia="en-US" w:bidi="ar-SA"/>
        </w:rPr>
        <w:t xml:space="preserve"> (Ont. Gen. Div) the wife sought exemplary damages in a divorce proceeding for "breakdown of the marriage caused by the petitioner's irresponsible, cruel and humiliating behaviour towards the respondent" (at page 506). Rutherford J. recognized that spouses can sue each other for torts committed during the marriage. However, he declined to award damages to the wife. At page 506, his Lordship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I know of no principle precluding damages flowing from actionable or tortious conduct by one spouse to the other, it is not the case that every marriage breakdown has actionable or tortious fault as its cause. Indeed our family law regime throughout Canada endeavours to sort out property and living issues without trying to assign blame for the fact that the marriage is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Rutherford J. observed that the claim was not for compensatory damages but for exemplary damages. He held that the evidence showed the marriage broke down over the incompatibility of two conflicting personalities not misconduct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In the present case there are no statutory remedies available to the plaintiff. In that respect, the award of general damages to compensate her for the consequences of the defendant's misconduct is akin to the award rejected in </w:t>
      </w:r>
      <w:r>
        <w:rPr>
          <w:rFonts w:ascii="arial" w:eastAsia="arial" w:hAnsi="arial" w:cs="arial"/>
          <w:b/>
          <w:i/>
          <w:color w:val="000000"/>
          <w:sz w:val="20"/>
          <w:lang w:val="en-US" w:eastAsia="en-US" w:bidi="ar-SA"/>
        </w:rPr>
        <w:t>Kaddoura</w:t>
      </w:r>
      <w:r>
        <w:rPr>
          <w:rFonts w:ascii="arial" w:eastAsia="arial" w:hAnsi="arial" w:cs="arial"/>
          <w:color w:val="000000"/>
          <w:sz w:val="20"/>
          <w:lang w:val="en-US" w:eastAsia="en-US" w:bidi="ar-SA"/>
        </w:rPr>
        <w:t xml:space="preserve"> as amounting to a claim for punitive damages where statutory remedies were available. In my view, punitive damages should be available in a case such as this where liability is based on deceit only where the deceit has been intentionally undertaken to inflict harm on the wronged party. The evidence in this case does not support such a conclusion. The defendant was callously indifferent to the consequences of his deceit on the plaintiff, but his deceit was motivated by self-interest not vindictiveness.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award the plaintiff costs on scale 3, subject to the application of Rule 37 if it applies as a result of an offer of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E.R.A. EDWARDS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March 20,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page 23, paragraph 86, the neutral citation should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 Falbo v. Coutts Estate</w:t>
      </w:r>
      <w:r>
        <w:rPr>
          <w:rFonts w:ascii="arial" w:eastAsia="arial" w:hAnsi="arial" w:cs="arial"/>
          <w:color w:val="000000"/>
          <w:sz w:val="20"/>
          <w:lang w:val="en-US" w:eastAsia="en-US" w:bidi="ar-SA"/>
        </w:rPr>
        <w:t xml:space="preserve">, </w:t>
      </w:r>
      <w:hyperlink r:id="rId638" w:history="1">
        <w:r>
          <w:rPr>
            <w:rFonts w:ascii="arial" w:eastAsia="arial" w:hAnsi="arial" w:cs="arial"/>
            <w:i/>
            <w:color w:val="0077CC"/>
            <w:sz w:val="20"/>
            <w:u w:val="single"/>
            <w:shd w:val="clear" w:color="auto" w:fill="FFFFFF"/>
            <w:lang w:val="en-US" w:eastAsia="en-US" w:bidi="ar-SA"/>
          </w:rPr>
          <w:t>2000 BCSC 434</w:t>
        </w:r>
      </w:hyperlink>
      <w:r>
        <w:rPr>
          <w:rFonts w:ascii="arial" w:eastAsia="arial" w:hAnsi="arial" w:cs="arial"/>
          <w:color w:val="000000"/>
          <w:sz w:val="20"/>
          <w:lang w:val="en-US" w:eastAsia="en-US" w:bidi="ar-SA"/>
        </w:rPr>
        <w:t xml:space="preserve"> and ...."</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1" style="position:absolute;z-index:2518896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47"/>
          <w:headerReference w:type="default" r:id="rId648"/>
          <w:footerReference w:type="even" r:id="rId649"/>
          <w:footerReference w:type="default" r:id="rId650"/>
          <w:headerReference w:type="first" r:id="rId651"/>
          <w:footerReference w:type="first" r:id="rId65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53" w:history="1">
        <w:r>
          <w:rPr>
            <w:rFonts w:ascii="arial" w:eastAsia="arial" w:hAnsi="arial" w:cs="arial"/>
            <w:b/>
            <w:bCs/>
            <w:i/>
            <w:color w:val="0077CC"/>
            <w:kern w:val="32"/>
            <w:sz w:val="28"/>
            <w:szCs w:val="32"/>
            <w:u w:val="single"/>
            <w:shd w:val="clear" w:color="auto" w:fill="FFFFFF"/>
            <w:lang w:val="en-US" w:eastAsia="en-US" w:bidi="ar-SA"/>
          </w:rPr>
          <w:t>Richard v. British Columbia, [2014] B.C.J. No. 1465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 Fenlon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13, 2013; March 28,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7,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S024338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1465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1290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242 A.C.W.S. (3d) 778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67 B.C.L.R. (5th) 199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CarswellBC 2035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4 W.W.R. 619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William Joseph Richard and W.H.M., Plaintiffs, and Her Majesty the Queen in the Right of the Province of British Columbia,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2"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8" w:name="Keywords_31"/>
      <w:bookmarkEnd w:id="208"/>
      <w:r>
        <w:rPr>
          <w:rFonts w:ascii="arial" w:eastAsia="arial" w:hAnsi="arial" w:cs="arial"/>
          <w:b/>
          <w:color w:val="000000"/>
          <w:sz w:val="20"/>
          <w:lang w:val="en-US" w:eastAsia="en-US" w:bidi="ar-SA"/>
        </w:rPr>
        <w:t>Civil litigation — Civil procedure — Parties — Death of a party — Class or representative actions — Definition of class — Settlements — Application and motions — Application for directions — Joint application for court's opinion on whether estates of deceased class members could pursue claims under court-approved settlement agreement — Estates could not pursue claims — Settlement Agreement focused entirely on physical and psychological harm to class members in residential school and made no reference to claims for loss of income or other economic loss — Order expressly provided settlement was exclusive remedy for class members against defendant so if any pecuniary losses occurred, they had been released — Settlement agreement required class members prove entitlement and quantum of loss through defined process, which deceased members did not complete.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Trespass — To person — Assault — Practice and procedure — Parties — Joint application for court's opinion on whether estates of deceased class members could pursue claims under court-approved settlement agreement — Estates could not pursue claims — Settlement Agreement focused entirely on physical and psychological harm to class members in residential school and made no reference to claims for loss of income or other economic loss — Order expressly provided settlement was exclusive remedy for class members against defendant so if any pecuniary losses occurred, they had been released — Settlement agreement required class members prove entitlement and quantum of loss through defined process, which deceased members did not complete.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9" w:name="Case Summary_27"/>
            <w:bookmarkEnd w:id="20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Joint application by the parties for the court's opinion on whether the estates of deceased class members could pursue claims under the court-approved settlement agreement. This was a class action relating to abuse sustained in residential school. Three class members were now deceased, but were alive at the time the settlement agreement was signed, had retained counsel to pursue their claims and were listed as class members intending to pursue claims. The deceased class members' counsel had investigated their claims and contacted the defendant but no resolution was made. The beneficiaries of the estates of the deceased class members wanted to make claims on their behalf.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0" w:name="Holdings of Court_24"/>
            <w:bookmarkEnd w:id="210"/>
            <w:r>
              <w:rPr>
                <w:rFonts w:ascii="arial" w:eastAsia="arial" w:hAnsi="arial" w:cs="arial"/>
                <w:color w:val="000000"/>
                <w:sz w:val="20"/>
                <w:lang w:val="en-US" w:eastAsia="en-US" w:bidi="ar-SA"/>
              </w:rPr>
              <w:t>HELD: The estates could not pursue claims under the settlement agreement.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well-settled that claims for personal injury compensation did not survive a claimant's death, but contract claims did. The key issue was whether the claim could be characterized as diminishment of the estate at the dead of the claimant's death or whether it was personal harm inflicted on the claimants. The settlement agreement focused entirely on compensation for physical and psychological harm and made no reference to claims for loss of income or other economic loss prior to class members' deaths. The court order approving the settlement expressly provided it was the exclusive remedy for the class members against the defendant for compensation for abuse. If pecuniary losses were incurred by class members, which was unlikely, the class would have released these claims as part of the settlement agreement. The deceased class members had not settled their claims and the settlement agreement did not fix the amount payable or even assume all class members were entitled. Entitlement had to be proven through the process in the settlement agreement. The deceased class members had taken steps but nothing had been agreed upon, so the claims died with them. The class was defined as "all persons" confined to the school at the relevant time who were abused and suffered damages. Estates were not persons within this definition, no reference to estates continuing claims was ever made during the approval process and documents drafted to help class members make claims only included categories of representatives for living persons.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1" w:name="Legislation Cited_26"/>
      <w:bookmarkEnd w:id="21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3" style="position:absolute;z-index:2517422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Estate Administration Act, RSBC 1996, CHAPTER 122, s. 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Interpretation Act, R.S.B.C. 1985, c. 238, s.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Wills, Estates and Succession Act, </w:t>
      </w:r>
      <w:r>
        <w:rPr>
          <w:rFonts w:ascii="arial" w:eastAsia="arial" w:hAnsi="arial" w:cs="arial"/>
          <w:i/>
          <w:color w:val="000000"/>
          <w:sz w:val="20"/>
          <w:lang w:val="en-US" w:eastAsia="en-US" w:bidi="ar-SA"/>
        </w:rPr>
        <w:t>SBC 2009, CHAPTER 13</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12" w:name="Counsel_31"/>
      <w:bookmarkEnd w:id="21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4" style="position:absolute;z-index:251793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D.A. Klein, D. Lennox, C. Lloyd.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W.K. Branch, A.G. Lieberman, D.C. Prowse, Q.C., A.D. Gay.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3" w:name="Judgment_31"/>
      <w:bookmarkEnd w:id="213"/>
      <w:r>
        <w:pict>
          <v:line id="_x0000_s1185" style="position:absolute;z-index:2518446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4" w:name="L. FENLON J."/>
            <w:bookmarkEnd w:id="214"/>
            <w:r>
              <w:rPr>
                <w:rFonts w:ascii="arial" w:eastAsia="arial" w:hAnsi="arial" w:cs="arial"/>
                <w:b/>
                <w:color w:val="000000"/>
                <w:sz w:val="30"/>
                <w:lang w:val="en-US" w:eastAsia="en-US" w:bidi="ar-SA"/>
              </w:rPr>
              <w:t>L. FENLON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 </w:t>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parties to this class proceeding jointly seek the Court's opinion on whether the estates of deceased class members can pursue a claim under the court approved settlement agreement. This application is made under Rule 9-3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 </w:t>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class action began in 2002. It was certified in 2005. The parties signed a settlement agreement in October 2009, which the Court approved in July 2010 (the "Settlement Agreement"). The certified class is defined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persons resident in British Columbia, who were confined to the provincial institution more recently known as the Woodlands School on or after August 1, 1974, and who, while so confined, suffered physical, sexual, emotional and/or psychological abuse and have suffered injury, loss or damage as a result thereof.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parties' agreed statement of facts is attached as Schedule A. Those facts specifically concern three deceased class members (V.T., T.A., and F.G.) but properly raise the general issue of whether class members' estates can pursue claims under the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three class members were alive when the parties signed and the Court subsequently approved the Settlement Agreement. They had each retained counsel to pursue claims on their behalf under the Settlement Agreement. They were also listed by name as class members who intended to pursue a claim in an application made on September 12, 2011, to extend the claims deadline.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Class counsel had investigated the three class members' claims and proposed to the Province to resolve their claims under the informal claims process that class counsel and the Province had developed. However, the three class members died before their claims were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Each class member died without a will but is survived by family members who would be beneficiaries of their estates if Letters of Administration were obtained. These family members have indicated to class counsel that they wish to make a claim under the Settlement Agreement on behalf of the deceased class member's estate. However, they wish to have a preliminary ruling on the eligibility of estates under the Settlement Agreement before incurring further legal expense to pursue a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III. </w:t>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will deal in turn with each of the plaintiffs' three arguments in support of their position that the estates of deceased class members may pursue a claim under the Settlement Agreement:</w:t>
      </w:r>
      <w:r>
        <w:rPr>
          <w:rFonts w:ascii="arial" w:eastAsia="arial" w:hAnsi="arial" w:cs="arial"/>
          <w:sz w:val="20"/>
          <w:lang w:val="en-US" w:eastAsia="en-US" w:bidi="ar-SA"/>
        </w:rPr>
        <w:cr/>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are contract claims that survive a class member's death;</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Even if the claims are tort claims, they are settled amounts that can be sued on by the estate in debt;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Estates are members of the defined class and therefore have standing to pursue claims.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Are the claims in contract or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At common law, tort claims for personal injury compensation do not survive the claimant's death and cannot be pursued by the deceased claimant's estate. The plaintiffs agree that this is a well settled principle of law: </w:t>
      </w:r>
      <w:r>
        <w:rPr>
          <w:rFonts w:ascii="arial" w:eastAsia="arial" w:hAnsi="arial" w:cs="arial"/>
          <w:i/>
          <w:color w:val="000000"/>
          <w:sz w:val="20"/>
          <w:lang w:val="en-US" w:eastAsia="en-US" w:bidi="ar-SA"/>
        </w:rPr>
        <w:t>Stenhouse v. Strachan</w:t>
      </w:r>
      <w:r>
        <w:rPr>
          <w:rFonts w:ascii="arial" w:eastAsia="arial" w:hAnsi="arial" w:cs="arial"/>
          <w:color w:val="000000"/>
          <w:sz w:val="20"/>
          <w:lang w:val="en-US" w:eastAsia="en-US" w:bidi="ar-SA"/>
        </w:rPr>
        <w:t xml:space="preserve"> </w:t>
      </w:r>
      <w:hyperlink r:id="rId654" w:history="1">
        <w:r>
          <w:rPr>
            <w:rFonts w:ascii="arial" w:eastAsia="arial" w:hAnsi="arial" w:cs="arial"/>
            <w:i/>
            <w:color w:val="0077CC"/>
            <w:sz w:val="20"/>
            <w:u w:val="single"/>
            <w:shd w:val="clear" w:color="auto" w:fill="FFFFFF"/>
            <w:lang w:val="en-US" w:eastAsia="en-US" w:bidi="ar-SA"/>
          </w:rPr>
          <w:t>(1999), 31 E.T.R. (2d) 130</w:t>
        </w:r>
      </w:hyperlink>
      <w:r>
        <w:rPr>
          <w:rFonts w:ascii="arial" w:eastAsia="arial" w:hAnsi="arial" w:cs="arial"/>
          <w:color w:val="000000"/>
          <w:sz w:val="20"/>
          <w:lang w:val="en-US" w:eastAsia="en-US" w:bidi="ar-SA"/>
        </w:rPr>
        <w:t xml:space="preserve">, </w:t>
      </w:r>
      <w:hyperlink r:id="rId654" w:history="1">
        <w:r>
          <w:rPr>
            <w:rFonts w:ascii="arial" w:eastAsia="arial" w:hAnsi="arial" w:cs="arial"/>
            <w:i/>
            <w:color w:val="0077CC"/>
            <w:sz w:val="20"/>
            <w:u w:val="single"/>
            <w:shd w:val="clear" w:color="auto" w:fill="FFFFFF"/>
            <w:lang w:val="en-US" w:eastAsia="en-US" w:bidi="ar-SA"/>
          </w:rPr>
          <w:t>[1999] B.C.J. No. 2657</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Moss v. Chin</w:t>
      </w:r>
      <w:r>
        <w:rPr>
          <w:rFonts w:ascii="arial" w:eastAsia="arial" w:hAnsi="arial" w:cs="arial"/>
          <w:color w:val="000000"/>
          <w:sz w:val="20"/>
          <w:lang w:val="en-US" w:eastAsia="en-US" w:bidi="ar-SA"/>
        </w:rPr>
        <w:t xml:space="preserve"> </w:t>
      </w:r>
      <w:hyperlink r:id="rId655" w:history="1">
        <w:r>
          <w:rPr>
            <w:rFonts w:ascii="arial" w:eastAsia="arial" w:hAnsi="arial" w:cs="arial"/>
            <w:i/>
            <w:color w:val="0077CC"/>
            <w:sz w:val="20"/>
            <w:u w:val="single"/>
            <w:shd w:val="clear" w:color="auto" w:fill="FFFFFF"/>
            <w:lang w:val="en-US" w:eastAsia="en-US" w:bidi="ar-SA"/>
          </w:rPr>
          <w:t>(1994), 99 B.C.L.R. (2d) 332</w:t>
        </w:r>
      </w:hyperlink>
      <w:r>
        <w:rPr>
          <w:rFonts w:ascii="arial" w:eastAsia="arial" w:hAnsi="arial" w:cs="arial"/>
          <w:color w:val="000000"/>
          <w:sz w:val="20"/>
          <w:lang w:val="en-US" w:eastAsia="en-US" w:bidi="ar-SA"/>
        </w:rPr>
        <w:t xml:space="preserve">, 1994 CanLII 1400 (S.C.) at para. 28; </w:t>
      </w:r>
      <w:r>
        <w:rPr>
          <w:rFonts w:ascii="arial" w:eastAsia="arial" w:hAnsi="arial" w:cs="arial"/>
          <w:i/>
          <w:color w:val="000000"/>
          <w:sz w:val="20"/>
          <w:lang w:val="en-US" w:eastAsia="en-US" w:bidi="ar-SA"/>
        </w:rPr>
        <w:t>Allan Estate v. Co-operators Life Insurance Company</w:t>
      </w:r>
      <w:r>
        <w:rPr>
          <w:rFonts w:ascii="arial" w:eastAsia="arial" w:hAnsi="arial" w:cs="arial"/>
          <w:color w:val="000000"/>
          <w:sz w:val="20"/>
          <w:lang w:val="en-US" w:eastAsia="en-US" w:bidi="ar-SA"/>
        </w:rPr>
        <w:t xml:space="preserve">, </w:t>
      </w:r>
      <w:hyperlink r:id="rId656" w:history="1">
        <w:r>
          <w:rPr>
            <w:rFonts w:ascii="arial" w:eastAsia="arial" w:hAnsi="arial" w:cs="arial"/>
            <w:i/>
            <w:color w:val="0077CC"/>
            <w:sz w:val="20"/>
            <w:u w:val="single"/>
            <w:shd w:val="clear" w:color="auto" w:fill="FFFFFF"/>
            <w:lang w:val="en-US" w:eastAsia="en-US" w:bidi="ar-SA"/>
          </w:rPr>
          <w:t>1999 BCCA 35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contrast, some contract claims survive death. Justice Lambert reviewed the history of the common law on this point in </w:t>
      </w:r>
      <w:r>
        <w:rPr>
          <w:rFonts w:ascii="arial" w:eastAsia="arial" w:hAnsi="arial" w:cs="arial"/>
          <w:i/>
          <w:color w:val="000000"/>
          <w:sz w:val="20"/>
          <w:lang w:val="en-US" w:eastAsia="en-US" w:bidi="ar-SA"/>
        </w:rPr>
        <w:t>Allan Estate</w:t>
      </w:r>
      <w:r>
        <w:rPr>
          <w:rFonts w:ascii="arial" w:eastAsia="arial" w:hAnsi="arial" w:cs="arial"/>
          <w:color w:val="000000"/>
          <w:sz w:val="20"/>
          <w:lang w:val="en-US" w:eastAsia="en-US" w:bidi="ar-SA"/>
        </w:rPr>
        <w:t xml:space="preserve"> and stated at para. 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 In summary, the common law is that an action could not be maintained in tort by the personal representative of a deceased plaintiff but could be maintained in contract for a debt or other sum payable under contract if the claim was to remedy a loss to the estate of the deceased person caused by the breach of contract, but not if the claim was to remedy a loss arising from harm suffered by the person of the deceased and not by his or her estate. So, from the same breach, some of the losses might be barred after the death of the plaintiff and some might not. The losses would have to be properly categorized and properly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Allan Estate</w:t>
      </w:r>
      <w:r>
        <w:rPr>
          <w:rFonts w:ascii="arial" w:eastAsia="arial" w:hAnsi="arial" w:cs="arial"/>
          <w:color w:val="000000"/>
          <w:sz w:val="20"/>
          <w:lang w:val="en-US" w:eastAsia="en-US" w:bidi="ar-SA"/>
        </w:rPr>
        <w:t xml:space="preserve"> the issue was whether certain claims against a disability insurer could be brought by the estate, including a claim for wrongful repudiation of the defendant's contractual obligations under the disability policy. The claim was therefore a "contract claim" in the broad sense of the term. However, the Court of Appeal concluded that whether the cause of action was grounded in tort or contract was not determinative. Rather, what mattered was whether the claim related to harm suffered by the deceased's estate as opposed to harm suffered by the deceased's person. Justice Lambert wrote at para. 79: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[79] The question that must be asked in relation to each of those three causes of action is whether the wrong, as pleaded, could give rise to a claim for loss or damage that could properly be categorized as diminishment of Ms. Allan's estate at the date of her death, or whether, on the other hand, the loss or damage claimed must necessarily be categorized as being in the nature of compensation for the personal hurts inflicted on Ms. Allan. If the former, then the claims properly survive Ms. Allan's death. If the latter, then they do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Accordingly, the plaintiffs cannot succeed by simply establishing that the deceased class members' claims are "contract claims" in the sense that they are being brought pursuant to the Settlement Agreement. Rather, the question to answer is whether claims under the Settlement Agreement give rise to loss or damage that can be categorized as diminishment of the class member's estate at the date of his or her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 begin by noting that both parties referred in argument to s. 59 of the </w:t>
      </w:r>
      <w:r>
        <w:rPr>
          <w:rFonts w:ascii="arial" w:eastAsia="arial" w:hAnsi="arial" w:cs="arial"/>
          <w:i/>
          <w:color w:val="000000"/>
          <w:sz w:val="20"/>
          <w:lang w:val="en-US" w:eastAsia="en-US" w:bidi="ar-SA"/>
        </w:rPr>
        <w:t>Estate Administration Act</w:t>
      </w:r>
      <w:r>
        <w:rPr>
          <w:rFonts w:ascii="arial" w:eastAsia="arial" w:hAnsi="arial" w:cs="arial"/>
          <w:color w:val="000000"/>
          <w:sz w:val="20"/>
          <w:lang w:val="en-US" w:eastAsia="en-US" w:bidi="ar-SA"/>
        </w:rPr>
        <w:t xml:space="preserve">, </w:t>
      </w:r>
      <w:hyperlink r:id="rId657" w:history="1">
        <w:r>
          <w:rPr>
            <w:rFonts w:ascii="arial" w:eastAsia="arial" w:hAnsi="arial" w:cs="arial"/>
            <w:i/>
            <w:color w:val="0077CC"/>
            <w:sz w:val="20"/>
            <w:u w:val="single"/>
            <w:shd w:val="clear" w:color="auto" w:fill="FFFFFF"/>
            <w:lang w:val="en-US" w:eastAsia="en-US" w:bidi="ar-SA"/>
          </w:rPr>
          <w:t>R.S.B.C. 1996, c. 122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EAA</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EAA</w:t>
      </w:r>
      <w:r>
        <w:rPr>
          <w:rFonts w:ascii="arial" w:eastAsia="arial" w:hAnsi="arial" w:cs="arial"/>
          <w:color w:val="000000"/>
          <w:sz w:val="20"/>
          <w:lang w:val="en-US" w:eastAsia="en-US" w:bidi="ar-SA"/>
        </w:rPr>
        <w:t xml:space="preserve"> altered the common law to allow a deceased person's estate to pursue actions other than "damages in respect to physical disfigurement or pain and suffering caused to the deceased". This matter was heard on March 28, 2014. Neither party alluded to the pending repeal of the </w:t>
      </w:r>
      <w:r>
        <w:rPr>
          <w:rFonts w:ascii="arial" w:eastAsia="arial" w:hAnsi="arial" w:cs="arial"/>
          <w:i/>
          <w:color w:val="000000"/>
          <w:sz w:val="20"/>
          <w:lang w:val="en-US" w:eastAsia="en-US" w:bidi="ar-SA"/>
        </w:rPr>
        <w:t>EAA</w:t>
      </w:r>
      <w:r>
        <w:rPr>
          <w:rFonts w:ascii="arial" w:eastAsia="arial" w:hAnsi="arial" w:cs="arial"/>
          <w:color w:val="000000"/>
          <w:sz w:val="20"/>
          <w:lang w:val="en-US" w:eastAsia="en-US" w:bidi="ar-SA"/>
        </w:rPr>
        <w:t xml:space="preserve"> on March 31, 2014 and the enactment of the </w:t>
      </w:r>
      <w:r>
        <w:rPr>
          <w:rFonts w:ascii="arial" w:eastAsia="arial" w:hAnsi="arial" w:cs="arial"/>
          <w:i/>
          <w:color w:val="000000"/>
          <w:sz w:val="20"/>
          <w:lang w:val="en-US" w:eastAsia="en-US" w:bidi="ar-SA"/>
        </w:rPr>
        <w:t>Wills, Estates and Succession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2009, c. 13</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WESA</w:t>
      </w:r>
      <w:r>
        <w:rPr>
          <w:rFonts w:ascii="arial" w:eastAsia="arial" w:hAnsi="arial" w:cs="arial"/>
          <w:color w:val="000000"/>
          <w:sz w:val="20"/>
          <w:lang w:val="en-US" w:eastAsia="en-US" w:bidi="ar-SA"/>
        </w:rPr>
        <w:t xml:space="preserve">]. However, I conclude that nothing turns on this change in legislation because the </w:t>
      </w:r>
      <w:r>
        <w:rPr>
          <w:rFonts w:ascii="arial" w:eastAsia="arial" w:hAnsi="arial" w:cs="arial"/>
          <w:i/>
          <w:color w:val="000000"/>
          <w:sz w:val="20"/>
          <w:lang w:val="en-US" w:eastAsia="en-US" w:bidi="ar-SA"/>
        </w:rPr>
        <w:t>WESA</w:t>
      </w:r>
      <w:r>
        <w:rPr>
          <w:rFonts w:ascii="arial" w:eastAsia="arial" w:hAnsi="arial" w:cs="arial"/>
          <w:color w:val="000000"/>
          <w:sz w:val="20"/>
          <w:lang w:val="en-US" w:eastAsia="en-US" w:bidi="ar-SA"/>
        </w:rPr>
        <w:t xml:space="preserve"> also precludes a deceased's personal representatives from recovering "damages in respect to non-pecuniary loss", which includes damages for pain and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Are the class members' claims for pain and suffering such that they do not survive the class member's death? I conclude that the answer to that question is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Settlement Agreement focusses entirely on compensation for physical and psychological harm. Class members can only advance claims to compensate for psychological and physical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Paragraph 2 of the Settlement Agreement provides:</w:t>
      </w:r>
      <w:r>
        <w:rPr>
          <w:rFonts w:ascii="arial" w:eastAsia="arial" w:hAnsi="arial" w:cs="arial"/>
          <w:sz w:val="20"/>
          <w:lang w:val="en-US" w:eastAsia="en-US" w:bidi="ar-SA"/>
        </w:rPr>
        <w:cr/>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order to be eligible for compensation, the claim must establish one or more of the following requirements:</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class member was the subject of misconduct of a sexual nature by a Woodlands employee, volunteer or, subject to paragraph 3, resident;</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class member was the subject of misconduct of a physical or psychological nature by a Woodlands staff member or volunteer;</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class member suffered physical or psychological injury reasonably attributable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operations or management of Woodlands, where such injury is more than de mimimis or trivial.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Settlement Agreement makes no reference to claims for loss of income or other economic loss prior to a class member's death. While class counsel submitted that past loss of wage claims were "rolled into" the Settlement Agreement, the language of the Settlement Agreement does not support that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addition, the July 7, 2010 court order approving the Settlement Agreement expressly provides that the Settlement Agreement is the exclusive remedy for class members' claims against the defendant for compensation for physical, sexual, and psychological abuse while at the Woodlands School. It further provides that "class members are deemed to irrevocably release, remise, acquit and forever discharge the defendant... from any and all liabilities, actions, positive actions, liens, suits, claims, costs, court order interest, expenses, debts, damages, and compensation of whatever kind..." In short, if any pecuniary losses were incurred by the class members (and it is conceded that would be unlikely), claims for compensation for such losses were given up as part of the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While it may seem unfair that the deceased claimants' estates will not be able to recover on their behalf, there is a policy reason for barring such recovery. Damages in such cases are meant to provide some comfort to the person who suffered the physical and psychological distress. The law concludes that payment of damages to the estate of a person who has suffered such distress no longer serves that purpose. I am bound by that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Are the claims for settled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plaintiffs argue that a claimant's estate can still pursue a claim for pain and suffering if a fixed sum had been awarded at the time of the claimant's death. In effect, at that point the original tort claim is converted to a debt owed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plaintiffs rely on </w:t>
      </w:r>
      <w:r>
        <w:rPr>
          <w:rFonts w:ascii="arial" w:eastAsia="arial" w:hAnsi="arial" w:cs="arial"/>
          <w:i/>
          <w:color w:val="000000"/>
          <w:sz w:val="20"/>
          <w:lang w:val="en-US" w:eastAsia="en-US" w:bidi="ar-SA"/>
        </w:rPr>
        <w:t>Sindhar v. Brar</w:t>
      </w:r>
      <w:r>
        <w:rPr>
          <w:rFonts w:ascii="arial" w:eastAsia="arial" w:hAnsi="arial" w:cs="arial"/>
          <w:color w:val="000000"/>
          <w:sz w:val="20"/>
          <w:lang w:val="en-US" w:eastAsia="en-US" w:bidi="ar-SA"/>
        </w:rPr>
        <w:t xml:space="preserve">, </w:t>
      </w:r>
      <w:hyperlink r:id="rId658" w:history="1">
        <w:r>
          <w:rPr>
            <w:rFonts w:ascii="arial" w:eastAsia="arial" w:hAnsi="arial" w:cs="arial"/>
            <w:i/>
            <w:color w:val="0077CC"/>
            <w:sz w:val="20"/>
            <w:u w:val="single"/>
            <w:shd w:val="clear" w:color="auto" w:fill="FFFFFF"/>
            <w:lang w:val="en-US" w:eastAsia="en-US" w:bidi="ar-SA"/>
          </w:rPr>
          <w:t>2002 BCCA 378</w:t>
        </w:r>
      </w:hyperlink>
      <w:r>
        <w:rPr>
          <w:rFonts w:ascii="arial" w:eastAsia="arial" w:hAnsi="arial" w:cs="arial"/>
          <w:color w:val="000000"/>
          <w:sz w:val="20"/>
          <w:lang w:val="en-US" w:eastAsia="en-US" w:bidi="ar-SA"/>
        </w:rPr>
        <w:t xml:space="preserve"> (also known as </w:t>
      </w:r>
      <w:r>
        <w:rPr>
          <w:rFonts w:ascii="arial" w:eastAsia="arial" w:hAnsi="arial" w:cs="arial"/>
          <w:i/>
          <w:color w:val="000000"/>
          <w:sz w:val="20"/>
          <w:lang w:val="en-US" w:eastAsia="en-US" w:bidi="ar-SA"/>
        </w:rPr>
        <w:t>Singh v. Brar</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Brar</w:t>
      </w:r>
      <w:r>
        <w:rPr>
          <w:rFonts w:ascii="arial" w:eastAsia="arial" w:hAnsi="arial" w:cs="arial"/>
          <w:color w:val="000000"/>
          <w:sz w:val="20"/>
          <w:lang w:val="en-US" w:eastAsia="en-US" w:bidi="ar-SA"/>
        </w:rPr>
        <w:t>]. In that case the plaintiff in a personal injury action died after a settlement agreement was reached but before the settlement funds were paid. This Court had approved the settlement of $681,171. ICBC had deposited the settlement funds with a structured settlement broker, but the funds had not been released because the settlement agreement and release were not yet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plaintiff's estate argued that the claim was merged in the judgment approving the settlement and that as a result the </w:t>
      </w:r>
      <w:r>
        <w:rPr>
          <w:rFonts w:ascii="arial" w:eastAsia="arial" w:hAnsi="arial" w:cs="arial"/>
          <w:i/>
          <w:color w:val="000000"/>
          <w:sz w:val="20"/>
          <w:lang w:val="en-US" w:eastAsia="en-US" w:bidi="ar-SA"/>
        </w:rPr>
        <w:t>EAA</w:t>
      </w:r>
      <w:r>
        <w:rPr>
          <w:rFonts w:ascii="arial" w:eastAsia="arial" w:hAnsi="arial" w:cs="arial"/>
          <w:color w:val="000000"/>
          <w:sz w:val="20"/>
          <w:lang w:val="en-US" w:eastAsia="en-US" w:bidi="ar-SA"/>
        </w:rPr>
        <w:t>'s prohibition against proceeding with a tort claim after the plaintiff's death did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Court of Appeal agreed that a final settlement had been reached, followed by a final court order, and that the legal dispute had ended. Further, the Court of Appeal followed authority favouring the finality that comes with determining a damage award at a specific point in time, and not allowing that determination to be revisited: </w:t>
      </w:r>
      <w:r>
        <w:rPr>
          <w:rFonts w:ascii="arial" w:eastAsia="arial" w:hAnsi="arial" w:cs="arial"/>
          <w:i/>
          <w:color w:val="000000"/>
          <w:sz w:val="20"/>
          <w:lang w:val="en-US" w:eastAsia="en-US" w:bidi="ar-SA"/>
        </w:rPr>
        <w:t>Brar</w:t>
      </w:r>
      <w:r>
        <w:rPr>
          <w:rFonts w:ascii="arial" w:eastAsia="arial" w:hAnsi="arial" w:cs="arial"/>
          <w:color w:val="000000"/>
          <w:sz w:val="20"/>
          <w:lang w:val="en-US" w:eastAsia="en-US" w:bidi="ar-SA"/>
        </w:rPr>
        <w:t xml:space="preserve">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 do not find </w:t>
      </w:r>
      <w:r>
        <w:rPr>
          <w:rFonts w:ascii="arial" w:eastAsia="arial" w:hAnsi="arial" w:cs="arial"/>
          <w:i/>
          <w:color w:val="000000"/>
          <w:sz w:val="20"/>
          <w:lang w:val="en-US" w:eastAsia="en-US" w:bidi="ar-SA"/>
        </w:rPr>
        <w:t>Brar</w:t>
      </w:r>
      <w:r>
        <w:rPr>
          <w:rFonts w:ascii="arial" w:eastAsia="arial" w:hAnsi="arial" w:cs="arial"/>
          <w:color w:val="000000"/>
          <w:sz w:val="20"/>
          <w:lang w:val="en-US" w:eastAsia="en-US" w:bidi="ar-SA"/>
        </w:rPr>
        <w:t xml:space="preserve"> analogous to the case before me. In the present case, the deceased class members have not settled their claims. The Settlement Agreement does not fix a set sum of money payable to each class member. Rather, it sets out a process for summarily resolving each class member's unique claim for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Settlement Agreement does not even assume that every class member is entitled to compensation. Rather, entitlement must be proved through the process in the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process for proving and quantifying a claim is described in paragraphs. 5-13 of the Settlement Agreement, which read in part:</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Province shall be provided with a copy of each Claim. The Province shall have 45 days after the date it receives the Claim ... to provide a response ... The Response shall include a brief attaching any documents, Woodlands files, expert reports, affidavits, or other credible information that the Province says disputes eligibility or assists in determining the amount payable...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Adjudicator may consider the materials provided to him or her whether or not such materials would be admissible in a court of law.</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Assessment of eligibility and entitlement shall be determined on a balance of probabilities ...</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Eligibility and entitlement under this agreement shall be determined by an adjudicator... The Adjudicator shall be one of two or more Judges of the Supreme Court of British Columbia appointed by the Chief Justice of the Supreme Court of British Columbia ... The Adjudicators may establish a process for management of the hearing of the Claims so as to ensure a fair, just and timely hearing of the Claims on the merits ... There shall be no appeal from the decision of an Adjudicator.</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Adjudicator may request further material from the Class Members or the Province ...</w:t>
      </w:r>
    </w:p>
    <w:p>
      <w:pPr>
        <w:numPr>
          <w:numId w:val="1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under paragraph 2 shall include the Class Member's assessment of their category and amount payable. The Province's Response shall include the assessment of the category and amount payable.</w:t>
      </w:r>
    </w:p>
    <w:p>
      <w:pPr>
        <w:numPr>
          <w:numId w:val="18"/>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the Class Member and the Province may have negotiations about the amount payable at any time prior to the Adjudicator's issuance of a decision. If the Class Member and the Province are able to agree to the amount payable, the Adjudicator shall issue an award in the agreed amount without further review of the materials.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9"/>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Adjudicator will make best efforts to render decision without 30 days of receipt of all material and the oral hearing, whichever is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three deceased class members whose circumstances are detailed in the agreed statement of facts had taken steps on a without prejudice basis to settle their claims. However, no amount had been agreed upon. The Settlement Agreement provides for categories of injuries and ranges of compensation based on where a claimant's injuries fit on a scale of categories from 1 through 12. However, it cannot be said that the deceased class members' claims were "at an end" regarding damages. Entitlement had not yet been established, let alone a damage award fixed under one of the categories of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summary, the Settlement Agreement does not fix a damage award for each class member. Rather, it creates a process for determining both entitlement and the appropriate damage award. The Settlement Agreement does establish the quantum of damages payable for particular categories of injury, if proven. However, each class member's entitlement to a damage award, and the appropriate quantum if entitled, is in issue until the formal adjudication process contemplated under the Settlement Agreement is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 find support for this conclusion in the majority decision in </w:t>
      </w:r>
      <w:r>
        <w:rPr>
          <w:rFonts w:ascii="arial" w:eastAsia="arial" w:hAnsi="arial" w:cs="arial"/>
          <w:i/>
          <w:color w:val="000000"/>
          <w:sz w:val="20"/>
          <w:lang w:val="en-US" w:eastAsia="en-US" w:bidi="ar-SA"/>
        </w:rPr>
        <w:t>Monahan Estate v. Nelson</w:t>
      </w:r>
      <w:r>
        <w:rPr>
          <w:rFonts w:ascii="arial" w:eastAsia="arial" w:hAnsi="arial" w:cs="arial"/>
          <w:color w:val="000000"/>
          <w:sz w:val="20"/>
          <w:lang w:val="en-US" w:eastAsia="en-US" w:bidi="ar-SA"/>
        </w:rPr>
        <w:t xml:space="preserve">, </w:t>
      </w:r>
      <w:hyperlink r:id="rId659" w:history="1">
        <w:r>
          <w:rPr>
            <w:rFonts w:ascii="arial" w:eastAsia="arial" w:hAnsi="arial" w:cs="arial"/>
            <w:i/>
            <w:color w:val="0077CC"/>
            <w:sz w:val="20"/>
            <w:u w:val="single"/>
            <w:shd w:val="clear" w:color="auto" w:fill="FFFFFF"/>
            <w:lang w:val="en-US" w:eastAsia="en-US" w:bidi="ar-SA"/>
          </w:rPr>
          <w:t>2000 BCCA 297</w:t>
        </w:r>
      </w:hyperlink>
      <w:r>
        <w:rPr>
          <w:rFonts w:ascii="arial" w:eastAsia="arial" w:hAnsi="arial" w:cs="arial"/>
          <w:color w:val="000000"/>
          <w:sz w:val="20"/>
          <w:lang w:val="en-US" w:eastAsia="en-US" w:bidi="ar-SA"/>
        </w:rPr>
        <w:t xml:space="preserve">. In that case the plaintiff in a personal injury action died after trial but before judgment was delivered. The question was whether the plaintiff's death affected the damage award. The trial judge antedated the judgment to the last day of trial, thus preserving a damage award for pain and suffering that would ordinarily have died with the plaintiff. The Court of Appeal found that because the plaintiff's claim for pain and suffering had not been determined prior to the plaintiff's death (unlike in </w:t>
      </w:r>
      <w:r>
        <w:rPr>
          <w:rFonts w:ascii="arial" w:eastAsia="arial" w:hAnsi="arial" w:cs="arial"/>
          <w:i/>
          <w:color w:val="000000"/>
          <w:sz w:val="20"/>
          <w:lang w:val="en-US" w:eastAsia="en-US" w:bidi="ar-SA"/>
        </w:rPr>
        <w:t>Brar</w:t>
      </w:r>
      <w:r>
        <w:rPr>
          <w:rFonts w:ascii="arial" w:eastAsia="arial" w:hAnsi="arial" w:cs="arial"/>
          <w:color w:val="000000"/>
          <w:sz w:val="20"/>
          <w:lang w:val="en-US" w:eastAsia="en-US" w:bidi="ar-SA"/>
        </w:rPr>
        <w:t>), the plaintiff's claim to such damages died with him and they were not recoverable by the estate.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Are estates included in the class definition?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class is defined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persons resident in British Columbia, who were confined to the provincial institution more recently known as Woodlands School on or after August 1, 1974, and who, while so confined, suffered physical, sexual, emotional and/or psychological abuse and have suffered injury, loss or damage as a result thereof.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plaintiffs submit that the opening reference to "all persons" is broad enough to encompass estates. They rely on s. 29 of the </w:t>
      </w:r>
      <w:r>
        <w:rPr>
          <w:rFonts w:ascii="arial" w:eastAsia="arial" w:hAnsi="arial" w:cs="arial"/>
          <w:i/>
          <w:color w:val="000000"/>
          <w:sz w:val="20"/>
          <w:lang w:val="en-US" w:eastAsia="en-US" w:bidi="ar-SA"/>
        </w:rPr>
        <w:t>Interpretation Act</w:t>
      </w:r>
      <w:r>
        <w:rPr>
          <w:rFonts w:ascii="arial" w:eastAsia="arial" w:hAnsi="arial" w:cs="arial"/>
          <w:color w:val="000000"/>
          <w:sz w:val="20"/>
          <w:lang w:val="en-US" w:eastAsia="en-US" w:bidi="ar-SA"/>
        </w:rPr>
        <w:t>, R.S.B.C. 1985, c. 238 which provides that: "person" includes ... the personal or other legal representatives of a person to whom the context can apply according to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 conclude that estates are not persons within the class definition for two main reasons. First, the </w:t>
      </w:r>
      <w:r>
        <w:rPr>
          <w:rFonts w:ascii="arial" w:eastAsia="arial" w:hAnsi="arial" w:cs="arial"/>
          <w:i/>
          <w:color w:val="000000"/>
          <w:sz w:val="20"/>
          <w:lang w:val="en-US" w:eastAsia="en-US" w:bidi="ar-SA"/>
        </w:rPr>
        <w:t>Interpretation Act</w:t>
      </w:r>
      <w:r>
        <w:rPr>
          <w:rFonts w:ascii="arial" w:eastAsia="arial" w:hAnsi="arial" w:cs="arial"/>
          <w:color w:val="000000"/>
          <w:sz w:val="20"/>
          <w:lang w:val="en-US" w:eastAsia="en-US" w:bidi="ar-SA"/>
        </w:rPr>
        <w:t xml:space="preserve"> applies to statutes, not to agreements and court orders. Second, the natural meaning of the words used to define the class does not support the inclusion of estates. Estates were not "confined" to Woodlands School and cannot have suffered "physical, sexual, emotional and/or psychological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Even if the class definition could be deemed ambiguous, the context within which the Settlement Agreement was created does not support interpreting it to include estates. The Province asserted, and the plaintiffs did not contradict the assertion, that no reference was made during the approval process to deceased members being able to continue with claims. The parties undoubtedly anticipated a speedier resolution of all of the outstanding claims. Nonetheless, the Settlement Agreement arose from events that took place as far back as the 1970s and the potential for some class members to pass away before resolution of their claims should be have been within the parties' contemplation. An express provision would be expected if the parties intended estates to have the right to continue claims under the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documents drafted by the parties to assist class members in making a claim are instructive in this regard. A form entitled "Representative &amp; Lawyer Information"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REPRESENTATIVE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Class Member's personal representative is completing the form, please provide the following contact information and attach documentation establishing legal representation. All further communication will be to the legal representative, unless a lawyer is retained.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Power of Attorney [] Representation Agreement [] Committee [] Litigation Guardian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Notably, this form only includes categories of living persons' representatives.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IV. </w:t>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conclude that the estates of deceased class members like V.T., T.A., and F.G. cannot pursue claims under the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 FENLON J.</w:t>
      </w:r>
      <w:r>
        <w:rPr>
          <w:rFonts w:ascii="arial" w:eastAsia="arial" w:hAnsi="arial" w:cs="arial"/>
          <w:sz w:val="20"/>
          <w:lang w:val="en-US" w:eastAsia="en-US" w:bidi="ar-SA"/>
        </w:rPr>
        <w:cr/>
      </w: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SCHEDULE "A"</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No. Action No. SO24338</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Vancouver Registry</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In the Supreme Court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Between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William Joseph Richard and W.H.M.</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Her Majesty the Queen in the Right of</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Province of British Columbia</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Defendant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Brought under the </w:t>
      </w:r>
      <w:r>
        <w:rPr>
          <w:rFonts w:ascii="arial" w:eastAsia="arial" w:hAnsi="arial" w:cs="arial"/>
          <w:i/>
          <w:color w:val="000000"/>
          <w:sz w:val="20"/>
          <w:lang w:val="en-US" w:eastAsia="en-US" w:bidi="ar-SA"/>
        </w:rPr>
        <w:t>Class Proceedings</w:t>
      </w:r>
    </w:p>
    <w:p>
      <w:pPr>
        <w:spacing w:before="120" w:line="260" w:lineRule="atLeast"/>
        <w:jc w:val="center"/>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AGREED STATEMENT OF FACTS</w:t>
      </w:r>
      <w:r>
        <w:rPr>
          <w:rFonts w:ascii="arial" w:eastAsia="arial" w:hAnsi="arial" w:cs="arial"/>
          <w:sz w:val="20"/>
          <w:lang w:val="en-US" w:eastAsia="en-US" w:bidi="ar-SA"/>
        </w:rPr>
        <w:cr/>
      </w:r>
    </w:p>
    <w:p>
      <w:pPr>
        <w:numPr>
          <w:numId w:val="20"/>
        </w:numPr>
        <w:tabs>
          <w:tab w:val="num" w:pos="760"/>
          <w:tab w:val="clear" w:pos="256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Agreed Statement of Facts concerns three class members in a class action settlement. These are V.T., T.A. and F.G. Each of these class members was alive at the time that a class action settlement agreement was signed by the Representative Plaintiff and by the Province and was approved by the Court, but each claimant subsequently passed away before any settlement of their respective claims was reached with the Province and before a formal claim was submitted to the Adjudicators under the Settlement Agreement. These claimants are collectively referred to as the "Deceased Claimants".</w:t>
      </w:r>
    </w:p>
    <w:p>
      <w:pPr>
        <w:numPr>
          <w:numId w:val="20"/>
        </w:numPr>
        <w:tabs>
          <w:tab w:val="num" w:pos="760"/>
          <w:tab w:val="clear" w:pos="256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dispute between the Representative Plaintiff and the Province as to the eligibility of estates under the Settlement Agreement. Counsel have agreed to submit a special case under Rule 9-3 for this Honourable Court's opinion as to a question of law or fact.</w:t>
      </w:r>
    </w:p>
    <w:p>
      <w:pPr>
        <w:numPr>
          <w:numId w:val="20"/>
        </w:numPr>
        <w:tabs>
          <w:tab w:val="num" w:pos="760"/>
          <w:tab w:val="clear" w:pos="256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class action was commenced August 2, 2002. It was certified on March 17, 2005. The class definition was amended on February 29, 2008, and an appeal from this amendment was dismissed on April 30, 2009. A copy of the order amending the class definition is attached as Exhibit A. The certified class definition, as amended, states that this action includes:</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persons resident in British Columbia, who were confined to the provincial institution more recently known as the Woodlands School on or after August 1, 1974, and who, while so confined, suffered physical, sexual, emotional and/or psychological abuse and have suffered injury, loss or damage as a result thereof."</w:t>
      </w:r>
    </w:p>
    <w:p>
      <w:pPr>
        <w:numPr>
          <w:numId w:val="21"/>
        </w:numPr>
        <w:tabs>
          <w:tab w:val="num" w:pos="760"/>
          <w:tab w:val="clear" w:pos="256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 settlement agreement was signed by the Representative Plaintiff and the Province on October 9, 2009, and this agreement was approved by the Court on July 7, 2010 (the "Settlement Agreement"). A copy of the Court's approval order, dated July 7, 2010, which incorporates the Settlement Agreement into the order is attached as Exhibit B.</w:t>
      </w:r>
    </w:p>
    <w:p>
      <w:pPr>
        <w:numPr>
          <w:numId w:val="21"/>
        </w:numPr>
        <w:tabs>
          <w:tab w:val="num" w:pos="760"/>
          <w:tab w:val="clear" w:pos="256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deadline under the Settlement Agreement was originally set for September 19, 2011. The claims deadline has been extended several times by court order. By reasons dated November 4, 2011, the deadline was extended to September 19, 2012. By reasons dated October 3, 2012, the deadline was extended to September 19, 2013. At the most recent court appearance on December 13, 2013, the deadline was extended until March 28, 2014.</w:t>
      </w:r>
    </w:p>
    <w:p>
      <w:pPr>
        <w:numPr>
          <w:numId w:val="21"/>
        </w:numPr>
        <w:tabs>
          <w:tab w:val="num" w:pos="760"/>
          <w:tab w:val="clear" w:pos="256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Deceased Claimants were alive and were class members on the date that the Settlement Agreement was signed on October 9, 2009, and on the date of settlement approval on July 7, 2010. They each retained counsel to pursue claims on their behalf under the Settlement Agreement.</w:t>
      </w:r>
    </w:p>
    <w:p>
      <w:pPr>
        <w:numPr>
          <w:numId w:val="21"/>
        </w:numPr>
        <w:tabs>
          <w:tab w:val="num" w:pos="760"/>
          <w:tab w:val="clear" w:pos="256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Deceased Claimants were listed by name in the affidavit #5 of Alicyn Cumming, sworn September 2, 2011. This affidavit was served on the Province in support of an application before Chief Justice Bauman on September 12, 2011, to extend the claim deadline, both on behalf of the Deceased Claimants, and also on behalf of other listed class members.</w:t>
      </w:r>
    </w:p>
    <w:p>
      <w:pPr>
        <w:numPr>
          <w:numId w:val="21"/>
        </w:numPr>
        <w:tabs>
          <w:tab w:val="num" w:pos="760"/>
          <w:tab w:val="clear" w:pos="256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investigated the claims of the Deceased Claimants, and made a proposal to the Province to resolve their claims under the informal claims process that counsel for the Representative Plaintiff and the Province had developed.</w:t>
      </w:r>
    </w:p>
    <w:p>
      <w:pPr>
        <w:numPr>
          <w:numId w:val="21"/>
        </w:numPr>
        <w:tabs>
          <w:tab w:val="num" w:pos="760"/>
          <w:tab w:val="clear" w:pos="256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Deceased Claimants died before their claims were resolved through the informal claims process or submitted under the process provided by the Settlement Agreement.</w:t>
      </w:r>
    </w:p>
    <w:p>
      <w:pPr>
        <w:numPr>
          <w:numId w:val="22"/>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Deceased Claimants each died without a will. They are each survived by family members who would be entitled to be beneficiaries to the proceeds of their estates if Letters of Administration were obtained. These family members have indicated to class counsel that they wish to make a claim under the Settlement Agreement on behalf of the estate of their late sibling or child. These family members have indicated that they are willing to obtain Letters of Administration, but that they are unwilling to incur this cost prior to a ruling from this Honourable Court as to potential eligibility of estates to make claims under the Settlement Agreement.</w:t>
      </w:r>
    </w:p>
    <w:p>
      <w:pPr>
        <w:numPr>
          <w:numId w:val="2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submitting these claims for formal adjudication by the adjudicators under the Settlement Agreement, the Representative Plaintiff and the Province wish the Court's opinion on the eligibility of estates under the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Claim of V.T.</w:t>
      </w:r>
      <w:r>
        <w:rPr>
          <w:rFonts w:ascii="arial" w:eastAsia="arial" w:hAnsi="arial" w:cs="arial"/>
          <w:sz w:val="20"/>
          <w:lang w:val="en-US" w:eastAsia="en-US" w:bidi="ar-SA"/>
        </w:rPr>
        <w:cr/>
      </w:r>
    </w:p>
    <w:p>
      <w:pPr>
        <w:numPr>
          <w:numId w:val="2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brother of V.T. retained Klein Lyons to pursue a claim on behalf of V.T. under the Settlement Agreement on April 17, 2011.</w:t>
      </w:r>
    </w:p>
    <w:p>
      <w:pPr>
        <w:numPr>
          <w:numId w:val="2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Klein Lyons reviewed V.T.'s file, and wrote counsel for the Province on October 30, 2013 on a without prejudice basis. This was pursuant to the informal claims process that the parties have developed. Specifically, Klein Lyons wrote to the Province to provide a summary of the claim, and to make a proposal as to an amount that Klein Lyons would be prepared to recommend to V.T. as compensation.</w:t>
      </w:r>
    </w:p>
    <w:p>
      <w:pPr>
        <w:numPr>
          <w:numId w:val="2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Province responded to this proposal on January 9, 2014, on a without prejudice basis.</w:t>
      </w:r>
    </w:p>
    <w:p>
      <w:pPr>
        <w:numPr>
          <w:numId w:val="3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Klein Lyons sought instructions from V.T. in respect of the Province's response, and was advised by V.T.'s brother on January 22, 2014 that V.T. had died on January 4, 2014. Klein Lyons notified the Province of V.T.'s passing on January 22, 2014.</w:t>
      </w:r>
    </w:p>
    <w:p>
      <w:pPr>
        <w:numPr>
          <w:numId w:val="31"/>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V.T. is survived by two brothers. They wish to assert a claim on behalf of the estate of their late sister under the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Claim of T.A.</w:t>
      </w:r>
      <w:r>
        <w:rPr>
          <w:rFonts w:ascii="arial" w:eastAsia="arial" w:hAnsi="arial" w:cs="arial"/>
          <w:sz w:val="20"/>
          <w:lang w:val="en-US" w:eastAsia="en-US" w:bidi="ar-SA"/>
        </w:rPr>
        <w:cr/>
      </w:r>
    </w:p>
    <w:p>
      <w:pPr>
        <w:numPr>
          <w:numId w:val="3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mother of T.A. retained Klein Lyons on October 15, 2010.</w:t>
      </w:r>
    </w:p>
    <w:p>
      <w:pPr>
        <w:numPr>
          <w:numId w:val="3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Klein Lyons reviewed T.A.'s file, and made a proposal to the Province on May 22, 2013 under the informal claims process. In support of this proposal, Klein Lyons provided an affidavit from a witness sworn September 25, 2012 and an expert report, dated April 8, 2012.</w:t>
      </w:r>
    </w:p>
    <w:p>
      <w:pPr>
        <w:numPr>
          <w:numId w:val="41"/>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Province responded on August 16, 2013 on a without prejudice basis.</w:t>
      </w:r>
    </w:p>
    <w:p>
      <w:pPr>
        <w:numPr>
          <w:numId w:val="4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On August 19, 2013, Klein Lyons was advised by T.A.'s mother that T.A. had passed away on November 15, 2012. Klein Lyons notified the Province of T.A.'s passing on August 19, 2013.</w:t>
      </w:r>
    </w:p>
    <w:p>
      <w:pPr>
        <w:numPr>
          <w:numId w:val="4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T.A.'s mother wishes to pursue a claim on behalf of the estate of her late son under the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Claim of F.G.</w:t>
      </w:r>
      <w:r>
        <w:rPr>
          <w:rFonts w:ascii="arial" w:eastAsia="arial" w:hAnsi="arial" w:cs="arial"/>
          <w:sz w:val="20"/>
          <w:lang w:val="en-US" w:eastAsia="en-US" w:bidi="ar-SA"/>
        </w:rPr>
        <w:cr/>
      </w:r>
    </w:p>
    <w:p>
      <w:pPr>
        <w:numPr>
          <w:numId w:val="4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caregiver of F.G. retained Klein Lyons on January 18, 2010.</w:t>
      </w:r>
    </w:p>
    <w:p>
      <w:pPr>
        <w:numPr>
          <w:numId w:val="45"/>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Klein Lyons reviewed F.G.'s file, and made a proposal to the Province on February 15, 2013 under the informal claims process.</w:t>
      </w:r>
    </w:p>
    <w:p>
      <w:pPr>
        <w:numPr>
          <w:numId w:val="46"/>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Province responded on March 8, 2013 on a without prejudice basis.</w:t>
      </w:r>
    </w:p>
    <w:p>
      <w:pPr>
        <w:numPr>
          <w:numId w:val="47"/>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Subsequently, Klein Lyons was advised by F.G.'s caregiver that F.G. had passed away on April 7, 2012. Klein Lyons advised the Province of F.G.'s passing on May 9, 2013.</w:t>
      </w:r>
    </w:p>
    <w:p>
      <w:pPr>
        <w:numPr>
          <w:numId w:val="48"/>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F.G. is survived by two brothers who wish to pursue a claim on behalf of the estate of their late brother under the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Date: Feb 26, 2014</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Signature of Counsel for the Representative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Date: Feb 26, 2014</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Signature of Counsel for the Province</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6" style="position:absolute;z-index:2518906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60"/>
          <w:headerReference w:type="default" r:id="rId661"/>
          <w:footerReference w:type="even" r:id="rId662"/>
          <w:footerReference w:type="default" r:id="rId663"/>
          <w:headerReference w:type="first" r:id="rId664"/>
          <w:footerReference w:type="first" r:id="rId66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66" w:history="1">
        <w:r>
          <w:rPr>
            <w:rFonts w:ascii="arial" w:eastAsia="arial" w:hAnsi="arial" w:cs="arial"/>
            <w:b/>
            <w:bCs/>
            <w:i/>
            <w:color w:val="0077CC"/>
            <w:kern w:val="32"/>
            <w:sz w:val="28"/>
            <w:szCs w:val="32"/>
            <w:u w:val="single"/>
            <w:shd w:val="clear" w:color="auto" w:fill="FFFFFF"/>
            <w:lang w:val="en-US" w:eastAsia="en-US" w:bidi="ar-SA"/>
          </w:rPr>
          <w:t>Ridge-Meadows Realty Ltd. (c.o.b. Re/Max Ridge-Meadows Realty) v. 670206 B.C. Ltd., [2013] B.C.J. No. 738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K.W. Ball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9,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12,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S135182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738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637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Ridge-Meadows Realty Ltd. dba Re/Max Ridge-Meadows Realty dba Re-Max Lifestyles Realty (Maple Ridge), Plaintiff, and 670206 B.C. Ltd. and Brian Kaminski,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7" style="position:absolute;z-index:2516920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5" w:name="Keywords_32"/>
      <w:bookmarkEnd w:id="215"/>
      <w:r>
        <w:rPr>
          <w:rFonts w:ascii="arial" w:eastAsia="arial" w:hAnsi="arial" w:cs="arial"/>
          <w:b/>
          <w:color w:val="000000"/>
          <w:sz w:val="20"/>
          <w:lang w:val="en-US" w:eastAsia="en-US" w:bidi="ar-SA"/>
        </w:rPr>
        <w:t>Civil litigation — Civil procedure — Pleadings — Striking out pleadings or allegations — Grounds — Failure to disclose a cause of action or defence — Material facts — Particulars — Pleading fraud — Application by defendant Kaminski to strike claim against him allowed in part — Plaintiff realtor entered into contract with corporate defendant to sell property — Plaintiff alleged corporate defendant entered into secret contract to sell property to third party — Kaminski was corporate defendant's lawyer — Plaintiff sued Kaminski for fraudulent and/or negligent misrepresentation — No material facts pled suggesting Kaminski owed plaintiff duty of care, plaintiff relied on Kaminski's representations or Kaminski involved in secret contract — Plaintiff failed to plead fraud particulars — Plaintiff given 21 days to file amended claim failing which claim against Kaminski dismissed — Supreme Court Civil Rules, Rules 3-7(18) and 9-5(1)(a).</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Fraud and misrepresentation — Fraudulent misrepresentation — Specific elements — Inducement — Negligent misrepresentation (Hedley Byrne principle) — Nature and extent of duty of care — Detrimental reliance — Application by defendant Kaminski to strike claim against him allowed in part — Plaintiff realtor entered into contract with corporate defendant to sell property — Plaintiff alleged corporate defendant entered into secret contract to sell property to third party — Kaminski was corporate defendant's lawyer — Plaintiff sued Kaminski for fraudulent and/or negligent misrepresentation — No material facts pled suggesting Kaminski owed plaintiff duty of care, plaintiff relied on Kaminski's representations or Kaminski involved in secret contract — Plaintiff failed to plead fraud particulars — Plaintiff given 21 days to file amended claim failing which claim against Kaminski dismissed — Supreme Court Civil Rules, Rules 3-7(18) and 9-5(1)(a).</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6" w:name="Case Summary_28"/>
            <w:bookmarkEnd w:id="21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Kaminski to strike the plaintiff's claim against him allowed in part. The plaintiff was a real estate company which entered into a contract with the corporate defendant to sell property. Kaminski was the corporate defendant's lawyer. The plaintiff alleged that the corporate defendant entered into a secret contract to sell the property to a third party. The plaintiff commenced a proceeding and argued that the corporate defendant was in breach of contract and/or was liable for conspiracy and/or deceit. The claim against Kaminski was based on allegations of fraudulent or negligent misrepresentation. Kaminski brought an application to strike the plaintiff's claim against him for disclosing no reasonable claim on the basis that no material facts were pled to support either misrepresentation claim.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7" w:name="Holdings of Court_25"/>
            <w:bookmarkEnd w:id="217"/>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No facts were pled to demonstrate any relationship of proximity or foreseeability between the plaintiff and Kaminski which would give rise to a duty of care. In addition, the plaintiff failed to plead facts concerning any reliance by it on Kaminski's representations or suggesting Kaminski had knowledge or involvement in the secret contract. The plaintiff also failed to plead particulars of the fraud allegation as required by the rules. The plaintiff was given 21 days to file an amended claim with full particulars. In the event an amended claim was not filed, the claim against Kaminski would be dismissed without further application to the court.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8" w:name="Legislation Cited_27"/>
      <w:bookmarkEnd w:id="21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8" style="position:absolute;z-index:2517432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 Rule 3-1(2), Rule 3-7(18), Rule 3-7(20), Rule 9-5(1)(a), Rule 9-5(2)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19" w:name="Counsel_32"/>
      <w:bookmarkEnd w:id="21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9" style="position:absolute;z-index:251794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R.J. Cuddeford.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S.G. Cordell.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0" w:name="Judgment_32"/>
      <w:bookmarkEnd w:id="220"/>
      <w:r>
        <w:pict>
          <v:line id="_x0000_s1190" style="position:absolute;z-index:2518456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1" w:name="K.W. BALL J."/>
            <w:bookmarkEnd w:id="221"/>
            <w:r>
              <w:rPr>
                <w:rFonts w:ascii="arial" w:eastAsia="arial" w:hAnsi="arial" w:cs="arial"/>
                <w:b/>
                <w:color w:val="000000"/>
                <w:sz w:val="30"/>
                <w:lang w:val="en-US" w:eastAsia="en-US" w:bidi="ar-SA"/>
              </w:rPr>
              <w:t>K.W. BALL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application is brought pursuant to Rule 9-5(1)(a)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to strike all or part of the pleadings in the notice of claim because those pleadings disclose no reasonable claim. The applicant defendant seeks to have the claims against him struck from the amended notice of civil claim and the action against him dismissed. In the alternative, the applicant seeks the claims be struck with liberty to file in 21 days another amended statement of claim with factual basis for and full particulars of the claim of negligent or fraudulent misrepresentation, deceit, or conspiracy. The applicant also seeks an order for costs of this application as special costs or in the alternative, party and party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amended notice of claim is brief. The following are the allegations of fact as set out in this notice of claim:</w:t>
      </w:r>
      <w:r>
        <w:rPr>
          <w:rFonts w:ascii="arial" w:eastAsia="arial" w:hAnsi="arial" w:cs="arial"/>
          <w:sz w:val="20"/>
          <w:lang w:val="en-US" w:eastAsia="en-US" w:bidi="ar-SA"/>
        </w:rPr>
        <w:cr/>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670206 B.C. Ltd. ("670206") is a British Columbia corporation which was involved in the development of land.</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670206 was represented by the Defendant, Brian Kaminsky ("Kaminski"), a lawyer whose place of business is Suite 211 - 1-15 Austin Avenue, Coquitlam, B.C.</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Ridge-Meadows Realty Ltd., doing business as Re/Max Ridge Meadows Realty and Re/Max Lifestyles Realty (Maple Ridge), is a British Columbia corporation whose agent is Franz Prokop ("Prokop"), a licensed realtor.</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September 2003 670206 decided to purchase 2 lots of undeveloped land in Maple Ridge, British Columbia (the "Land"). It was 670206's stated intention to develop the land with a view to building and selling single family dwellings on the land.</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September 25, 2003 670206 entered into a Contract of Purchase and Sale to purchase the Land (the "Purchase Contract"). The purchase price was $4,900,000.00 and there were a number of conditions, including the condition precedent that the development plans receive approval from the District of Maple Ridge.</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purchase of the Land was complicate because planned development involved 3 other adjacent property owners, with all of the properties being developed together. In addition, the sale of the Land could not be completed and development could not occur before an environmental study was performed to the satisfaction of the Ministry of the Environment.</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Subsequent to entering into the Purchase Contract, the Plaintiff through its agent Prokop, was instrumental in assisting 670206 in dealing with the other 3 developers, obtaining permits and generally assisting in the preliminary steps necessary for the development of the Land.</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October 17, 2005 670206 advised Prokop that they were interested in selling the Land, instead of completing the development themselves.</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670206 entered into an Exclusive Listing Contract with the Plaintiff (the "Listing Contract"), with a term of the Listing Contract being 1 year, and providing for a commission payable to the Plaintiff of 3% (the "Commission").</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a term of the Listing Contract that 670206 advise the listing Plaintiff of any offers made for the purchase of the Land.</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through its agent Prokop, approached one of his contacts in a large development corporation, namely the Onni corporation, to solicit and offer for the Land. The Onni corporation made an offer to purchase the Land at a price of $9,000,000.00, which offer was duly communicated to 670206.</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presented with the offer made by the Onni corporation 670206 told Prokop that they were no longer interested in selling the Land and they would continue the development themselves.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Ministry of the Environment made a final determination that the Land was not a contaminated site on June 2, 2006.</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sale of the Land completed on July 6, 2006 and the Plaintiff receive the balance of his commission payable under the Purchase Contract directly from Kaminsky, who sent a letter to the Plaintiff on July 6, 2006 (the "Letter") which read in part: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Freehold Transfer conveying the captioned property from R.C.B. Enterprises Ltd. to 670206 B.C. Ltd. was accepted for registration on July 6, 2006 in the New Westminster Land Title Office under Nos. BA113353 and BA113352.</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June 2009 the Plaintiff and Prokop were named as Third Parties in litigation commenced by 497308 B.C. Ltd., which was the then owner of the Land. From the pleading file subsequent to that date the Plaintiff learned that: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670206 had, during the currency of the Listing Contract, entered into a contract to sell the Land to a third party (the "Secret Contract").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Secret Contract allowed for the new purchaser to assume the position of 670206 in the Purchase Contract such that the new purchaser obtained title to the Land directly from the original vendor.</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contents of the Letter were false, and the Plaintiff had relied on the Letter as describing the true state of affairs to its detriment.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Part 2 of the Amended Notice of Claim under the heading "Relief Sought" the following appears:</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Judgment against the Defendants, jointly and severally for the amount of the Commission.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Part 3 of the Amended Notice of Claim the following words appear under the heading "Legal Basis"</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against 670206 is for breach of contract;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the claim against 670206 is for conspiracy and/or deceit.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against Kaminski is for fraudulent misrepresentation or in the alternative, negligent representation.</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further alternative, the claim against Kaminski is for conspiracy and/or deceit.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Rule 3-1(2)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states:</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notice of civil claim must do the following:</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set out a concise statement of the material facts giving rise to the claim;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plaintiff sues or a defendant is sued in a representative capacity, show in what capacity the plaintiff sues or the defendant is 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Rule 3-7(18) requires that:</w:t>
      </w:r>
      <w:r>
        <w:rPr>
          <w:rFonts w:ascii="arial" w:eastAsia="arial" w:hAnsi="arial" w:cs="arial"/>
          <w:sz w:val="20"/>
          <w:lang w:val="en-US" w:eastAsia="en-US" w:bidi="ar-SA"/>
        </w:rPr>
        <w:cr/>
      </w:r>
    </w:p>
    <w:p>
      <w:pPr>
        <w:numPr>
          <w:numId w:val="1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party pleading relies on misrepresentation, fraud, breach of trust, wilful default or undue influence, or if particulars may be necessary, full particulars, with dates and items if applicable, must be stated in the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Rule 3-7(20) states:</w:t>
      </w:r>
      <w:r>
        <w:rPr>
          <w:rFonts w:ascii="arial" w:eastAsia="arial" w:hAnsi="arial" w:cs="arial"/>
          <w:sz w:val="20"/>
          <w:lang w:val="en-US" w:eastAsia="en-US" w:bidi="ar-SA"/>
        </w:rPr>
        <w:cr/>
      </w:r>
    </w:p>
    <w:p>
      <w:pPr>
        <w:numPr>
          <w:numId w:val="19"/>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Particulars need only be pleaded to the extent that they are known at the date of pleading, but further particulars</w:t>
      </w:r>
    </w:p>
    <w:p>
      <w:pPr>
        <w:numPr>
          <w:numId w:val="20"/>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may be served after they become known, and</w:t>
      </w:r>
    </w:p>
    <w:p>
      <w:pPr>
        <w:numPr>
          <w:numId w:val="20"/>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be served within 10 days after a demand is made in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Rule 9-5(1) and (2) state:</w:t>
      </w:r>
      <w:r>
        <w:rPr>
          <w:rFonts w:ascii="arial" w:eastAsia="arial" w:hAnsi="arial" w:cs="arial"/>
          <w:sz w:val="20"/>
          <w:lang w:val="en-US" w:eastAsia="en-US" w:bidi="ar-SA"/>
        </w:rPr>
        <w:cr/>
      </w:r>
    </w:p>
    <w:p>
      <w:pPr>
        <w:numPr>
          <w:numId w:val="21"/>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22"/>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22"/>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22"/>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of the proceeding, or</w:t>
      </w:r>
    </w:p>
    <w:p>
      <w:pPr>
        <w:numPr>
          <w:numId w:val="22"/>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pronounce judgment or order the proceeding to be stayed or dismissed and may order the costs of the application to be paid as special costs.</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evidence is admissible on an application under subrule (1)(a).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 xml:space="preserve"> ], Madam Justice Wilson of the Supreme Court of Canada set forth the test governing an application of Rule 19-24(a)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(now Rule 9-5(1)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Assuming the facts as stated in the statement of claim can be proved, the court will ask: is "plain and obvious" that the plaintiff statement of claim discloses no reasonable cause of action?"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 xml:space="preserve">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Canadian Bar Association v. British Columbia</w:t>
      </w:r>
      <w:r>
        <w:rPr>
          <w:rFonts w:ascii="arial" w:eastAsia="arial" w:hAnsi="arial" w:cs="arial"/>
          <w:color w:val="000000"/>
          <w:sz w:val="20"/>
          <w:lang w:val="en-US" w:eastAsia="en-US" w:bidi="ar-SA"/>
        </w:rPr>
        <w:t xml:space="preserve">, </w:t>
      </w:r>
      <w:hyperlink r:id="rId603" w:history="1">
        <w:r>
          <w:rPr>
            <w:rFonts w:ascii="arial" w:eastAsia="arial" w:hAnsi="arial" w:cs="arial"/>
            <w:i/>
            <w:color w:val="0077CC"/>
            <w:sz w:val="20"/>
            <w:u w:val="single"/>
            <w:shd w:val="clear" w:color="auto" w:fill="FFFFFF"/>
            <w:lang w:val="en-US" w:eastAsia="en-US" w:bidi="ar-SA"/>
          </w:rPr>
          <w:t>2008 BCCA 92</w:t>
        </w:r>
      </w:hyperlink>
      <w:r>
        <w:rPr>
          <w:rFonts w:ascii="arial" w:eastAsia="arial" w:hAnsi="arial" w:cs="arial"/>
          <w:color w:val="000000"/>
          <w:sz w:val="20"/>
          <w:lang w:val="en-US" w:eastAsia="en-US" w:bidi="ar-SA"/>
        </w:rPr>
        <w:t>, Saunders J.A. sets out the standard for striking a claim under Rule 19(24)(a).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In considering whether a reasonable claim is alleged under Rule 19(24)(a), the court considers the case on the basis the facts alleged are true. That is, this enquiry does not engage any of the evidence adduced by the parties, and the case is taken at its highest for the plaintiff: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para. 59 and following, Saunders J.A. speaking for the Court made the following instructive comments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[59] The purpose of pleadings was described by Smith J. in </w:t>
      </w:r>
      <w:r>
        <w:rPr>
          <w:rFonts w:ascii="arial" w:eastAsia="arial" w:hAnsi="arial" w:cs="arial"/>
          <w:i/>
          <w:color w:val="000000"/>
          <w:sz w:val="20"/>
          <w:lang w:val="en-US" w:eastAsia="en-US" w:bidi="ar-SA"/>
        </w:rPr>
        <w:t>Homalco Indian Band v. British Columbia</w:t>
      </w:r>
      <w:r>
        <w:rPr>
          <w:rFonts w:ascii="arial" w:eastAsia="arial" w:hAnsi="arial" w:cs="arial"/>
          <w:color w:val="000000"/>
          <w:sz w:val="20"/>
          <w:lang w:val="en-US" w:eastAsia="en-US" w:bidi="ar-SA"/>
        </w:rPr>
        <w:t xml:space="preserve"> </w:t>
      </w:r>
      <w:hyperlink r:id="rId667" w:history="1">
        <w:r>
          <w:rPr>
            <w:rFonts w:ascii="arial" w:eastAsia="arial" w:hAnsi="arial" w:cs="arial"/>
            <w:i/>
            <w:color w:val="0077CC"/>
            <w:sz w:val="20"/>
            <w:u w:val="single"/>
            <w:shd w:val="clear" w:color="auto" w:fill="FFFFFF"/>
            <w:lang w:val="en-US" w:eastAsia="en-US" w:bidi="ar-SA"/>
          </w:rPr>
          <w:t>(1998), 25 C.P.C. (4th) 107</w:t>
        </w:r>
      </w:hyperlink>
      <w:r>
        <w:rPr>
          <w:rFonts w:ascii="arial" w:eastAsia="arial" w:hAnsi="arial" w:cs="arial"/>
          <w:color w:val="000000"/>
          <w:sz w:val="20"/>
          <w:lang w:val="en-US" w:eastAsia="en-US" w:bidi="ar-SA"/>
        </w:rPr>
        <w:t xml:space="preserve"> (B.C.S.C.):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 The ultimate function of pleadings is to clearly define the issues of fact and law to be determined by the court. The issues must be defined for each cause of action relied upon by the plaintiff. That process is begun by the plaintiff stating, for each cause, the material facts, that is those facts necessary for the purpose of formulating a complete cause of action: </w:t>
      </w:r>
      <w:r>
        <w:rPr>
          <w:rFonts w:ascii="arial" w:eastAsia="arial" w:hAnsi="arial" w:cs="arial"/>
          <w:i/>
          <w:color w:val="000000"/>
          <w:sz w:val="20"/>
          <w:lang w:val="en-US" w:eastAsia="en-US" w:bidi="ar-SA"/>
        </w:rPr>
        <w:t>Troup v. McPherson</w:t>
      </w:r>
      <w:r>
        <w:rPr>
          <w:rFonts w:ascii="arial" w:eastAsia="arial" w:hAnsi="arial" w:cs="arial"/>
          <w:color w:val="000000"/>
          <w:sz w:val="20"/>
          <w:lang w:val="en-US" w:eastAsia="en-US" w:bidi="ar-SA"/>
        </w:rPr>
        <w:t xml:space="preserve"> (1965), 53 W.W.R. 37 (B.C.S.C.) at 39.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[60] The history of pleadings is well described by Parrett J. in </w:t>
      </w:r>
      <w:r>
        <w:rPr>
          <w:rFonts w:ascii="arial" w:eastAsia="arial" w:hAnsi="arial" w:cs="arial"/>
          <w:i/>
          <w:color w:val="000000"/>
          <w:sz w:val="20"/>
          <w:lang w:val="en-US" w:eastAsia="en-US" w:bidi="ar-SA"/>
        </w:rPr>
        <w:t>Keene v. British Columbia (Ministry of Children and Family Development)</w:t>
      </w:r>
      <w:r>
        <w:rPr>
          <w:rFonts w:ascii="arial" w:eastAsia="arial" w:hAnsi="arial" w:cs="arial"/>
          <w:color w:val="000000"/>
          <w:sz w:val="20"/>
          <w:lang w:val="en-US" w:eastAsia="en-US" w:bidi="ar-SA"/>
        </w:rPr>
        <w:t xml:space="preserve">, </w:t>
      </w:r>
      <w:hyperlink r:id="rId668" w:history="1">
        <w:r>
          <w:rPr>
            <w:rFonts w:ascii="arial" w:eastAsia="arial" w:hAnsi="arial" w:cs="arial"/>
            <w:i/>
            <w:color w:val="0077CC"/>
            <w:sz w:val="20"/>
            <w:u w:val="single"/>
            <w:shd w:val="clear" w:color="auto" w:fill="FFFFFF"/>
            <w:lang w:val="en-US" w:eastAsia="en-US" w:bidi="ar-SA"/>
          </w:rPr>
          <w:t>2003 BCSC 1544</w:t>
        </w:r>
      </w:hyperlink>
      <w:r>
        <w:rPr>
          <w:rFonts w:ascii="arial" w:eastAsia="arial" w:hAnsi="arial" w:cs="arial"/>
          <w:color w:val="000000"/>
          <w:sz w:val="20"/>
          <w:lang w:val="en-US" w:eastAsia="en-US" w:bidi="ar-SA"/>
        </w:rPr>
        <w:t xml:space="preserve">, </w:t>
      </w:r>
      <w:hyperlink r:id="rId668" w:history="1">
        <w:r>
          <w:rPr>
            <w:rFonts w:ascii="arial" w:eastAsia="arial" w:hAnsi="arial" w:cs="arial"/>
            <w:i/>
            <w:color w:val="0077CC"/>
            <w:sz w:val="20"/>
            <w:u w:val="single"/>
            <w:shd w:val="clear" w:color="auto" w:fill="FFFFFF"/>
            <w:lang w:val="en-US" w:eastAsia="en-US" w:bidi="ar-SA"/>
          </w:rPr>
          <w:t>20 B.C.L.R. (4th) 170</w:t>
        </w:r>
      </w:hyperlink>
      <w:r>
        <w:rPr>
          <w:rFonts w:ascii="arial" w:eastAsia="arial" w:hAnsi="arial" w:cs="arial"/>
          <w:color w:val="000000"/>
          <w:sz w:val="20"/>
          <w:lang w:val="en-US" w:eastAsia="en-US" w:bidi="ar-SA"/>
        </w:rPr>
        <w:t xml:space="preserve">. The rules on pleading are not overly technical. Pleadings prevent expansion of the issues, give notice of the case required to be met, and provide certainty of the issues for purposes of appeal. Complexity and confusion that can be created by a moving target is avoided by pleadings correctly drawn, as are subsequent quarrels in this Court as to the issues before the trial court. Pleadings are an elegant solution to issue definition and notice and are well-serving of the ultimate purpose of efficient resolution of a dispute on its merits (Rule 1(5)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Ideally, they avoid the "loose thinking" decried by Lord Denning in his forward to I.H. Jacob</w:t>
      </w:r>
      <w:r>
        <w:rPr>
          <w:rFonts w:ascii="arial" w:eastAsia="arial" w:hAnsi="arial" w:cs="arial"/>
          <w:i/>
          <w:color w:val="000000"/>
          <w:sz w:val="20"/>
          <w:lang w:val="en-US" w:eastAsia="en-US" w:bidi="ar-SA"/>
        </w:rPr>
        <w:t>, Bullen and Leake and Jacob's Precedents of Pleadings</w:t>
      </w:r>
      <w:r>
        <w:rPr>
          <w:rFonts w:ascii="arial" w:eastAsia="arial" w:hAnsi="arial" w:cs="arial"/>
          <w:color w:val="000000"/>
          <w:sz w:val="20"/>
          <w:lang w:val="en-US" w:eastAsia="en-US" w:bidi="ar-SA"/>
        </w:rPr>
        <w:t>, 12th ed. (London: Sweet &amp; Maxwell, 1975).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[61] Notwithstanding Lord Denning's lament, pleadings do not always display rigour of analysis. Yet the trial court, in whom is vested responsibility for its own process, is not hasty to strike a claim under Rule 19(24)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Only where, as here, it is plain and obvious the claim cannot succeed is that step taken. That this test results in dismissal of this action is germane to the issue of costs. A case that cannot survive the application of Rule 19(24)(a) rests upon the weakest of foundations for an order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Application for leave to appeal to the Supreme Court of Canada in the </w:t>
      </w:r>
      <w:r>
        <w:rPr>
          <w:rFonts w:ascii="arial" w:eastAsia="arial" w:hAnsi="arial" w:cs="arial"/>
          <w:i/>
          <w:color w:val="000000"/>
          <w:sz w:val="20"/>
          <w:lang w:val="en-US" w:eastAsia="en-US" w:bidi="ar-SA"/>
        </w:rPr>
        <w:t>Canadian Bar Assn. v. British Columbia</w:t>
      </w:r>
      <w:r>
        <w:rPr>
          <w:rFonts w:ascii="arial" w:eastAsia="arial" w:hAnsi="arial" w:cs="arial"/>
          <w:color w:val="000000"/>
          <w:sz w:val="20"/>
          <w:lang w:val="en-US" w:eastAsia="en-US" w:bidi="ar-SA"/>
        </w:rPr>
        <w:t xml:space="preserve"> was denied at </w:t>
      </w:r>
      <w:hyperlink r:id="rId669" w:history="1">
        <w:r>
          <w:rPr>
            <w:rFonts w:ascii="arial" w:eastAsia="arial" w:hAnsi="arial" w:cs="arial"/>
            <w:i/>
            <w:color w:val="0077CC"/>
            <w:sz w:val="20"/>
            <w:u w:val="single"/>
            <w:shd w:val="clear" w:color="auto" w:fill="FFFFFF"/>
            <w:lang w:val="en-US" w:eastAsia="en-US" w:bidi="ar-SA"/>
          </w:rPr>
          <w:t>[2008] SCCA No. 185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As noted in </w:t>
      </w:r>
      <w:r>
        <w:rPr>
          <w:rFonts w:ascii="arial" w:eastAsia="arial" w:hAnsi="arial" w:cs="arial"/>
          <w:i/>
          <w:color w:val="000000"/>
          <w:sz w:val="20"/>
          <w:lang w:val="en-US" w:eastAsia="en-US" w:bidi="ar-SA"/>
        </w:rPr>
        <w:t>Micka v. Oliver &amp; District Community Economic Development Society,</w:t>
      </w:r>
      <w:r>
        <w:rPr>
          <w:rFonts w:ascii="arial" w:eastAsia="arial" w:hAnsi="arial" w:cs="arial"/>
          <w:color w:val="000000"/>
          <w:sz w:val="20"/>
          <w:lang w:val="en-US" w:eastAsia="en-US" w:bidi="ar-SA"/>
        </w:rPr>
        <w:t xml:space="preserve"> </w:t>
      </w:r>
      <w:hyperlink r:id="rId670" w:history="1">
        <w:r>
          <w:rPr>
            <w:rFonts w:ascii="arial" w:eastAsia="arial" w:hAnsi="arial" w:cs="arial"/>
            <w:i/>
            <w:color w:val="0077CC"/>
            <w:sz w:val="20"/>
            <w:u w:val="single"/>
            <w:shd w:val="clear" w:color="auto" w:fill="FFFFFF"/>
            <w:lang w:val="en-US" w:eastAsia="en-US" w:bidi="ar-SA"/>
          </w:rPr>
          <w:t>2008 BCSC 1623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Micka</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The issue is not whether the plaintiff has failed to identify the specific causes of action or tort claims advanced. Rather, the Court is to examine the statement of claim to see whether the material facts set out would, if proved, complete all the constituent elements of causes of action known in law: see </w:t>
      </w:r>
      <w:r>
        <w:rPr>
          <w:rFonts w:ascii="arial" w:eastAsia="arial" w:hAnsi="arial" w:cs="arial"/>
          <w:i/>
          <w:color w:val="000000"/>
          <w:sz w:val="20"/>
          <w:lang w:val="en-US" w:eastAsia="en-US" w:bidi="ar-SA"/>
        </w:rPr>
        <w:t>Alford v. Canada (Attorney General)</w:t>
      </w:r>
      <w:r>
        <w:rPr>
          <w:rFonts w:ascii="arial" w:eastAsia="arial" w:hAnsi="arial" w:cs="arial"/>
          <w:color w:val="000000"/>
          <w:sz w:val="20"/>
          <w:lang w:val="en-US" w:eastAsia="en-US" w:bidi="ar-SA"/>
        </w:rPr>
        <w:t xml:space="preserve"> </w:t>
      </w:r>
      <w:hyperlink r:id="rId671" w:history="1">
        <w:r>
          <w:rPr>
            <w:rFonts w:ascii="arial" w:eastAsia="arial" w:hAnsi="arial" w:cs="arial"/>
            <w:i/>
            <w:color w:val="0077CC"/>
            <w:sz w:val="20"/>
            <w:u w:val="single"/>
            <w:shd w:val="clear" w:color="auto" w:fill="FFFFFF"/>
            <w:lang w:val="en-US" w:eastAsia="en-US" w:bidi="ar-SA"/>
          </w:rPr>
          <w:t>(1997), 31 B.C.L.R. (3d) 228</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Alford</w:t>
      </w:r>
      <w:r>
        <w:rPr>
          <w:rFonts w:ascii="arial" w:eastAsia="arial" w:hAnsi="arial" w:cs="arial"/>
          <w:color w:val="000000"/>
          <w:sz w:val="20"/>
          <w:lang w:val="en-US" w:eastAsia="en-US" w:bidi="ar-SA"/>
        </w:rPr>
        <w:t xml:space="preserve"> ] per Brenner J., as he then was, at 235 and 236.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 of the Notice of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Evidence on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Notwithstanding Rule 9-5(2) both parties filed affidavits. The affidavit filed by the applicant was not directed at the merits of the pleadings but addressed the various attempts to convince a remarkably intransigent counsel for the plaintiff to provide particulars which were not forthcoming. The plaintiff filed an affidavit to introduce evidence into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Neither of these affidavits will be considered in this application.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Conspiracy and/or Deceit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plaintiff's counsel, in written submissions, withdrew the allegations of conspiracy or deceit. Those claims are dismissed and will not be addressed further in these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Fraudulent misrepresentation and negligent 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notice of claim in Part 3 contains a bald allegation of fraudulent misrepresentation or negligent "representation". As noted in </w:t>
      </w:r>
      <w:r>
        <w:rPr>
          <w:rFonts w:ascii="arial" w:eastAsia="arial" w:hAnsi="arial" w:cs="arial"/>
          <w:i/>
          <w:color w:val="000000"/>
          <w:sz w:val="20"/>
          <w:lang w:val="en-US" w:eastAsia="en-US" w:bidi="ar-SA"/>
        </w:rPr>
        <w:t>Micka</w:t>
      </w:r>
      <w:r>
        <w:rPr>
          <w:rFonts w:ascii="arial" w:eastAsia="arial" w:hAnsi="arial" w:cs="arial"/>
          <w:color w:val="000000"/>
          <w:sz w:val="20"/>
          <w:lang w:val="en-US" w:eastAsia="en-US" w:bidi="ar-SA"/>
        </w:rPr>
        <w:t xml:space="preserve"> at para.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The necessary elements in an action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was a duty of care owed to the plaintiff by the defendant.</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was a breach of that duty of care in that the defendant failed to exercise the standard of care required of a reasonable and careful person in the circumstances.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the plaintiff suffered damages as a direct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Again, there is no statement of material facts pleaded in relation to the defendant Kaminski that would support a claim of fraudulent misrepresentation or in the alternative negligent 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Supreme Court of Canada, in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293"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set out the test to establish a private law duty of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 At the first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[1978] A.C. 728, two questions arise: (1) was the harm that occurred the reasonably foreseeable consequence of the defendant's act? and (2) are there reasons, notwithstanding the proximity between the parties established in the first part of this test, that tort liability should not be recognized here? The proximity analysis involved at the first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focuses on factors arising from the </w:t>
      </w:r>
      <w:r>
        <w:rPr>
          <w:rFonts w:ascii="arial" w:eastAsia="arial" w:hAnsi="arial" w:cs="arial"/>
          <w:color w:val="000000"/>
          <w:sz w:val="20"/>
          <w:u w:val="single"/>
          <w:lang w:val="en-US" w:eastAsia="en-US" w:bidi="ar-SA"/>
        </w:rPr>
        <w:t>relationship</w:t>
      </w:r>
      <w:r>
        <w:rPr>
          <w:rFonts w:ascii="arial" w:eastAsia="arial" w:hAnsi="arial" w:cs="arial"/>
          <w:color w:val="000000"/>
          <w:sz w:val="20"/>
          <w:lang w:val="en-US" w:eastAsia="en-US" w:bidi="ar-SA"/>
        </w:rPr>
        <w:t xml:space="preserve"> between the plaintiff and the defendant. These factors include questions of policy, in the broad sense of that word. If foreseeability and proximity are established at the first stage,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arises. At the second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the question still remains whether there are residual policy considerations outside the relationship of the parties that may negative the imposition of a duty of care. It may be, as the Privy Council suggests in</w:t>
      </w:r>
      <w:r>
        <w:rPr>
          <w:rFonts w:ascii="arial" w:eastAsia="arial" w:hAnsi="arial" w:cs="arial"/>
          <w:i/>
          <w:color w:val="000000"/>
          <w:sz w:val="20"/>
          <w:lang w:val="en-US" w:eastAsia="en-US" w:bidi="ar-SA"/>
        </w:rPr>
        <w:t>Yuen Kun Yeu</w:t>
      </w:r>
      <w:r>
        <w:rPr>
          <w:rFonts w:ascii="arial" w:eastAsia="arial" w:hAnsi="arial" w:cs="arial"/>
          <w:color w:val="000000"/>
          <w:sz w:val="20"/>
          <w:lang w:val="en-US" w:eastAsia="en-US" w:bidi="ar-SA"/>
        </w:rPr>
        <w:t>, [1988] 1 A.C. 175, that such considerations will not often prevail. However, we think it useful expressly to ask, before imposing a new duty of care, whether despite foreseeability and proximity of relationship, there are other policy reasons why the duty should not be imposed.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There are no material facts pleaded in the notice of claim that would support or establish any relationship of proximity and foreseeability between the defendant Kaminski and the plaintiff. The notice of claim does not plead the material facts necessary to support a claim that the defendant Kaminski owed the plaintiff a duty of care. There is no allegation, for instance, that Mr. Kaminski at any time acted as a lawyer for or on behalf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the written submissions filed by Mr. Cuddeford, he recited only four elements of fraudulent misrepresentation contained at para. 55 in the reasons of Bauman, J.A. as he then was, in </w:t>
      </w:r>
      <w:r>
        <w:rPr>
          <w:rFonts w:ascii="arial" w:eastAsia="arial" w:hAnsi="arial" w:cs="arial"/>
          <w:i/>
          <w:color w:val="000000"/>
          <w:sz w:val="20"/>
          <w:lang w:val="en-US" w:eastAsia="en-US" w:bidi="ar-SA"/>
        </w:rPr>
        <w:t>Catalyst Pulp and Paper Sales Inc. v. Universal Paper Import Company Ltd.</w:t>
      </w:r>
      <w:r>
        <w:rPr>
          <w:rFonts w:ascii="arial" w:eastAsia="arial" w:hAnsi="arial" w:cs="arial"/>
          <w:color w:val="000000"/>
          <w:sz w:val="20"/>
          <w:lang w:val="en-US" w:eastAsia="en-US" w:bidi="ar-SA"/>
        </w:rPr>
        <w:t xml:space="preserve">, </w:t>
      </w:r>
      <w:hyperlink r:id="rId672" w:history="1">
        <w:r>
          <w:rPr>
            <w:rFonts w:ascii="arial" w:eastAsia="arial" w:hAnsi="arial" w:cs="arial"/>
            <w:i/>
            <w:color w:val="0077CC"/>
            <w:sz w:val="20"/>
            <w:u w:val="single"/>
            <w:shd w:val="clear" w:color="auto" w:fill="FFFFFF"/>
            <w:lang w:val="en-US" w:eastAsia="en-US" w:bidi="ar-SA"/>
          </w:rPr>
          <w:t>2009 BCCA 307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Catalyst</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Counsel for UPE cited G.H.L. Fridman, </w:t>
      </w:r>
      <w:r>
        <w:rPr>
          <w:rFonts w:ascii="arial" w:eastAsia="arial" w:hAnsi="arial" w:cs="arial"/>
          <w:i/>
          <w:color w:val="000000"/>
          <w:sz w:val="20"/>
          <w:lang w:val="en-US" w:eastAsia="en-US" w:bidi="ar-SA"/>
        </w:rPr>
        <w:t>Law of Contract in Canada</w:t>
      </w:r>
      <w:r>
        <w:rPr>
          <w:rFonts w:ascii="arial" w:eastAsia="arial" w:hAnsi="arial" w:cs="arial"/>
          <w:color w:val="000000"/>
          <w:sz w:val="20"/>
          <w:lang w:val="en-US" w:eastAsia="en-US" w:bidi="ar-SA"/>
        </w:rPr>
        <w:t>, 4th ed. (Scarborough: Carswell, 1999) at 309-310, where the learned author described a case of fraudulent misrepresentation as consisting of four elements:</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wrongdoer must make a representation of fact to the victim;</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must be false in fact;</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making the representation must have either known it was false or made it recklessly without knowing whether it was true or false; and</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victim must have been induced by the representation to enter into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However, the Court in </w:t>
      </w:r>
      <w:r>
        <w:rPr>
          <w:rFonts w:ascii="arial" w:eastAsia="arial" w:hAnsi="arial" w:cs="arial"/>
          <w:i/>
          <w:color w:val="000000"/>
          <w:sz w:val="20"/>
          <w:lang w:val="en-US" w:eastAsia="en-US" w:bidi="ar-SA"/>
        </w:rPr>
        <w:t>Catalyst</w:t>
      </w:r>
      <w:r>
        <w:rPr>
          <w:rFonts w:ascii="arial" w:eastAsia="arial" w:hAnsi="arial" w:cs="arial"/>
          <w:color w:val="000000"/>
          <w:sz w:val="20"/>
          <w:lang w:val="en-US" w:eastAsia="en-US" w:bidi="ar-SA"/>
        </w:rPr>
        <w:t xml:space="preserve">, following the recitation of those four elements, clearly stated that solely finding an inducement to enter into a contract based on a misrepresentation insufficient for a finding of reliance (para. 54 to 62). In the pleadings here, as in </w:t>
      </w:r>
      <w:r>
        <w:rPr>
          <w:rFonts w:ascii="arial" w:eastAsia="arial" w:hAnsi="arial" w:cs="arial"/>
          <w:i/>
          <w:color w:val="000000"/>
          <w:sz w:val="20"/>
          <w:lang w:val="en-US" w:eastAsia="en-US" w:bidi="ar-SA"/>
        </w:rPr>
        <w:t>Catalyst</w:t>
      </w:r>
      <w:r>
        <w:rPr>
          <w:rFonts w:ascii="arial" w:eastAsia="arial" w:hAnsi="arial" w:cs="arial"/>
          <w:color w:val="000000"/>
          <w:sz w:val="20"/>
          <w:lang w:val="en-US" w:eastAsia="en-US" w:bidi="ar-SA"/>
        </w:rPr>
        <w:t>, the alleged falsity did not result in a contract. In this case, counsel ignored the element of reliance, which is essential to the success of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material facts surrounding reliance by the plaintiff, which should have been asserted by the plaintiff, are wholly within the knowledge of the plaintiff and were not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Cuddeford for the plaintiff, in written submissions filed January 21, 2013, submits that, notwithstanding the requirement of a plaintiff to provide full particulars of allegations of fraud under Rule 3-7(18), if the plaintiff does not know any particulars, fraud can still be pleaded under 3-7(20). This submission would render the requirement of long standing that allegations of fraud be fully pleaded as nothing more than a historical footnote.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Proconic Electronics Ltd. v. Wong</w:t>
      </w:r>
      <w:r>
        <w:rPr>
          <w:rFonts w:ascii="arial" w:eastAsia="arial" w:hAnsi="arial" w:cs="arial"/>
          <w:color w:val="000000"/>
          <w:sz w:val="20"/>
          <w:lang w:val="en-US" w:eastAsia="en-US" w:bidi="ar-SA"/>
        </w:rPr>
        <w:t xml:space="preserve">, </w:t>
      </w:r>
      <w:hyperlink r:id="rId673" w:history="1">
        <w:r>
          <w:rPr>
            <w:rFonts w:ascii="arial" w:eastAsia="arial" w:hAnsi="arial" w:cs="arial"/>
            <w:i/>
            <w:color w:val="0077CC"/>
            <w:sz w:val="20"/>
            <w:u w:val="single"/>
            <w:shd w:val="clear" w:color="auto" w:fill="FFFFFF"/>
            <w:lang w:val="en-US" w:eastAsia="en-US" w:bidi="ar-SA"/>
          </w:rPr>
          <w:t>(1985) 67 B.C.L.R. 237</w:t>
        </w:r>
      </w:hyperlink>
      <w:r>
        <w:rPr>
          <w:rFonts w:ascii="arial" w:eastAsia="arial" w:hAnsi="arial" w:cs="arial"/>
          <w:color w:val="000000"/>
          <w:sz w:val="20"/>
          <w:lang w:val="en-US" w:eastAsia="en-US" w:bidi="ar-SA"/>
        </w:rPr>
        <w:t xml:space="preserve"> (BCSC), Southin J. specifically considered the issue of a party said to be unable to provide particulars, but the court relying on the propositions above in relation to bald allegations of misconduct, ordered particulars to be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I think a plaintiff who makes serious allegations of misconduct against someone who stands in a fiduciary relationship to him and who says he cannot give any particulars of those allegations must adduce some evidence even if very little in order to require a defendant to answer. Defendants are not to be called upon to answer a bald allegation of breach of fiduciary duty of which there is no evidence and of which no particulars are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At para. 9 of the same decision, Southin J., as she then was, wrote in more poetic language: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...Perhaps it is not too fanciful to say that a litigant cannot have a licence to fish in his opponent's private swimming pool unless he can provide some evidence from which it can be inferred that there may be fish in that pool. If there is no such evidence, the defendant need not let him in to see if there is a fish.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Involvement of Kaminski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Nowhere in the amended notice of claim is there any allegation that Mr. Kaminski had any involvement in or knowledge of the Secret Contract. For example there is no allegation that Mr. Kaminski was an officer, director, "the operating mind", or otherwise exercised any level of control of the affairs or business of 607206.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amended notice of claim does not contain any allegation of the capacity in which Mr. Kaminski represented 670206 except that he was a lawyer representing that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the amended notice of claim, the statement of material facts does not provide any nexus between the plaintiff, the defendant 670206 and any conduct of Mr. Kaminski.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the case before me, accepting the material facts as alleged in the notice of claim, the plaintiff has not adequately founded claims of fraudulent misrepresentation or negligent representation. As matters stand, the amended notice of claim does not disclose a reasonable claim or a claim that has any hope of success against the defendant, Brian Kaminski. This is a plain and obvious case where the claim as filed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There is, however, a pleading in the notice of claim that the plaintiffs relied upon a statement made by Mr. Kaminski to their detriment. That pleading might support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but certainly not in its present form. I therefore order pursuant to Rule 3-7(18)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that the plaintiff shall file an amended notice of claim with complete and full particulars of all allegations of fact upon which the plaintiff intends to rely. The amended notice of claim must be filed within in 21 days of date of the filing of these reasons. In the event that the plaintiff fails to file an amended notice of claim within the time limited above, this action shall be dismissed without further order of this Court. In the event that the plaintiffs do file an amended notice of claim as ordered, then the defendants shall be at liberty to file an amended reply within 14 days of the service of the amended notice of claim on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the written submissions for the plaintiff in paras. 20 to 23, counsel for the plaintiff attempted to distinguished the judgment in </w:t>
      </w:r>
      <w:r>
        <w:rPr>
          <w:rFonts w:ascii="arial" w:eastAsia="arial" w:hAnsi="arial" w:cs="arial"/>
          <w:i/>
          <w:color w:val="000000"/>
          <w:sz w:val="20"/>
          <w:lang w:val="en-US" w:eastAsia="en-US" w:bidi="ar-SA"/>
        </w:rPr>
        <w:t>Interstate Investments Ltd. v. Pacific International Securities</w:t>
      </w:r>
      <w:r>
        <w:rPr>
          <w:rFonts w:ascii="arial" w:eastAsia="arial" w:hAnsi="arial" w:cs="arial"/>
          <w:color w:val="000000"/>
          <w:sz w:val="20"/>
          <w:lang w:val="en-US" w:eastAsia="en-US" w:bidi="ar-SA"/>
        </w:rPr>
        <w:t xml:space="preserve">, </w:t>
      </w:r>
      <w:hyperlink r:id="rId674" w:history="1">
        <w:r>
          <w:rPr>
            <w:rFonts w:ascii="arial" w:eastAsia="arial" w:hAnsi="arial" w:cs="arial"/>
            <w:i/>
            <w:color w:val="0077CC"/>
            <w:sz w:val="20"/>
            <w:u w:val="single"/>
            <w:shd w:val="clear" w:color="auto" w:fill="FFFFFF"/>
            <w:lang w:val="en-US" w:eastAsia="en-US" w:bidi="ar-SA"/>
          </w:rPr>
          <w:t>(1995) 10 B.C.L.R. (3d) 265</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Interstate</w:t>
      </w:r>
      <w:r>
        <w:rPr>
          <w:rFonts w:ascii="arial" w:eastAsia="arial" w:hAnsi="arial" w:cs="arial"/>
          <w:color w:val="000000"/>
          <w:sz w:val="20"/>
          <w:lang w:val="en-US" w:eastAsia="en-US" w:bidi="ar-SA"/>
        </w:rPr>
        <w:t xml:space="preserve"> ]. In the defendant Kaminski's application, Counsel relied upon </w:t>
      </w:r>
      <w:r>
        <w:rPr>
          <w:rFonts w:ascii="arial" w:eastAsia="arial" w:hAnsi="arial" w:cs="arial"/>
          <w:i/>
          <w:color w:val="000000"/>
          <w:sz w:val="20"/>
          <w:lang w:val="en-US" w:eastAsia="en-US" w:bidi="ar-SA"/>
        </w:rPr>
        <w:t>Interstate</w:t>
      </w:r>
      <w:r>
        <w:rPr>
          <w:rFonts w:ascii="arial" w:eastAsia="arial" w:hAnsi="arial" w:cs="arial"/>
          <w:color w:val="000000"/>
          <w:sz w:val="20"/>
          <w:lang w:val="en-US" w:eastAsia="en-US" w:bidi="ar-SA"/>
        </w:rPr>
        <w:t xml:space="preserve"> for the position that the plaintiff's "outrageous conduct" in forwarding this spurious action is deserving of rebuke through an award of special costs and the action being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Counsel for the plaintiff distinguished </w:t>
      </w:r>
      <w:r>
        <w:rPr>
          <w:rFonts w:ascii="arial" w:eastAsia="arial" w:hAnsi="arial" w:cs="arial"/>
          <w:i/>
          <w:color w:val="000000"/>
          <w:sz w:val="20"/>
          <w:lang w:val="en-US" w:eastAsia="en-US" w:bidi="ar-SA"/>
        </w:rPr>
        <w:t>Interstate</w:t>
      </w:r>
      <w:r>
        <w:rPr>
          <w:rFonts w:ascii="arial" w:eastAsia="arial" w:hAnsi="arial" w:cs="arial"/>
          <w:color w:val="000000"/>
          <w:sz w:val="20"/>
          <w:lang w:val="en-US" w:eastAsia="en-US" w:bidi="ar-SA"/>
        </w:rPr>
        <w:t xml:space="preserve"> because in that case a trial had been held before the action was dismissed. Counsel then wrote: "If any allegation of wrongdoing against counsel were to be summarily dismissed without any investigation, with special costs, then people such as Mr. Wirick would still be defrauding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Why that submission would be of any assistance to this court on the application before the Court is at best unclear. If Mr. Cuddeford intended to compare Mr. Wirick with any party in this very early stage of litigation, particularly a practicing lawyer, this comparison is, at best, unwise or intemperate. Mr. Cuddeford might have his attention drawn to the commentary of the Supreme Court of Canada in the case of </w:t>
      </w:r>
      <w:r>
        <w:rPr>
          <w:rFonts w:ascii="arial" w:eastAsia="arial" w:hAnsi="arial" w:cs="arial"/>
          <w:i/>
          <w:color w:val="000000"/>
          <w:sz w:val="20"/>
          <w:lang w:val="en-US" w:eastAsia="en-US" w:bidi="ar-SA"/>
        </w:rPr>
        <w:t>Doré v. the Barreau of Quebec</w:t>
      </w:r>
      <w:r>
        <w:rPr>
          <w:rFonts w:ascii="arial" w:eastAsia="arial" w:hAnsi="arial" w:cs="arial"/>
          <w:color w:val="000000"/>
          <w:sz w:val="20"/>
          <w:lang w:val="en-US" w:eastAsia="en-US" w:bidi="ar-SA"/>
        </w:rPr>
        <w:t xml:space="preserve">, </w:t>
      </w:r>
      <w:hyperlink r:id="rId675" w:history="1">
        <w:r>
          <w:rPr>
            <w:rFonts w:ascii="arial" w:eastAsia="arial" w:hAnsi="arial" w:cs="arial"/>
            <w:i/>
            <w:color w:val="0077CC"/>
            <w:sz w:val="20"/>
            <w:u w:val="single"/>
            <w:shd w:val="clear" w:color="auto" w:fill="FFFFFF"/>
            <w:lang w:val="en-US" w:eastAsia="en-US" w:bidi="ar-SA"/>
          </w:rPr>
          <w:t>2012 SCC 12</w:t>
        </w:r>
      </w:hyperlink>
      <w:r>
        <w:rPr>
          <w:rFonts w:ascii="arial" w:eastAsia="arial" w:hAnsi="arial" w:cs="arial"/>
          <w:color w:val="000000"/>
          <w:sz w:val="20"/>
          <w:lang w:val="en-US" w:eastAsia="en-US" w:bidi="ar-SA"/>
        </w:rPr>
        <w:t>, where the Court spoke of the freedom of lawyers to represent client interests being constrained by "dignified restraint."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decision in </w:t>
      </w:r>
      <w:r>
        <w:rPr>
          <w:rFonts w:ascii="arial" w:eastAsia="arial" w:hAnsi="arial" w:cs="arial"/>
          <w:i/>
          <w:color w:val="000000"/>
          <w:sz w:val="20"/>
          <w:lang w:val="en-US" w:eastAsia="en-US" w:bidi="ar-SA"/>
        </w:rPr>
        <w:t>Interstate</w:t>
      </w:r>
      <w:r>
        <w:rPr>
          <w:rFonts w:ascii="arial" w:eastAsia="arial" w:hAnsi="arial" w:cs="arial"/>
          <w:color w:val="000000"/>
          <w:sz w:val="20"/>
          <w:lang w:val="en-US" w:eastAsia="en-US" w:bidi="ar-SA"/>
        </w:rPr>
        <w:t xml:space="preserve"> is based on an allegation made in written argument that the plaintiff and his solicitor were guilty of "outrageous conduct" tainted by serious misconduct. The reference above to Martin Wirick, a convicted felon, resembles the same issue faced by the Court in the </w:t>
      </w:r>
      <w:r>
        <w:rPr>
          <w:rFonts w:ascii="arial" w:eastAsia="arial" w:hAnsi="arial" w:cs="arial"/>
          <w:i/>
          <w:color w:val="000000"/>
          <w:sz w:val="20"/>
          <w:lang w:val="en-US" w:eastAsia="en-US" w:bidi="ar-SA"/>
        </w:rPr>
        <w:t>Interstate</w:t>
      </w:r>
      <w:r>
        <w:rPr>
          <w:rFonts w:ascii="arial" w:eastAsia="arial" w:hAnsi="arial" w:cs="arial"/>
          <w:color w:val="000000"/>
          <w:sz w:val="20"/>
          <w:lang w:val="en-US" w:eastAsia="en-US" w:bidi="ar-SA"/>
        </w:rPr>
        <w:t xml:space="preserve"> case. In the case at bar, the plaintiffs have been unable to plead facts which would support any allegation of "outrageous conduct" by Mr. Kaminski.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Interstate</w:t>
      </w:r>
      <w:r>
        <w:rPr>
          <w:rFonts w:ascii="arial" w:eastAsia="arial" w:hAnsi="arial" w:cs="arial"/>
          <w:color w:val="000000"/>
          <w:sz w:val="20"/>
          <w:lang w:val="en-US" w:eastAsia="en-US" w:bidi="ar-SA"/>
        </w:rPr>
        <w:t>, Koenigsberg, J. also addressed an allegation of fraud:</w:t>
      </w:r>
      <w:r>
        <w:rPr>
          <w:rFonts w:ascii="arial" w:eastAsia="arial" w:hAnsi="arial" w:cs="arial"/>
          <w:sz w:val="20"/>
          <w:lang w:val="en-US" w:eastAsia="en-US" w:bidi="ar-SA"/>
        </w:rPr>
        <w:cr/>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u w:val="single"/>
          <w:lang w:val="en-US" w:eastAsia="en-US" w:bidi="ar-SA"/>
        </w:rPr>
        <w:t>Ip v. I.C.B.C</w:t>
      </w:r>
      <w:r>
        <w:rPr>
          <w:rFonts w:ascii="arial" w:eastAsia="arial" w:hAnsi="arial" w:cs="arial"/>
          <w:color w:val="000000"/>
          <w:sz w:val="20"/>
          <w:lang w:val="en-US" w:eastAsia="en-US" w:bidi="ar-SA"/>
        </w:rPr>
        <w:t xml:space="preserve">. </w:t>
      </w:r>
      <w:hyperlink r:id="rId676" w:history="1">
        <w:r>
          <w:rPr>
            <w:rFonts w:ascii="arial" w:eastAsia="arial" w:hAnsi="arial" w:cs="arial"/>
            <w:i/>
            <w:color w:val="0077CC"/>
            <w:sz w:val="20"/>
            <w:u w:val="single"/>
            <w:shd w:val="clear" w:color="auto" w:fill="FFFFFF"/>
            <w:lang w:val="en-US" w:eastAsia="en-US" w:bidi="ar-SA"/>
          </w:rPr>
          <w:t>(1994), 89 B.C.L.R. (2d) 251</w:t>
        </w:r>
      </w:hyperlink>
      <w:r>
        <w:rPr>
          <w:rFonts w:ascii="arial" w:eastAsia="arial" w:hAnsi="arial" w:cs="arial"/>
          <w:color w:val="000000"/>
          <w:sz w:val="20"/>
          <w:lang w:val="en-US" w:eastAsia="en-US" w:bidi="ar-SA"/>
        </w:rPr>
        <w:t>, Mr. Justice McKinnon dealt with an application for special costs. That case involved an allegation of fraud made by the defendant. The fraud was pleaded without foundation as found by the trial judge. At page 253 of the decision, Mr. Justice McKinnon said this: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appreciate that the defendant is faced with many fraudulent claims and that it has a duty to refuse payment where reasonable grounds exist for so doing. An allegation of fraud, wilful misstatements, or other such claims made against a person casts a serious pall over his or her reputation in the community. Very careful consideration must be given by the defendant before making such serious allegations. At the very least, a prima facie case must exist and if it does not then special costs by way of "chastisement" is a reminder to the defendant to exercise better care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Given the very serious nature of the allegations against Mr. Kaminski, which I have discussed above and the lack of a basis for those allegations pleaded herein, as well as the success of Mr. Kaminski in this application, this is an appropriate case for an award of special costs in favour of Mr. Kaminski. Further the special costs shall be paid by the plaintiff forthwith after the filing of the amended notice of claim and before any further step in taken by the plaintiff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Orders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K.W. BALL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1" style="position:absolute;z-index:2518917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77"/>
          <w:headerReference w:type="default" r:id="rId678"/>
          <w:footerReference w:type="even" r:id="rId679"/>
          <w:footerReference w:type="default" r:id="rId680"/>
          <w:headerReference w:type="first" r:id="rId681"/>
          <w:footerReference w:type="first" r:id="rId68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83" w:history="1">
        <w:r>
          <w:rPr>
            <w:rFonts w:ascii="arial" w:eastAsia="arial" w:hAnsi="arial" w:cs="arial"/>
            <w:b/>
            <w:bCs/>
            <w:i/>
            <w:color w:val="0077CC"/>
            <w:kern w:val="32"/>
            <w:sz w:val="28"/>
            <w:szCs w:val="32"/>
            <w:u w:val="single"/>
            <w:shd w:val="clear" w:color="auto" w:fill="FFFFFF"/>
            <w:lang w:val="en-US" w:eastAsia="en-US" w:bidi="ar-SA"/>
          </w:rPr>
          <w:t>R. v. Singleton, [2010] B.C.J. No. 2439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Nelson,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E.A. Arnold-Bailey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26-30, November 2-6, 16-20, 23, 24, 26, 30,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December 1, 2, 4, 7-11 and 14-17, 2009; January 25-29,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February 1-5, 8-12 and March 22-25,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3,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15635-7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Nelson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2439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1734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Regina, and Marvin Kenneth Singleton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(498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2" style="position:absolute;z-index:2516930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2" w:name="Keywords_33"/>
      <w:bookmarkEnd w:id="222"/>
      <w:r>
        <w:rPr>
          <w:rFonts w:ascii="arial" w:eastAsia="arial" w:hAnsi="arial" w:cs="arial"/>
          <w:b/>
          <w:color w:val="000000"/>
          <w:sz w:val="20"/>
          <w:lang w:val="en-US" w:eastAsia="en-US" w:bidi="ar-SA"/>
        </w:rPr>
        <w:t>Criminal law — Criminal Code offences — Offences against rights of property — Theft and offences resembling theft — Theft over $5,000 — Fraudulent transactions relating to contracts and trade — Fraud over $5,000 — Accused convicted of theft and fraud — Accused, now age 77, was former lawyer accused of diverting approximately $500,000 in estate funds for personal use in failed development project — Accused characterized diverted funds as investment that suffered a loss — He denied any criminal intent — Lawyer's incompetence was not licence for dishonesty — Conduct in diverting funds, failing to disclose investments, and misrepresenting status of estate was objectively dishonest and resulted from series of deliberate steps that could not have been taken without intent to deprive beneficiaries — Colour of right defence was without merit — Criminal Code of Canada, ss. 322, 322(1), 330, 332, 380(1).</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Criminal law — Elements of the offence — Actus reus — Mens rea — Accused convicted of theft and fraud — Accused, now age 77, was former lawyer accused of diverting approximately $500,000 in estate funds for personal use in failed development project — Accused characterized diverted funds as investment that suffered a loss — He denied any criminal intent — Lawyer's incompetence was not licence for dishonesty — Conduct in diverting funds, failing to disclose investments, and misrepresenting status of estate was objectively dishonest and resulted from series of deliberate steps that could not have been taken without intent to deprive beneficiaries — Colour of right defence was without merit — Criminal Code of Canada, ss. 322, 322(1), 330, 332, 380(1).</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Criminal law — Defences — Colour of right — Accused convicted of theft and fraud — Accused, now age 77, was former lawyer accused of diverting approximately $500,000 in estate funds for personal use in failed development project — Accused characterized diverted funds as investment that suffered a loss — He denied any criminal intent — Lawyer's incompetence was not licence for dishonesty — Conduct in diverting funds, failing to disclose investments, and misrepresenting status of estate was objectively dishonest and resulted from series of deliberate steps that could not have been taken without intent to deprive beneficiaries — Colour of right defence was without merit — Criminal Code of Canada, ss. 322, 322(1), 330, 332, 380(1).</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3" w:name="Case Summary_29"/>
            <w:bookmarkEnd w:id="22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Trial of the accused, Singleton, for theft and fraud. The accused, now age 77, was a former lawyer. The charges arose in the context of his conduct as executor and trustee of the George Estate between March 1988 and December 1990. The accused left the jurisdiction in the mid-1990s. He was arrested in the United States in 2004 and eventually extradited to Canada. The total value of the Estate was $1.06 million. The Crown alleged that the accused stole and/or defrauded the Estate of approximately $500,000 through the conversion of Estate funds to his own use. The funds were directed from the Estate to a private company set up by the accused to further an investment plan related to the development of recreational mountain property. The development never proceeded and the property was ultimately forfeited for non-payment of taxes. The diversion of funds was never disclosed to the Estate. The Crown alleged that the accused fraudulently misrepresented the status of the Estate to others to conceal his activities. The shortfall represented specific bequests to three charities and shares in the residue bequeathed to five charities and the local hospital that were never paid. The beneficiaries were eventually compensated through the Law Society's special compensation fund. The accused stated that the shortfall occurred from an investment of Estate funds that ultimately resulted in a loss. The accused submitted that he lacked the requisite mens rea for the predicate offences. He submitted that a reasonable doubt arose as to his intent to steal or defraud. The accused also raised Charter issues that were rejected in a subsequently issued decision.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4" w:name="Holdings of Court_26"/>
            <w:bookmarkEnd w:id="224"/>
            <w:r>
              <w:rPr>
                <w:rFonts w:ascii="arial" w:eastAsia="arial" w:hAnsi="arial" w:cs="arial"/>
                <w:color w:val="000000"/>
                <w:sz w:val="20"/>
                <w:lang w:val="en-US" w:eastAsia="en-US" w:bidi="ar-SA"/>
              </w:rPr>
              <w:t>HELD: Singleton was convicted.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actus reus for fraud and theft was established. The financial evidence established that the accused withdrew monies from the Estate account and directed the funds to his development project. The amount of the misdirected funds corresponded with the shortfall in bequests to beneficiaries. The accused failed to properly account for the funds. He failed to disclose the investment of Estate funds in high risk projects. He failed to protect the investments. He misrepresented the status of the Estate and delayed distributions to pay his excessive legal fees. His failure to disclose the transfers of Estate funds and the substantial losses, and the conflict of interest associated with his role as executor and trustee and the development project, was objectively dishonest. The accused's incompetence as a lawyer was not a licence for dishonesty. His evidence regarding his intentions for the development project and why he failed to disclose it to the Estate beneficiaries was rejected. The only reasonable conclusion from the accused's cumulative conduct was that he possessed a specific intent to deprive the beneficiaries of their property and to deal with the funds in a manner in which they could not be restored. His course of conduct involved many intentional steps that could not have been taken without a conscious decision to deprive the beneficiaries of their funds. His efforts to conceal his conduct involved deliberate falsehoods. No colour of right arose given the secrecy and deception underlying his actions.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5" w:name="Legislation Cited_28"/>
      <w:bookmarkEnd w:id="22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3" style="position:absolute;z-index:2517442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Canada Evidence Act, </w:t>
      </w:r>
      <w:hyperlink r:id="rId684" w:history="1">
        <w:r>
          <w:rPr>
            <w:rFonts w:ascii="arial" w:eastAsia="arial" w:hAnsi="arial" w:cs="arial"/>
            <w:i/>
            <w:color w:val="0077CC"/>
            <w:sz w:val="20"/>
            <w:u w:val="single"/>
            <w:shd w:val="clear" w:color="auto" w:fill="FFFFFF"/>
            <w:lang w:val="en-US" w:eastAsia="en-US" w:bidi="ar-SA"/>
          </w:rPr>
          <w:t>R.S.C. 1985, c. C-5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Canadian Charter of Rights and Freedoms, 1982, R.S.C. 1985, App. II, No. 44, Schedule B, s. 7, s. 11(b), s. 11(d), s. 13, s. 24(1)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Criminal Code of Canada, </w:t>
      </w:r>
      <w:hyperlink r:id="rId685" w:history="1">
        <w:r>
          <w:rPr>
            <w:rFonts w:ascii="arial" w:eastAsia="arial" w:hAnsi="arial" w:cs="arial"/>
            <w:i/>
            <w:color w:val="0077CC"/>
            <w:sz w:val="20"/>
            <w:u w:val="single"/>
            <w:shd w:val="clear" w:color="auto" w:fill="FFFFFF"/>
            <w:lang w:val="en-US" w:eastAsia="en-US" w:bidi="ar-SA"/>
          </w:rPr>
          <w:t>R.S.C. 1985, c. C-46, s. 322</w:t>
        </w:r>
      </w:hyperlink>
      <w:r>
        <w:rPr>
          <w:rFonts w:ascii="arial" w:eastAsia="arial" w:hAnsi="arial" w:cs="arial"/>
          <w:color w:val="000000"/>
          <w:sz w:val="20"/>
          <w:lang w:val="en-US" w:eastAsia="en-US" w:bidi="ar-SA"/>
        </w:rPr>
        <w:t>, s. 322(1), s. 330, s. 332, s. 334, s. 334(1), s. 380(1), s. 380(1) (a), s. 587(1), s. 655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Income Tax Act, R.S.C. 1952, c. 148, s. 238(1)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Trustee Act, R.S.B.C. 1979, Ch. 414, s. 101(1), s. 101(2)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6" w:name="Counsel_33"/>
      <w:bookmarkEnd w:id="22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4" style="position:absolute;z-index:251795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Crown: Trevor Shaw and Elizabeth Campbell.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Accused: Kenyon McGee and Jo-Anna Cowen.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7" w:name="Judgment_33"/>
      <w:bookmarkEnd w:id="227"/>
      <w:r>
        <w:pict>
          <v:line id="_x0000_s1195" style="position:absolute;z-index:25184665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Corrections were released by the Court December 10 and 16, 2010 and February 3, 2011; the changes have been made to the text and the corrections are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 Part 1- Offences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of Theft and Fraud</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7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8" w:name="E.A. ARNOLD-BAILEY J."/>
            <w:bookmarkEnd w:id="228"/>
            <w:r>
              <w:rPr>
                <w:rFonts w:ascii="arial" w:eastAsia="arial" w:hAnsi="arial" w:cs="arial"/>
                <w:b/>
                <w:color w:val="000000"/>
                <w:sz w:val="30"/>
                <w:lang w:val="en-US" w:eastAsia="en-US" w:bidi="ar-SA"/>
              </w:rPr>
              <w:t>E.A. ARNOLD-BAILEY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accused, Marvin Kenneth Singleton, is a 77 year old former lawyer charged with one count of theft and one count of fraud relating to his conduct as the executor and trustee of the estate of John Alexander George ("the George Estate") between March 30, 1988 and December 31, 1990. The Crown alleges that during that time, as the executor and then trustee of the George Estate, Mr. Singleton stole and/or defrauded the George Estate of just under $500,000 by converting those funds to his own use. The Crown also alleges that Mr. Singleton fraudulently misrepresented the status of the George Estate to others to conceal his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total value of the George Estate was $1,061,648, from which certain specific bequests and payments were paid by Mr. Singleton in accordance with Mr. George's will ("the Will"). The "shortfall" or missing funds, approximately $494,633, represented bequests to three charities (totalling $125,000) and 14 shares in the residue bequeathed by Mr. George to five charities and the local hospital (to share the balance after fees and taxes) that were never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Crown submits that this is a clear case of theft and fraud committed by a lawyer who flagrantly violated his legal responsibilities as executor and trustee of the estate of a client by taking the funds entrusted to him and using them for his own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defence submits that to the extent Mr. Singleton invested George Estate funds in improper investments that ultimately resulted in their loss (and the eventual repayment to beneficiaries through the Special Compensation Fund of the Law Society of British Columbia) he did so without the requisite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for the offences charged. Mr. Singleton's defence submits that the Court must have a reasonable doubt as to his intent to steal or defraud arising from his incompetence as a lawyer, and as executor and trustee of the George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BRIEF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As will become evident, Mr. Singleton is a highly educated and intelligent individual who is somewhat eccentric. He received an undergraduate degree from Yale, a Masters degree and a doctorate in literature from Duke University in North Carolina. His academic interests are diverse but he specialized for a time in American literature. Mr. Singleton interrupted his academic career in languages, literature, and history to study law at Boalt Hall at the University of California at Berkeley. In 1967 he received a J.D. degree, an equivalent to a Bachelor of Laws. He then travelled to Norway with his family and was the senior Fulbright professor at the University of Oslo for a year. He came to Canada in 1968 where he taught at the University of Manitoba as an associate professor for three years. Thereafter he moved to Nelson, B.C. to become the head of the English department at the now defunct Notre Dame University. When Notre Dame University closed he articled with a small firm in Nelson. He was called to the bar in British Columbia on September 11, 1978, at about 45 years of age. He took over the law practice of his former principal and embarked upon a varied practice that seems to have had as its main focus family law and civil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As a member of the Law Society of British Columbia ("the Law Society") Mr. Singleton came to the attention of staff and the governing body of the Law Society by the mid-1980s, because of various concerns and a significant number of complaints about his practice. Several reviews were undertaken and on October 23, 1990, the day before a three member panel was being sent to evaluate his competence, he voluntarily withdrew from the practice of law. No review of his practice took place at that time. Several staff and former staff of the Law Society have testified in these proceedings, called by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As it relates to the substantive charges, the Court heard or received evidence in relation to events between November 1987 and early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November 1987 Mr. Singleton drafted Mr. George's will. He then attended to the execution of Mr. George's initial will on November 6, 1987. This was followed by three codicils. Mr. George died on March 30, 1988. Mr. Singleton obtained probate in relation to the George Estate on May 27, 1988.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Singleton, as executor of the George Estate, collected its assets, which were considerable, and opened an account for the George Estate at a branch of the Royal Bank of Canada in Nelson ("the Estate Account"). He paid the modest debts of the deceased. Liquidated assets of the George Estate went into the Estate Account, with deposits between May and November 1988, and one on November 22, 1990. The sum of $623,428 represents the total George Estate assets collected and paid into the Estate Account by Mr. Singleton.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June 1988 Mr. Singleton paid five $50,000 bequests from the Estate Account to each of Mr. George's sisters and $13,040 to the Receiver General, for a total of $263,040.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Singleton also had a trust account associated with his law practice at a branch of the Canadian Imperial Bank of Commerce in Nelson ("the Trust Account"). In July and September 1989 Mr. Singleton cashed in Canada Savings Bonds belonging to the George Estate and received $303,974, which he deposited in the Trust Account. He then used those funds to pay specific bequests totalling $300,000 (to two charities and the local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amounts just referred to, totalling $563,040, with the payment of several thousand dollars of modest debts left by Mr. George, represent the only clearly legitimately disbursed funds from the George Estate (from a total estate of $1,061,648) paid out by Mr. Singleton, leaving some $494,633 unaccounted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Other George Estate funds were expended on large bills from Mr. Singleton for legal services rendered and some disbursements, totalling $115,321.91, as tallied and considered by the legal expert on wills and estates called by the Crown, Mr. James Carphin, Q.C. In the course of his own testimony, Mr. Singleton indicated that approximately $70,000 in additional fees and disbursements had been billed by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April 1988, just after Mr. George's death, Mr. Singleton initially retained Mr. Dietrich, an accountant, to advise him and assist with accounting and tax filings regarding the George Estate. Just over a year later, immediately prior to an important tax filing coming due, Mr. Singleton communicated to Mr. Dietrich that his services were no longer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Acting as the trustee of the George Estate, Mr. Singleton directed funds from the George Estate to a private company he set up of which he was the sole shareholder, officer, and director. This company, 433 Winchester Management Corporation ("433 Winchester"), incorporated on June 30, 1988, was the vehicle Mr. Singleton used to further an investment plan he devised and considered promising - the development of a mountain living community on a piece of forested mountain land not far from Nelson. This land was District Lot 11734 ("the District Lot"). It was purchased by 433 Winchester on September 12, 1988. Mr. Singleton envisioned lots being sold for homes high in the mountains, perhaps to those who enjoyed winter sports. Mr. Singleton did not seek any advice on the propriety of this investment plan. Those who worked with him understood 433 Winchester to be his company. Nor did he disclose his plan and his activities to further it to the beneficiaries of the George Estate, whose funds he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Singleton set up a bank account for 433 Winchester at a branch of the Bank of Montreal in Nelson ("the Winchester Account"). He moved a sum totalling $180,000 from the Estate Account into the Trust Account in five transactions between September 12, 1988 and January 27, 1989. In May 1989 Mr. Singleton moved funds from the Estate Account in the amount of $44,000 into the Winchester Account via the Trust Account. In eight transactions in 1990 Mr. Singleton transferred $193,562.21 of George Estate funds from the Estate Account into the Winchester Account, destined for the District Lot. A significant portion of these funds represented the last significant infusion of funds received by the George Estate in June 1990 from the GICs from the Bank of Montreal in Edmonton.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433 Winchester expended George Estate funds on building supplies, equipment, horses, and services related to the District Lot venture. Logging was done on the District Lot to clear a portion and to sell the logs to generate income. Mr. Singleton also hoped for other logging contracts using the equipment he purchased, which included logging by horses. He planned to cultivate wild rice in ponds created on the District Lot. At all material times it was solely Mr. Singleton who directed the movement of George Estate funds between the bank accounts in the three different banks in Nelson, and into the Winchester Account, which were then used to further the development of the District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 road was built on the District Lot, some land cleared, a house was significantly upgraded, and additional equipment was purchased. Mr. Singleton worked on the District Lot himself, helping to clear it, and planting clover and wild rice. He hired others, including Mr. Jay Mooney, who managed aspects of the venture for him, and who testified at trial for the Crown. Despite the regular infusion of these funds by Mr. Singleton between September 1988 and January 1989, 433 Winchester never showed an accumulated profit, and as of February, 1989 had an accumulated loss of $180,477.58 (Schedule B, analysis of Exhibit 199).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Singleton also used funds from the estate of another client, Haroldine Copp, through a second private company he incorporated, Silvertip 1000 Enterprises Ltd. ("Silvertip"), of which he became the sole officer and director, to purchase some heavy equipment to support the venture on the District Lot. Ms. Copp was an elderly friend, neighbour, and client of Mr. Singleton. He was involved in managing her affairs prior to her death on February 6, 1991, and had dealings with her estate. For a long time the estates of George and Copp, both of which had Mr. Singleton as the sole executor and trustee or acting with a power of attorney respectively, were investigated and proceeded with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the mountain living community venture on the District Lot foundered in the latter part of 1990, Mr. Singleton lost interest in its development and matters related to the George Estate. He stalled those who inquired as to the status of the remaining bequests and residue of the George Estate, promising a distribution and a proper accounting that never occurred. Whatever assets remained dissipated. Mr. Singleton focused his attention on writing and other personal endeavours, having withdrawn from the practise of law on October 23, 1990. As of December 1, 1993, the District Lot became subject to forfeiture absolute for non-payment of property taxes.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When the anticipated bequests and residuary payments were not paid concerns arose among the beneficiaries of the Estate. Several civil law suits were commenced against Mr. Singleton, including one regarding the Copp Estate, and one by the court-appointed administrator of the George Estate (after Mr. Singleton was removed as executor and trustee). Ultimately, the Law Society Special Compensation Fund ("the Special Fund") paid out the beneficiaries of both the George and Copp Estates in late 1994 and early 1995, by which time Mr. Singleton had left Canada to reside in the United 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Mr. Singleton asserts that the present proceedings violate his rights pursuant to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In particular, Mr. Singleton submits that his s. 11(b) right to be tried within a reasonable time has been flagrantly violated given that almost 20 years have passed since the end date of the time frame contained in the Indictment, and almost 11 years have passed from the date the present charges were laid to the date of the commencement of the trial. Mr. Singleton submits that seven years passed from the end date in the Indictment and the laying of the present charges, during which time the Crown and/or the police took minimal or no action to further the investigation and prosecution. Mr. Singleton submits that after the charges were laid Canadian law enforcement agencies, primarily the RCMP, "dragged their heels," doing virtually nothing to facilitate his return to Canada from Kansas for long periods of time prior to 2004, when extradition proceedings were commenced. During his time in Kansas, particularly while he was employed part-time at Butler College outside Wichita, Mr. Singleton maintains that he was eminently findable, and thus is not responsible for any significant post-charge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Singleton also submits that his s. 7 right to liberty and security of the person (and the right not be deprived thereof except in accordance with the principles of fundamental justice) and his s. 11(d) right to a fair trial have been seriously violated. In the 22 years that have passed since the commencement date of the time frame in the Indictment in which he is alleged to have committed the offences, his mental condition has significantly deteriorated, evidence relevant to his defence has been lost, and he has been subject to certain events that constitute abuses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the context of the alleged violations of Mr. Singleton's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the Court heard much about his life from 1993 to 2006, about disclosure issues related to this trial, and his deteriorating mental condition from 2006 onwards.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Singleton, who holds both Canadian and American citizenships, continued to reside in Nelson, British Columbia, until the autumn of 1993, when he moved to the United States, initially to assist an elderly parent in Texas.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the United States Mr. Singleton apparently lived openly and worked under his own name in various places, and had driver's licenses in his name in Texas, South Dakota, and Kansas. By 1995 he had settled in Wichita, Kansas, doing welding and other jobs, and by 1997 he was working part-time teaching and in the college library at Butler College.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It is admitted that by September 1998, Mr. Singleton knew of the criminal charges outstanding against him in Nelson, B.C. Although Mr. Singleton contacted two lawyers in British Columbia at different times about returning to this jurisdiction to face the charges and legal representation he did not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outstanding charges included the counts of theft and fraud in relation to the George Estate presently before the Court, and counts of theft and fraud in relation to the Copp Estate, which were subsequently stayed in 2009, long after his return to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Canadian law enforcement agencies eventually sought and obtained the extradition of Mr. Singleton from Kansas, with his initial arrest occurring on August 30, 2004. Upon finding himself in custody in Kansas, Mr. Singleton planned to seek bail pending the extradition proceedings but then withdrew his application after an affidavit from British Columbia ("the Burns affidavit") was placed before the U.S. District Court for the District of Kansas. Filed subsequent to several other affidavits, the Burns affidavit referred to the outstanding charges and their alleged attendant circumstances, and appended newspaper articles, aspects of which Mr. Singleton considered highly defamatory, inaccurate, and prejudicial. Mr. Singleton now claims the use of the Burns affidavit and its contents were highly improper and represent a grave abuse of the B.C. justice system that tainted his application for bail pending the extradition proceedings to the extent he was compelled to withdraw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Singleton remained in custody in Kansas from the date of his arrest on August 30, 2004, until his return to Canada on September 2,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Protracted proceedings occurred before the U.S. courts in relation to the Canadian request for his extradition. For the majority of these hearings Mr. Singleton was self-represented, having discharged his legal counsel shortly after he instructed that his application for bail pending the extradition hearing be withdrawn.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February 28, 2005 Judge Bostwick of the U.S. District Court of the District of Kansas issued a certificate of extraditability and order of commitment, which Mr. Singleton then appealed. Mr. Singleton remained in prison in Kansas until he abandoned his appeal of the extradition order and became subject to extradition to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surrender order for Mr. Singleton's return to Canada was issued on August 30, 2006, and on September 2, 2006 he was transferred by the RCMP from Kansas to Kelowna, B.C., where he initially remained in custody. He then sought and obtained judicial interim release and has been out of custody since, residing in Nelson, B.C. while this matter proceeded before the Provincial Court to preliminary inquiry, and then to trial in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Singleton was initially represented by Mr. Wyllie, but then represented himself in a number of pre-trial applications seeking disclosure from various sources. Mr. Singleton then came to be represented by his present counsel, Mr. Kenyon McGee, assisted by Ms. Cowan.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light of what defence counsel characterizes as the combination of the extraordinarily excessive delay in this case that has caused all the witnesses' memories to fade, a potential witness to be lost, various relevant documents to be destroyed, the onset of Mr. Singleton's own mental deterioration due to an Alzheimer's-type of dementia, and a number of other alleged abuses, Mr. McGee submits that the only just outcome at trial is the imposition of a judicial stay pursuant to s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It is the Crown's position that the delay in bringing this matter to trial was caused or significantly contributed to by Mr. Singleton himself, that he has not been significantly prejudiced by the passage of time, that the alleged abuses are without foundation, and that Mr. Singleton is still very mentally alert and able for a man 77 years old, and is thus able to have a fair trial in answer to the charges. Given the nature of the Crown's case, which includes a significant number of documents, the Crown submits that the relevant evidence has been preserved, and where Mr. Singleton complains of lost evidence, any such evidence is at best peripherally relevant, and much, if not all of it, was either in his possession or within his control to preserve, and he failed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issues to be decided in this case are:</w:t>
      </w:r>
      <w:r>
        <w:rPr>
          <w:rFonts w:ascii="arial" w:eastAsia="arial" w:hAnsi="arial" w:cs="arial"/>
          <w:sz w:val="20"/>
          <w:lang w:val="en-US" w:eastAsia="en-US" w:bidi="ar-SA"/>
        </w:rPr>
        <w:cr/>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the Crown has proven all the essential elements of theft and/or fraud against Mr. Singleton, in relation to his activities regarding the missing funds of the George Estate, beyond a reasonable doubt, most particularly the requisite intent or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and</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Mr. Singleton has established a violation of one or more of his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justifying the imposition of a judicial stay of proceedings pursuant to s. 24(1) of the </w:t>
      </w:r>
      <w:r>
        <w:rPr>
          <w:rFonts w:ascii="arial" w:eastAsia="arial" w:hAnsi="arial" w:cs="arial"/>
          <w:i/>
          <w:color w:val="000000"/>
          <w:sz w:val="20"/>
          <w:lang w:val="en-US" w:eastAsia="en-US" w:bidi="ar-SA"/>
        </w:rPr>
        <w:t>Charter.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These reasons deal with the first issue. The second issue is dealt with in a separate set of reasons, "Reasons for Judgment - Part 2 -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Applications," to be filed subsequently.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PRE-TRIAL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Prior to trial the defence brought an application for formal particulars pursuant to s. 587(1)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in relation to the charges of fraud and theft arising from the Copp Estate only, which I ordered the Crown to provide in Oral Reasons dated February 25, 2009. The charges of theft and fraud pertaining to the Copp Estate were subsequently stayed after the Crown preferred a new Indictment on August 17, 2009, which only contains the charges pertaining to the George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Prior to the trial the Court heard defence applications for third party disclosure. These parties included the Law Society, the Salvation Army, Mr. Donald Skogstad (a Nelson lawyer who represented the Copp Estate in the civil action against Mr. Singleton), Mr. Jay Mooney (who was employed as a "supervisor" of the District Lot); and health and assessment records in relation to Ms. Copp from the Interior Health Authority and from Dr. Fran Patterson. In some instances, third parties made the sought-after disclosure without objection. Others had nothing to disclose. The Court was called upon to decide several disclosure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Oral Reasons dated July 17, 2009 I ruled that certain disclosure provided by the Law Society to the defence, in relation to Mr. Singleton's regulatory history as a lawyer, was not required to also be disclosed to the Crown, and that community health and hospital records pertaining to the deceased Ms. Copp, which were provided to the defence by local health authorities, were to be disclosed to the Crown. I had previously reviewed the latter materials delivered to the defence and redacted or extracted portions of no relevance in the interests of Ms. Copp's privacy, albeit she is deceased.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trial in this matter was long and complex. This was due to the nature of the charges, the large volume of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and documents placed before the Court by both the Crown and the defence, and the time period since the offences were alleged to have been committed. The Court also heard a large body of evidence in relation to the alleged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violations including the history of the police investigation into the present charges, the efforts to locate Mr. Singleton in the U.S. by Canadian police after he left Nelson, the activities of Mr. Singleton in the U.S. between the fall of 1993 and 2006, the purported legal improprieties and abuses of the extradition proceedings that ultimately returned Mr. Singleton to Canada, and a history of what occurred once Mr. Singleton was back in Nelson and before the courts in relation to these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Despite the well-recognized wisdom of hearing evidence regarding alleged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violations separately from evidence pertaining to the offences alleged given the different onus and burden of proof (see: </w:t>
      </w:r>
      <w:r>
        <w:rPr>
          <w:rFonts w:ascii="arial" w:eastAsia="arial" w:hAnsi="arial" w:cs="arial"/>
          <w:i/>
          <w:color w:val="000000"/>
          <w:sz w:val="20"/>
          <w:lang w:val="en-US" w:eastAsia="en-US" w:bidi="ar-SA"/>
        </w:rPr>
        <w:t>R. v. Nguyen</w:t>
      </w:r>
      <w:r>
        <w:rPr>
          <w:rFonts w:ascii="arial" w:eastAsia="arial" w:hAnsi="arial" w:cs="arial"/>
          <w:color w:val="000000"/>
          <w:sz w:val="20"/>
          <w:lang w:val="en-US" w:eastAsia="en-US" w:bidi="ar-SA"/>
        </w:rPr>
        <w:t xml:space="preserve">, </w:t>
      </w:r>
      <w:hyperlink r:id="rId686" w:history="1">
        <w:r>
          <w:rPr>
            <w:rFonts w:ascii="arial" w:eastAsia="arial" w:hAnsi="arial" w:cs="arial"/>
            <w:i/>
            <w:color w:val="0077CC"/>
            <w:sz w:val="20"/>
            <w:u w:val="single"/>
            <w:shd w:val="clear" w:color="auto" w:fill="FFFFFF"/>
            <w:lang w:val="en-US" w:eastAsia="en-US" w:bidi="ar-SA"/>
          </w:rPr>
          <w:t>2006 BCCA 397</w:t>
        </w:r>
      </w:hyperlink>
      <w:r>
        <w:rPr>
          <w:rFonts w:ascii="arial" w:eastAsia="arial" w:hAnsi="arial" w:cs="arial"/>
          <w:color w:val="000000"/>
          <w:sz w:val="20"/>
          <w:lang w:val="en-US" w:eastAsia="en-US" w:bidi="ar-SA"/>
        </w:rPr>
        <w:t xml:space="preserve">, at para. 12 regarding </w:t>
      </w:r>
      <w:r>
        <w:rPr>
          <w:rFonts w:ascii="arial" w:eastAsia="arial" w:hAnsi="arial" w:cs="arial"/>
          <w:i/>
          <w:color w:val="000000"/>
          <w:sz w:val="20"/>
          <w:lang w:val="en-US" w:eastAsia="en-US" w:bidi="ar-SA"/>
        </w:rPr>
        <w:t>voir dires</w:t>
      </w:r>
      <w:r>
        <w:rPr>
          <w:rFonts w:ascii="arial" w:eastAsia="arial" w:hAnsi="arial" w:cs="arial"/>
          <w:color w:val="000000"/>
          <w:sz w:val="20"/>
          <w:lang w:val="en-US" w:eastAsia="en-US" w:bidi="ar-SA"/>
        </w:rPr>
        <w:t xml:space="preserve"> on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issues and proof of voluntariness) it was agreed between counsel and the Court that all the evidence in this trial would be heard together to avoid the need to keep witnesses in Nelson for overly long periods or require them to make repeated flights in and out in the winter weather.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Given the scope of the evidence it was necessary to hear the substantive case in relation to the alleged offences of theft and fraud to have a full factual foundation and a proper context in which to evaluate the alleged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violations. This is the preferred approach. (see: </w:t>
      </w:r>
      <w:r>
        <w:rPr>
          <w:rFonts w:ascii="arial" w:eastAsia="arial" w:hAnsi="arial" w:cs="arial"/>
          <w:i/>
          <w:color w:val="000000"/>
          <w:sz w:val="20"/>
          <w:lang w:val="en-US" w:eastAsia="en-US" w:bidi="ar-SA"/>
        </w:rPr>
        <w:t>R. v. La,</w:t>
      </w:r>
      <w:r>
        <w:rPr>
          <w:rFonts w:ascii="arial" w:eastAsia="arial" w:hAnsi="arial" w:cs="arial"/>
          <w:color w:val="000000"/>
          <w:sz w:val="20"/>
          <w:lang w:val="en-US" w:eastAsia="en-US" w:bidi="ar-SA"/>
        </w:rPr>
        <w:t xml:space="preserve"> </w:t>
      </w:r>
      <w:hyperlink r:id="rId687" w:history="1">
        <w:r>
          <w:rPr>
            <w:rFonts w:ascii="arial" w:eastAsia="arial" w:hAnsi="arial" w:cs="arial"/>
            <w:i/>
            <w:color w:val="0077CC"/>
            <w:sz w:val="20"/>
            <w:u w:val="single"/>
            <w:shd w:val="clear" w:color="auto" w:fill="FFFFFF"/>
            <w:lang w:val="en-US" w:eastAsia="en-US" w:bidi="ar-SA"/>
          </w:rPr>
          <w:t>[1997] 2 S.C.R. 680</w:t>
        </w:r>
      </w:hyperlink>
      <w:r>
        <w:rPr>
          <w:rFonts w:ascii="arial" w:eastAsia="arial" w:hAnsi="arial" w:cs="arial"/>
          <w:color w:val="000000"/>
          <w:sz w:val="20"/>
          <w:lang w:val="en-US" w:eastAsia="en-US" w:bidi="ar-SA"/>
        </w:rPr>
        <w:t xml:space="preserve"> (S.C.C.), at para. 17; </w:t>
      </w:r>
      <w:r>
        <w:rPr>
          <w:rFonts w:ascii="arial" w:eastAsia="arial" w:hAnsi="arial" w:cs="arial"/>
          <w:i/>
          <w:color w:val="000000"/>
          <w:sz w:val="20"/>
          <w:lang w:val="en-US" w:eastAsia="en-US" w:bidi="ar-SA"/>
        </w:rPr>
        <w:t>R. v. Francois</w:t>
      </w:r>
      <w:r>
        <w:rPr>
          <w:rFonts w:ascii="arial" w:eastAsia="arial" w:hAnsi="arial" w:cs="arial"/>
          <w:color w:val="000000"/>
          <w:sz w:val="20"/>
          <w:lang w:val="en-US" w:eastAsia="en-US" w:bidi="ar-SA"/>
        </w:rPr>
        <w:t xml:space="preserve"> </w:t>
      </w:r>
      <w:hyperlink r:id="rId688" w:history="1">
        <w:r>
          <w:rPr>
            <w:rFonts w:ascii="arial" w:eastAsia="arial" w:hAnsi="arial" w:cs="arial"/>
            <w:i/>
            <w:color w:val="0077CC"/>
            <w:sz w:val="20"/>
            <w:u w:val="single"/>
            <w:shd w:val="clear" w:color="auto" w:fill="FFFFFF"/>
            <w:lang w:val="en-US" w:eastAsia="en-US" w:bidi="ar-SA"/>
          </w:rPr>
          <w:t>(1993), 65 O.A.C. 306</w:t>
        </w:r>
      </w:hyperlink>
      <w:r>
        <w:rPr>
          <w:rFonts w:ascii="arial" w:eastAsia="arial" w:hAnsi="arial" w:cs="arial"/>
          <w:color w:val="000000"/>
          <w:sz w:val="20"/>
          <w:lang w:val="en-US" w:eastAsia="en-US" w:bidi="ar-SA"/>
        </w:rPr>
        <w:t xml:space="preserve"> (Ont. C.A.), at paras. 7-10; and </w:t>
      </w:r>
      <w:r>
        <w:rPr>
          <w:rFonts w:ascii="arial" w:eastAsia="arial" w:hAnsi="arial" w:cs="arial"/>
          <w:i/>
          <w:color w:val="000000"/>
          <w:sz w:val="20"/>
          <w:lang w:val="en-US" w:eastAsia="en-US" w:bidi="ar-SA"/>
        </w:rPr>
        <w:t>R. v. Hooites-Meursing</w:t>
      </w:r>
      <w:r>
        <w:rPr>
          <w:rFonts w:ascii="arial" w:eastAsia="arial" w:hAnsi="arial" w:cs="arial"/>
          <w:color w:val="000000"/>
          <w:sz w:val="20"/>
          <w:lang w:val="en-US" w:eastAsia="en-US" w:bidi="ar-SA"/>
        </w:rPr>
        <w:t xml:space="preserve">, </w:t>
      </w:r>
      <w:hyperlink r:id="rId689" w:history="1">
        <w:r>
          <w:rPr>
            <w:rFonts w:ascii="arial" w:eastAsia="arial" w:hAnsi="arial" w:cs="arial"/>
            <w:i/>
            <w:color w:val="0077CC"/>
            <w:sz w:val="20"/>
            <w:u w:val="single"/>
            <w:shd w:val="clear" w:color="auto" w:fill="FFFFFF"/>
            <w:lang w:val="en-US" w:eastAsia="en-US" w:bidi="ar-SA"/>
          </w:rPr>
          <w:t>2008 BCCA 264</w:t>
        </w:r>
      </w:hyperlink>
      <w:r>
        <w:rPr>
          <w:rFonts w:ascii="arial" w:eastAsia="arial" w:hAnsi="arial" w:cs="arial"/>
          <w:color w:val="000000"/>
          <w:sz w:val="20"/>
          <w:lang w:val="en-US" w:eastAsia="en-US" w:bidi="ar-SA"/>
        </w:rPr>
        <w:t>, at paras. 21-22).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Therefore, evidence pertaining to the alleged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violations was received in an over-arching </w:t>
      </w:r>
      <w:r>
        <w:rPr>
          <w:rFonts w:ascii="arial" w:eastAsia="arial" w:hAnsi="arial" w:cs="arial"/>
          <w:i/>
          <w:color w:val="000000"/>
          <w:sz w:val="20"/>
          <w:lang w:val="en-US" w:eastAsia="en-US" w:bidi="ar-SA"/>
        </w:rPr>
        <w:t>Charter voir</w:t>
      </w:r>
      <w:r>
        <w:rPr>
          <w:rFonts w:ascii="arial" w:eastAsia="arial" w:hAnsi="arial" w:cs="arial"/>
          <w:color w:val="000000"/>
          <w:sz w:val="20"/>
          <w:lang w:val="en-US" w:eastAsia="en-US" w:bidi="ar-SA"/>
        </w:rPr>
        <w:t xml:space="preserve"> dire throughout the trial, except in relation to the alleged violations of s. 7 and s. 13 in the context of permitted uses of prior statements made by Mr. Singleton, which were dealt with separately and during the Crown's case. At issue in that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was what use the Crown could make, if any, of various categories of oral and written statements made over the years and in different contexts by Mr. Singleton. In particular, whether these statements could be used to resist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arguments advanced by him regarding delay and prejudice, as positive evidence in the Crown's case relating to his alleged involvement in the offences of theft and fraud before the Court, or for use in cross-examination in the event that Mr. Singleton took the stand in his own defence (which he ultimately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defence claimed that the Crown's proposed uses of these items would violate Mr. Singleton's s. 7, s. 11(d), or s. 13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The defence also asserted that the prejudicial effect of some of these items significantly outweighed their probative value, and to receive them in evidence would render the trial unfair. The defence argued that for the Crown to use against Mr. Singleton the more recent materials generated by him since his return to Canada, including during the period when he was self-represented, was manifestly unfair given his advancing dementia. Pertaining to the issue of Mr. Singleton's mental condition, the Court heard the testimony and received the reports of Dr. Edward Magee, a psychiatrist who does much work in geriatric psychiatry and who has been treating Mr. Singleton since his return to British Columbia. Mr. Singleton did not testify on this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(Dr. Magee's testimony and reports are also admissible by agreement in the trial proper, in addition to being considered in relation to the further alleged violations of Mr. Singleton's s. 7, s. 11(b) and s. 11(d)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Oral Reasons delivered on December 4, 2009, I ruled on the permitted uses by the Crown of the various written and oral statements made by Mr. Singleton. The most significant aspect of this decision was that the Crown was not permitted to use any statements by Mr. Singleton from 2007 and 2008 for incriminating purposes due to his advancing dementia. Otherwise, various statements were permitted for the uses specified. The exclusions reflect oral or written statements by Mr. Singleton ruled or agreed to be inadmissible in the trial proper.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At trial the Court made a number of further rulings by way of Oral Reasons: on the admissibility of expert evidence of Mr. James Carphin Q.C. in the area of wills and estate matters (November 18, 2009); on the admissibility of reported cases in which Mr. Singleton appeared as counsel (December 2, 2009); and the areas of admissible evidence in relation to the testimony of Mr. Paul McCausland, Mr. Singleton's former counsel from Kansas (January 27,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Because of the abuses alleged by Mr. Singleton in the context of the extradition proceedings, the defence called Mr. McCausland, now a senior attorney in the State of Kansas, to provide a report and to testify. Mr. McCausland represented Mr. Singleton in the early phase of the extradition proceedings. The Crown responded by retaining Mr. Jacques Semmelman, a lawyer and a leading American legal expert in the law of extradition from New York City, who also provided a report and testified. Both these individuals testified by video link to Nelson. Their evidence will be set out in the Reasons for Judgment - Part 2-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It was agreed that Mr. Singleton would testify once in relation to all matters, which was considered appropriate given that it was unclear how well he would manage for lengthy periods on the stand, or in segregating his evidence as between matters pertaining to the George Estate and those regarding his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applications. He testified for nine court days, some days being somewhat shortened to accommodate his level of fatigue and ability to concentrate. Mr. Singleton then gave one further full day of testimony at trial when he was recalled by his counsel to provide evidence regarding certain documents Mr. Singleton had found over the winter break (including the three unregistered mortgages drawn up by him to reflect funds from the George Estate invested by him in the District Lot) after which he was subject to further cross-examination by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issue of Mr. Singleton's mental deterioration was fully canvassed by his treating psychiatrist, Dr. Magee, and by Dr. Jeanette Smith, a forensic psychiatrist called by the Crown. Both psychiatrists provided written reports and testified as to the nature and extent of Mr. Singleton's level of mental impairment at the time of trial. Dr. Magee provided evidence based on observations, testing, and treatment of Mr. Singleton since September 11, 2008. Therefore, in assessing Mr. Singleton's mental condition at trial, and in particular his level of mental acuity, memory, and responsiveness to questioning, the Court has had the benefit of Dr. Magee's and Dr. Smith's expertise and evaluations of Mr. Singleton, and at times their somewhat divergent views. The Court has, as well, had an extended opportunity to observe Mr. Singleton as he appeared in court daily throughout the trial and interacted with his counsel and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BURDENS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weighing the evidence and in writing these reasons I am mindful of the differing burdens of proof that are engaged. The burden is on the Crown to prove the offences of theft and fraud beyond a reasonable doubt; the onus is on Mr. Singleton, as an applicant seeking to establish violations of his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to establish those violations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 will first set out the offences charged and refer to their essential elements. Next, I will set out the proven facts pertaining to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for each of the offences of theft and for fraud. I note that there is little disagreement between the Crown and the defence regarding the facts and where it exists I will address it. However, the real thrust of the defence lies in whether Mr. Singleton possessed the requisite intent for theft and/or fraud while engaged in various activities with the funds from the George Estate within the time period alleged in the Indictment.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evidence in this case tells a many-faceted tale over time. Because there are so many details in relation to Mr. Singleton's activities and the responses of others regarding the George Estate and subsequent dealings, and given the nature of the charges and the defence, I have found it necessary to review some evidence in detail, including that of Mr. Singleton given the issue of his intent in relation to the offences of theft and fraud. As well, because the evidence on the substantive offences and the alleged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is intermingled, particularly in the testimony of Mr. Singleton and the police officers, it is necessary for the reader to remember that upon the conclusion of a review of the evidence, I will deal with the substantive offences, and then in Part 2, a separate judgment, briefly refer back to aspects of the evidence as it informs the various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breaches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Therefore, keeping in mind the present focus on proof of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beyond a reasonable doubt, I will review key documents and the relevant testimony of the witnesses called by the Crown and defence. I will review the evidence of Mr. Singleton's mental condition and make findings as to how this evidence bears on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In the final part of these reasons I will set out my findings as to reliability and credibility in relation to his evidence. I will then relate those findings to the requisite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of the offences charged to decide whether the Crown has proven Mr. Singleton's guilt in relation to either or both of the offences charged beyond a reasonable doubt.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the event of a conviction on one or both of the offences alleged I will then move to address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applications advanced on behalf of Mr. Singleton.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OFFENCES 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The Indictment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most recent Indictment, sworn August 14, 2009, charges Mr. Singleton with offences relating to the George Estate only. It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Count 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MARVIN KENNETH SINGLETON, between the 30th day of March, 1988, and the 31st day of December, 1990, at or near the City of Nelson, in the Province of British Columbia, committed theft of monies, the property of the beneficiaries of the Estate of John Alexander George, of a value in excess of one thousand dollars ($1,000.00), contrary to Section 334(a) of the Criminal Code.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Count 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MARVIN KENNETH SINGLETON, between the 30th day of March, 1988, and the 31st day of December, 1990, at or near the City of Nelson, in the Province of British Columbia, did by deceit, falsehood or other fraudulent means defraud the beneficiaries of the Estate of John Alexander George of monies, of a value in excess of one thousand dollars ($1,000.00), contrary to Section 380(1)(a) of the Criminal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The Offence of Theft as 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Mr. Singleton is charged in Count 1 with theft by reference to the penalty provision, s. 334(a)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which read as follows at the time of the alleged offence:</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where otherwise provided by law, every one who commits theft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guilty of an indictable offence and liable to imprisonment for a term not exceeding ten years, where the property stolen is a testamentary instrument or where the value of what is stolen exceeds one thousand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Crown submits that, as it is the penalty provision that is referred to as referencing the offence of theft as charged, it is open to the Court to decide which type of theft applies to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Counsel for Mr. Singleton directed the Court's attention to </w:t>
      </w:r>
      <w:r>
        <w:rPr>
          <w:rFonts w:ascii="arial" w:eastAsia="arial" w:hAnsi="arial" w:cs="arial"/>
          <w:i/>
          <w:color w:val="000000"/>
          <w:sz w:val="20"/>
          <w:lang w:val="en-US" w:eastAsia="en-US" w:bidi="ar-SA"/>
        </w:rPr>
        <w:t>R. v. Tepoorten</w:t>
      </w:r>
      <w:r>
        <w:rPr>
          <w:rFonts w:ascii="arial" w:eastAsia="arial" w:hAnsi="arial" w:cs="arial"/>
          <w:color w:val="000000"/>
          <w:sz w:val="20"/>
          <w:lang w:val="en-US" w:eastAsia="en-US" w:bidi="ar-SA"/>
        </w:rPr>
        <w:t xml:space="preserve"> </w:t>
      </w:r>
      <w:hyperlink r:id="rId690" w:history="1">
        <w:r>
          <w:rPr>
            <w:rFonts w:ascii="arial" w:eastAsia="arial" w:hAnsi="arial" w:cs="arial"/>
            <w:i/>
            <w:color w:val="0077CC"/>
            <w:sz w:val="20"/>
            <w:u w:val="single"/>
            <w:shd w:val="clear" w:color="auto" w:fill="FFFFFF"/>
            <w:lang w:val="en-US" w:eastAsia="en-US" w:bidi="ar-SA"/>
          </w:rPr>
          <w:t>(1961), 37 C.R. 299</w:t>
        </w:r>
      </w:hyperlink>
      <w:r>
        <w:rPr>
          <w:rFonts w:ascii="arial" w:eastAsia="arial" w:hAnsi="arial" w:cs="arial"/>
          <w:color w:val="000000"/>
          <w:sz w:val="20"/>
          <w:lang w:val="en-US" w:eastAsia="en-US" w:bidi="ar-SA"/>
        </w:rPr>
        <w:t xml:space="preserve"> (B.C.C.A.), to support an assertion that because the Crown did not particularize the direction in relation to the charge of theft, they cannot proceed on that basis. In </w:t>
      </w:r>
      <w:r>
        <w:rPr>
          <w:rFonts w:ascii="arial" w:eastAsia="arial" w:hAnsi="arial" w:cs="arial"/>
          <w:i/>
          <w:color w:val="000000"/>
          <w:sz w:val="20"/>
          <w:lang w:val="en-US" w:eastAsia="en-US" w:bidi="ar-SA"/>
        </w:rPr>
        <w:t>Tepoorten</w:t>
      </w:r>
      <w:r>
        <w:rPr>
          <w:rFonts w:ascii="arial" w:eastAsia="arial" w:hAnsi="arial" w:cs="arial"/>
          <w:color w:val="000000"/>
          <w:sz w:val="20"/>
          <w:lang w:val="en-US" w:eastAsia="en-US" w:bidi="ar-SA"/>
        </w:rPr>
        <w:t>, Davey J.A.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this appeal, the gist of an offence under s. 278 is the receipt of money with a direction that it be applied to a purpose or paid to a person specified in the direction, and the fraudulent application to another purpose or payment of the money to another person contrary to the direction. Such a direction is a substantial ingredient of the offence; an allegation of the direction and the purpose to which or the person to whom the direction specified the money should be applied or paid is a necessary averment in the charge; proof of the averment is necessary to constitute the offence.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This argument is not supported by the jurisprudence. In </w:t>
      </w:r>
      <w:r>
        <w:rPr>
          <w:rFonts w:ascii="arial" w:eastAsia="arial" w:hAnsi="arial" w:cs="arial"/>
          <w:i/>
          <w:color w:val="000000"/>
          <w:sz w:val="20"/>
          <w:lang w:val="en-US" w:eastAsia="en-US" w:bidi="ar-SA"/>
        </w:rPr>
        <w:t>R. v. Lowden</w:t>
      </w:r>
      <w:r>
        <w:rPr>
          <w:rFonts w:ascii="arial" w:eastAsia="arial" w:hAnsi="arial" w:cs="arial"/>
          <w:color w:val="000000"/>
          <w:sz w:val="20"/>
          <w:lang w:val="en-US" w:eastAsia="en-US" w:bidi="ar-SA"/>
        </w:rPr>
        <w:t xml:space="preserve"> </w:t>
      </w:r>
      <w:hyperlink r:id="rId691" w:history="1">
        <w:r>
          <w:rPr>
            <w:rFonts w:ascii="arial" w:eastAsia="arial" w:hAnsi="arial" w:cs="arial"/>
            <w:i/>
            <w:color w:val="0077CC"/>
            <w:sz w:val="20"/>
            <w:u w:val="single"/>
            <w:shd w:val="clear" w:color="auto" w:fill="FFFFFF"/>
            <w:lang w:val="en-US" w:eastAsia="en-US" w:bidi="ar-SA"/>
          </w:rPr>
          <w:t>(1981), 59 C.C.C. (2d) 1</w:t>
        </w:r>
      </w:hyperlink>
      <w:r>
        <w:rPr>
          <w:rFonts w:ascii="arial" w:eastAsia="arial" w:hAnsi="arial" w:cs="arial"/>
          <w:color w:val="000000"/>
          <w:sz w:val="20"/>
          <w:lang w:val="en-US" w:eastAsia="en-US" w:bidi="ar-SA"/>
        </w:rPr>
        <w:t xml:space="preserve"> (Alta. C.A.), aff'd </w:t>
      </w:r>
      <w:hyperlink r:id="rId692" w:history="1">
        <w:r>
          <w:rPr>
            <w:rFonts w:ascii="arial" w:eastAsia="arial" w:hAnsi="arial" w:cs="arial"/>
            <w:i/>
            <w:color w:val="0077CC"/>
            <w:sz w:val="20"/>
            <w:u w:val="single"/>
            <w:shd w:val="clear" w:color="auto" w:fill="FFFFFF"/>
            <w:lang w:val="en-US" w:eastAsia="en-US" w:bidi="ar-SA"/>
          </w:rPr>
          <w:t>[1982] 2 S.C.R. 60</w:t>
        </w:r>
      </w:hyperlink>
      <w:r>
        <w:rPr>
          <w:rFonts w:ascii="arial" w:eastAsia="arial" w:hAnsi="arial" w:cs="arial"/>
          <w:color w:val="000000"/>
          <w:sz w:val="20"/>
          <w:lang w:val="en-US" w:eastAsia="en-US" w:bidi="ar-SA"/>
        </w:rPr>
        <w:t xml:space="preserve">, the court considered a case of theft under direction by a travel agent who failed to apply funds received for travel tours. The Indictment referred only to the unlawful stealing of money under s. 294(a) and did not specify which substantive definitional section or sections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founded the allegation of "unlawful stealing." McGillivray C.J.A., for the majority, identified what meaning could be attributed to </w:t>
      </w:r>
      <w:r>
        <w:rPr>
          <w:rFonts w:ascii="arial" w:eastAsia="arial" w:hAnsi="arial" w:cs="arial"/>
          <w:i/>
          <w:color w:val="000000"/>
          <w:sz w:val="20"/>
          <w:lang w:val="en-US" w:eastAsia="en-US" w:bidi="ar-SA"/>
        </w:rPr>
        <w:t>Tepoorten</w:t>
      </w:r>
      <w:r>
        <w:rPr>
          <w:rFonts w:ascii="arial" w:eastAsia="arial" w:hAnsi="arial" w:cs="arial"/>
          <w:color w:val="000000"/>
          <w:sz w:val="20"/>
          <w:lang w:val="en-US" w:eastAsia="en-US" w:bidi="ar-SA"/>
        </w:rPr>
        <w:t>, and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decision of the British Columbia Court of Appeal in </w:t>
      </w:r>
      <w:r>
        <w:rPr>
          <w:rFonts w:ascii="arial" w:eastAsia="arial" w:hAnsi="arial" w:cs="arial"/>
          <w:i/>
          <w:color w:val="000000"/>
          <w:sz w:val="20"/>
          <w:lang w:val="en-US" w:eastAsia="en-US" w:bidi="ar-SA"/>
        </w:rPr>
        <w:t>R. v. Tepoorten</w:t>
      </w:r>
      <w:r>
        <w:rPr>
          <w:rFonts w:ascii="arial" w:eastAsia="arial" w:hAnsi="arial" w:cs="arial"/>
          <w:color w:val="000000"/>
          <w:sz w:val="20"/>
          <w:lang w:val="en-US" w:eastAsia="en-US" w:bidi="ar-SA"/>
        </w:rPr>
        <w:t xml:space="preserve"> </w:t>
      </w:r>
      <w:hyperlink r:id="rId690" w:history="1">
        <w:r>
          <w:rPr>
            <w:rFonts w:ascii="arial" w:eastAsia="arial" w:hAnsi="arial" w:cs="arial"/>
            <w:i/>
            <w:color w:val="0077CC"/>
            <w:sz w:val="20"/>
            <w:u w:val="single"/>
            <w:shd w:val="clear" w:color="auto" w:fill="FFFFFF"/>
            <w:lang w:val="en-US" w:eastAsia="en-US" w:bidi="ar-SA"/>
          </w:rPr>
          <w:t>(1961), 37 C.R. 299</w:t>
        </w:r>
      </w:hyperlink>
      <w:r>
        <w:rPr>
          <w:rFonts w:ascii="arial" w:eastAsia="arial" w:hAnsi="arial" w:cs="arial"/>
          <w:color w:val="000000"/>
          <w:sz w:val="20"/>
          <w:lang w:val="en-US" w:eastAsia="en-US" w:bidi="ar-SA"/>
        </w:rPr>
        <w:t xml:space="preserve">, </w:t>
      </w:r>
      <w:hyperlink r:id="rId690" w:history="1">
        <w:r>
          <w:rPr>
            <w:rFonts w:ascii="arial" w:eastAsia="arial" w:hAnsi="arial" w:cs="arial"/>
            <w:i/>
            <w:color w:val="0077CC"/>
            <w:sz w:val="20"/>
            <w:u w:val="single"/>
            <w:shd w:val="clear" w:color="auto" w:fill="FFFFFF"/>
            <w:lang w:val="en-US" w:eastAsia="en-US" w:bidi="ar-SA"/>
          </w:rPr>
          <w:t>131 C.C.C. 356</w:t>
        </w:r>
      </w:hyperlink>
      <w:r>
        <w:rPr>
          <w:rFonts w:ascii="arial" w:eastAsia="arial" w:hAnsi="arial" w:cs="arial"/>
          <w:color w:val="000000"/>
          <w:sz w:val="20"/>
          <w:lang w:val="en-US" w:eastAsia="en-US" w:bidi="ar-SA"/>
        </w:rPr>
        <w:t>, holds merely that if a charge is particularized, it is that charge which must be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On appeal to the Supreme Court of Canada, Lamer J., for the Court, held at p. 66 that, "it is sufficient for a conviction to be entered that theft be found under any one of the definitional theft sections in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As a result of the holding in </w:t>
      </w:r>
      <w:r>
        <w:rPr>
          <w:rFonts w:ascii="arial" w:eastAsia="arial" w:hAnsi="arial" w:cs="arial"/>
          <w:i/>
          <w:color w:val="000000"/>
          <w:sz w:val="20"/>
          <w:lang w:val="en-US" w:eastAsia="en-US" w:bidi="ar-SA"/>
        </w:rPr>
        <w:t>Lowden</w:t>
      </w:r>
      <w:r>
        <w:rPr>
          <w:rFonts w:ascii="arial" w:eastAsia="arial" w:hAnsi="arial" w:cs="arial"/>
          <w:color w:val="000000"/>
          <w:sz w:val="20"/>
          <w:lang w:val="en-US" w:eastAsia="en-US" w:bidi="ar-SA"/>
        </w:rPr>
        <w:t xml:space="preserve">, Mr. Singleton will be guilty of Count 1 if he can be found to have committed theft under any of the definitions of that offence in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Therefore, the charge of theft as laid is not defective; however, the Court is left in the somewhat unusual situation of choosing which type of theft ought to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relevant sections in force at the time are the general theft offence in s. 322, theft by a person required to account pursuant to s. 330, and theft by misappropriation of money held under direction pursuant to s. 332.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 agree with the Crown that the broadest theft offence provision is found in s. 322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At the time of the alleged offence (as now), the relevant parts of it read as follows: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 Every one commits theft who fraudulently and without colour of right takes, or fraudulently and without colour of right converts to his use or to the use of another person, anything whether animate or inanimate, with intent,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deprive, temporarily or absolutely, the owner of it, or a person who has a special property or interest in it, of the thing or of his property or interest in it;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or</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deal with it in such a manner that it cannot be restored in the condition in which it was at the time it was taken or converted.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commits theft when, with intent to steal anything, he moves it or causes it to move or to be moved, or begins to cause it to become moveable.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taking or conversion of anything may be fraudulent notwithstanding that it is effected without secrecy or attempt at concealment.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this Act, the question whether anything that is converted is taken for the purpose of conversion, or whether it is, at the time it is converted, in the lawful possession of the person who converts it is not material.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As discussed,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is not at issue; however,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for theft, pursuant to s. 322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engages specific language of "fraudulently, without colour of right," and "conversion" that have been addressed in the jurisprudence.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In relation to "fraudulently" as an aspect of s. 322(1), the Crown refers to </w:t>
      </w:r>
      <w:r>
        <w:rPr>
          <w:rFonts w:ascii="arial" w:eastAsia="arial" w:hAnsi="arial" w:cs="arial"/>
          <w:i/>
          <w:color w:val="000000"/>
          <w:sz w:val="20"/>
          <w:lang w:val="en-US" w:eastAsia="en-US" w:bidi="ar-SA"/>
        </w:rPr>
        <w:t>R. v. Lafrance</w:t>
      </w:r>
      <w:r>
        <w:rPr>
          <w:rFonts w:ascii="arial" w:eastAsia="arial" w:hAnsi="arial" w:cs="arial"/>
          <w:color w:val="000000"/>
          <w:sz w:val="20"/>
          <w:lang w:val="en-US" w:eastAsia="en-US" w:bidi="ar-SA"/>
        </w:rPr>
        <w:t xml:space="preserve"> (1973), </w:t>
      </w:r>
      <w:hyperlink r:id="rId693" w:history="1">
        <w:r>
          <w:rPr>
            <w:rFonts w:ascii="arial" w:eastAsia="arial" w:hAnsi="arial" w:cs="arial"/>
            <w:i/>
            <w:color w:val="0077CC"/>
            <w:sz w:val="20"/>
            <w:u w:val="single"/>
            <w:shd w:val="clear" w:color="auto" w:fill="FFFFFF"/>
            <w:lang w:val="en-US" w:eastAsia="en-US" w:bidi="ar-SA"/>
          </w:rPr>
          <w:t>[1975] 2 S.C.R. 201</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Lafrance</w:t>
      </w:r>
      <w:r>
        <w:rPr>
          <w:rFonts w:ascii="arial" w:eastAsia="arial" w:hAnsi="arial" w:cs="arial"/>
          <w:color w:val="000000"/>
          <w:sz w:val="20"/>
          <w:lang w:val="en-US" w:eastAsia="en-US" w:bidi="ar-SA"/>
        </w:rPr>
        <w:t>, Martland J., for the majority, considered the theft provision applicable at that time, which included the same language as s. 322(1) of, "Every one commits theft who fraudulently and without colour of right takes, or fraudulently and without colour of right converts to his use ..." It was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agree with the Court of Appeal that all of the elements of theft, as defined in s. 269, were established in this case. The taking was intentional, under no mistake and with knowledge that the motor vehicle was the property of another. In my opinion this made the taking fraudulent: see </w:t>
      </w:r>
      <w:r>
        <w:rPr>
          <w:rFonts w:ascii="arial" w:eastAsia="arial" w:hAnsi="arial" w:cs="arial"/>
          <w:i/>
          <w:color w:val="000000"/>
          <w:sz w:val="20"/>
          <w:lang w:val="en-US" w:eastAsia="en-US" w:bidi="ar-SA"/>
        </w:rPr>
        <w:t>Regina v. Williams</w:t>
      </w:r>
      <w:r>
        <w:rPr>
          <w:rFonts w:ascii="arial" w:eastAsia="arial" w:hAnsi="arial" w:cs="arial"/>
          <w:color w:val="000000"/>
          <w:sz w:val="20"/>
          <w:lang w:val="en-US" w:eastAsia="en-US" w:bidi="ar-SA"/>
        </w:rPr>
        <w:t>, [1953] 1 Q.B. 660 at 666, 37 Cr. App. R. 71, [1955] Crim. L.R. 18, [1953] 1 All E.R. 1068.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defence referred to </w:t>
      </w:r>
      <w:r>
        <w:rPr>
          <w:rFonts w:ascii="arial" w:eastAsia="arial" w:hAnsi="arial" w:cs="arial"/>
          <w:i/>
          <w:color w:val="000000"/>
          <w:sz w:val="20"/>
          <w:lang w:val="en-US" w:eastAsia="en-US" w:bidi="ar-SA"/>
        </w:rPr>
        <w:t>R. v. Demarco</w:t>
      </w:r>
      <w:r>
        <w:rPr>
          <w:rFonts w:ascii="arial" w:eastAsia="arial" w:hAnsi="arial" w:cs="arial"/>
          <w:color w:val="000000"/>
          <w:sz w:val="20"/>
          <w:lang w:val="en-US" w:eastAsia="en-US" w:bidi="ar-SA"/>
        </w:rPr>
        <w:t xml:space="preserve"> </w:t>
      </w:r>
      <w:hyperlink r:id="rId694" w:history="1">
        <w:r>
          <w:rPr>
            <w:rFonts w:ascii="arial" w:eastAsia="arial" w:hAnsi="arial" w:cs="arial"/>
            <w:i/>
            <w:color w:val="0077CC"/>
            <w:sz w:val="20"/>
            <w:u w:val="single"/>
            <w:shd w:val="clear" w:color="auto" w:fill="FFFFFF"/>
            <w:lang w:val="en-US" w:eastAsia="en-US" w:bidi="ar-SA"/>
          </w:rPr>
          <w:t>(1973), 13 C.C.C. (2d) 369</w:t>
        </w:r>
      </w:hyperlink>
      <w:r>
        <w:rPr>
          <w:rFonts w:ascii="arial" w:eastAsia="arial" w:hAnsi="arial" w:cs="arial"/>
          <w:color w:val="000000"/>
          <w:sz w:val="20"/>
          <w:lang w:val="en-US" w:eastAsia="en-US" w:bidi="ar-SA"/>
        </w:rPr>
        <w:t xml:space="preserve"> (Ont. C.A.). I do not see a material difference between the conception of "fraudulently," as an aspect of s. 322(1), in </w:t>
      </w:r>
      <w:r>
        <w:rPr>
          <w:rFonts w:ascii="arial" w:eastAsia="arial" w:hAnsi="arial" w:cs="arial"/>
          <w:i/>
          <w:color w:val="000000"/>
          <w:sz w:val="20"/>
          <w:lang w:val="en-US" w:eastAsia="en-US" w:bidi="ar-SA"/>
        </w:rPr>
        <w:t>Lafrance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Demarco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Demarco</w:t>
      </w:r>
      <w:r>
        <w:rPr>
          <w:rFonts w:ascii="arial" w:eastAsia="arial" w:hAnsi="arial" w:cs="arial"/>
          <w:color w:val="000000"/>
          <w:sz w:val="20"/>
          <w:lang w:val="en-US" w:eastAsia="en-US" w:bidi="ar-SA"/>
        </w:rPr>
        <w:t xml:space="preserv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Conduct is not fraudulent merely because it is unauthorized unless it is dishonest and morally wrong: Stephen, A History of the Criminal Law of England, 1883, vol. III, p. 124; </w:t>
      </w:r>
      <w:r>
        <w:rPr>
          <w:rFonts w:ascii="arial" w:eastAsia="arial" w:hAnsi="arial" w:cs="arial"/>
          <w:i/>
          <w:color w:val="000000"/>
          <w:sz w:val="20"/>
          <w:lang w:val="en-US" w:eastAsia="en-US" w:bidi="ar-SA"/>
        </w:rPr>
        <w:t>Hirschman v. Beal</w:t>
      </w:r>
      <w:r>
        <w:rPr>
          <w:rFonts w:ascii="arial" w:eastAsia="arial" w:hAnsi="arial" w:cs="arial"/>
          <w:color w:val="000000"/>
          <w:sz w:val="20"/>
          <w:lang w:val="en-US" w:eastAsia="en-US" w:bidi="ar-SA"/>
        </w:rPr>
        <w:t xml:space="preserve"> </w:t>
      </w:r>
      <w:hyperlink r:id="rId695" w:history="1">
        <w:r>
          <w:rPr>
            <w:rFonts w:ascii="arial" w:eastAsia="arial" w:hAnsi="arial" w:cs="arial"/>
            <w:i/>
            <w:color w:val="0077CC"/>
            <w:sz w:val="20"/>
            <w:u w:val="single"/>
            <w:shd w:val="clear" w:color="auto" w:fill="FFFFFF"/>
            <w:lang w:val="en-US" w:eastAsia="en-US" w:bidi="ar-SA"/>
          </w:rPr>
          <w:t>(1916), 38 O.L.R. 40</w:t>
        </w:r>
      </w:hyperlink>
      <w:r>
        <w:rPr>
          <w:rFonts w:ascii="arial" w:eastAsia="arial" w:hAnsi="arial" w:cs="arial"/>
          <w:color w:val="000000"/>
          <w:sz w:val="20"/>
          <w:lang w:val="en-US" w:eastAsia="en-US" w:bidi="ar-SA"/>
        </w:rPr>
        <w:t xml:space="preserve">, </w:t>
      </w:r>
      <w:hyperlink r:id="rId695" w:history="1">
        <w:r>
          <w:rPr>
            <w:rFonts w:ascii="arial" w:eastAsia="arial" w:hAnsi="arial" w:cs="arial"/>
            <w:i/>
            <w:color w:val="0077CC"/>
            <w:sz w:val="20"/>
            <w:u w:val="single"/>
            <w:shd w:val="clear" w:color="auto" w:fill="FFFFFF"/>
            <w:lang w:val="en-US" w:eastAsia="en-US" w:bidi="ar-SA"/>
          </w:rPr>
          <w:t>28 C.C.C. 319</w:t>
        </w:r>
      </w:hyperlink>
      <w:r>
        <w:rPr>
          <w:rFonts w:ascii="arial" w:eastAsia="arial" w:hAnsi="arial" w:cs="arial"/>
          <w:color w:val="000000"/>
          <w:sz w:val="20"/>
          <w:lang w:val="en-US" w:eastAsia="en-US" w:bidi="ar-SA"/>
        </w:rPr>
        <w:t xml:space="preserve"> at 328, </w:t>
      </w:r>
      <w:hyperlink r:id="rId695" w:history="1">
        <w:r>
          <w:rPr>
            <w:rFonts w:ascii="arial" w:eastAsia="arial" w:hAnsi="arial" w:cs="arial"/>
            <w:i/>
            <w:color w:val="0077CC"/>
            <w:sz w:val="20"/>
            <w:u w:val="single"/>
            <w:shd w:val="clear" w:color="auto" w:fill="FFFFFF"/>
            <w:lang w:val="en-US" w:eastAsia="en-US" w:bidi="ar-SA"/>
          </w:rPr>
          <w:t>32 D.L.R. 680</w:t>
        </w:r>
      </w:hyperlink>
      <w:r>
        <w:rPr>
          <w:rFonts w:ascii="arial" w:eastAsia="arial" w:hAnsi="arial" w:cs="arial"/>
          <w:color w:val="000000"/>
          <w:sz w:val="20"/>
          <w:lang w:val="en-US" w:eastAsia="en-US" w:bidi="ar-SA"/>
        </w:rPr>
        <w:t xml:space="preserve"> (C.A.), per Masten J.; </w:t>
      </w:r>
      <w:r>
        <w:rPr>
          <w:rFonts w:ascii="arial" w:eastAsia="arial" w:hAnsi="arial" w:cs="arial"/>
          <w:i/>
          <w:color w:val="000000"/>
          <w:sz w:val="20"/>
          <w:lang w:val="en-US" w:eastAsia="en-US" w:bidi="ar-SA"/>
        </w:rPr>
        <w:t>Cooper v. The King</w:t>
      </w:r>
      <w:r>
        <w:rPr>
          <w:rFonts w:ascii="arial" w:eastAsia="arial" w:hAnsi="arial" w:cs="arial"/>
          <w:color w:val="000000"/>
          <w:sz w:val="20"/>
          <w:lang w:val="en-US" w:eastAsia="en-US" w:bidi="ar-SA"/>
        </w:rPr>
        <w:t xml:space="preserve">, </w:t>
      </w:r>
      <w:hyperlink r:id="rId696" w:history="1">
        <w:r>
          <w:rPr>
            <w:rFonts w:ascii="arial" w:eastAsia="arial" w:hAnsi="arial" w:cs="arial"/>
            <w:i/>
            <w:color w:val="0077CC"/>
            <w:sz w:val="20"/>
            <w:u w:val="single"/>
            <w:shd w:val="clear" w:color="auto" w:fill="FFFFFF"/>
            <w:lang w:val="en-US" w:eastAsia="en-US" w:bidi="ar-SA"/>
          </w:rPr>
          <w:t>[1949] N.S.J. No. 1</w:t>
        </w:r>
      </w:hyperlink>
      <w:r>
        <w:rPr>
          <w:rFonts w:ascii="arial" w:eastAsia="arial" w:hAnsi="arial" w:cs="arial"/>
          <w:color w:val="000000"/>
          <w:sz w:val="20"/>
          <w:lang w:val="en-US" w:eastAsia="en-US" w:bidi="ar-SA"/>
        </w:rPr>
        <w:t>, supra, per MacQuarrie J. at p. 288.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relation to "colour of right," the Crown referred to </w:t>
      </w:r>
      <w:r>
        <w:rPr>
          <w:rFonts w:ascii="arial" w:eastAsia="arial" w:hAnsi="arial" w:cs="arial"/>
          <w:i/>
          <w:color w:val="000000"/>
          <w:sz w:val="20"/>
          <w:lang w:val="en-US" w:eastAsia="en-US" w:bidi="ar-SA"/>
        </w:rPr>
        <w:t>R. v. Manuel</w:t>
      </w:r>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2008 BCCA 143</w:t>
        </w:r>
      </w:hyperlink>
      <w:r>
        <w:rPr>
          <w:rFonts w:ascii="arial" w:eastAsia="arial" w:hAnsi="arial" w:cs="arial"/>
          <w:color w:val="000000"/>
          <w:sz w:val="20"/>
          <w:lang w:val="en-US" w:eastAsia="en-US" w:bidi="ar-SA"/>
        </w:rPr>
        <w:t>, where Levine J.A.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Both parties' arguments on appeal focused on the application of the defence of </w:t>
      </w:r>
      <w:r>
        <w:rPr>
          <w:rFonts w:ascii="arial" w:eastAsia="arial" w:hAnsi="arial" w:cs="arial"/>
          <w:i/>
          <w:color w:val="000000"/>
          <w:sz w:val="20"/>
          <w:lang w:val="en-US" w:eastAsia="en-US" w:bidi="ar-SA"/>
        </w:rPr>
        <w:t>colour of right</w:t>
      </w:r>
      <w:r>
        <w:rPr>
          <w:rFonts w:ascii="arial" w:eastAsia="arial" w:hAnsi="arial" w:cs="arial"/>
          <w:color w:val="000000"/>
          <w:sz w:val="20"/>
          <w:lang w:val="en-US" w:eastAsia="en-US" w:bidi="ar-SA"/>
        </w:rPr>
        <w:t xml:space="preserve">. There is no dispute concerning the definition of the defence: it is an honest belief in a state of facts or civil law which, if it existed, would negate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for the offence: see </w:t>
      </w:r>
      <w:r>
        <w:rPr>
          <w:rFonts w:ascii="arial" w:eastAsia="arial" w:hAnsi="arial" w:cs="arial"/>
          <w:i/>
          <w:color w:val="000000"/>
          <w:sz w:val="20"/>
          <w:lang w:val="en-US" w:eastAsia="en-US" w:bidi="ar-SA"/>
        </w:rPr>
        <w:t>R. v. Watson</w:t>
      </w:r>
      <w:r>
        <w:rPr>
          <w:rFonts w:ascii="arial" w:eastAsia="arial" w:hAnsi="arial" w:cs="arial"/>
          <w:color w:val="000000"/>
          <w:sz w:val="20"/>
          <w:lang w:val="en-US" w:eastAsia="en-US" w:bidi="ar-SA"/>
        </w:rPr>
        <w:t xml:space="preserve"> </w:t>
      </w:r>
      <w:hyperlink r:id="rId698" w:history="1">
        <w:r>
          <w:rPr>
            <w:rFonts w:ascii="arial" w:eastAsia="arial" w:hAnsi="arial" w:cs="arial"/>
            <w:i/>
            <w:color w:val="0077CC"/>
            <w:sz w:val="20"/>
            <w:u w:val="single"/>
            <w:shd w:val="clear" w:color="auto" w:fill="FFFFFF"/>
            <w:lang w:val="en-US" w:eastAsia="en-US" w:bidi="ar-SA"/>
          </w:rPr>
          <w:t>(1999), 137 C.C.C. (3d) 422</w:t>
        </w:r>
      </w:hyperlink>
      <w:r>
        <w:rPr>
          <w:rFonts w:ascii="arial" w:eastAsia="arial" w:hAnsi="arial" w:cs="arial"/>
          <w:color w:val="000000"/>
          <w:sz w:val="20"/>
          <w:lang w:val="en-US" w:eastAsia="en-US" w:bidi="ar-SA"/>
        </w:rPr>
        <w:t xml:space="preserve"> (Nfld. C.A.) at para. 23 ; </w:t>
      </w:r>
      <w:r>
        <w:rPr>
          <w:rFonts w:ascii="arial" w:eastAsia="arial" w:hAnsi="arial" w:cs="arial"/>
          <w:i/>
          <w:color w:val="000000"/>
          <w:sz w:val="20"/>
          <w:lang w:val="en-US" w:eastAsia="en-US" w:bidi="ar-SA"/>
        </w:rPr>
        <w:t>R. v. DeMarco</w:t>
      </w:r>
      <w:r>
        <w:rPr>
          <w:rFonts w:ascii="arial" w:eastAsia="arial" w:hAnsi="arial" w:cs="arial"/>
          <w:color w:val="000000"/>
          <w:sz w:val="20"/>
          <w:lang w:val="en-US" w:eastAsia="en-US" w:bidi="ar-SA"/>
        </w:rPr>
        <w:t xml:space="preserve"> </w:t>
      </w:r>
      <w:hyperlink r:id="rId694" w:history="1">
        <w:r>
          <w:rPr>
            <w:rFonts w:ascii="arial" w:eastAsia="arial" w:hAnsi="arial" w:cs="arial"/>
            <w:i/>
            <w:color w:val="0077CC"/>
            <w:sz w:val="20"/>
            <w:u w:val="single"/>
            <w:shd w:val="clear" w:color="auto" w:fill="FFFFFF"/>
            <w:lang w:val="en-US" w:eastAsia="en-US" w:bidi="ar-SA"/>
          </w:rPr>
          <w:t>(1973), 13 C.C.C. (2d) 369</w:t>
        </w:r>
      </w:hyperlink>
      <w:r>
        <w:rPr>
          <w:rFonts w:ascii="arial" w:eastAsia="arial" w:hAnsi="arial" w:cs="arial"/>
          <w:color w:val="000000"/>
          <w:sz w:val="20"/>
          <w:lang w:val="en-US" w:eastAsia="en-US" w:bidi="ar-SA"/>
        </w:rPr>
        <w:t xml:space="preserve"> (Ont. C.A.), at 372; </w:t>
      </w:r>
      <w:r>
        <w:rPr>
          <w:rFonts w:ascii="arial" w:eastAsia="arial" w:hAnsi="arial" w:cs="arial"/>
          <w:i/>
          <w:color w:val="000000"/>
          <w:sz w:val="20"/>
          <w:lang w:val="en-US" w:eastAsia="en-US" w:bidi="ar-SA"/>
        </w:rPr>
        <w:t>R. v. Howson</w:t>
      </w:r>
      <w:r>
        <w:rPr>
          <w:rFonts w:ascii="arial" w:eastAsia="arial" w:hAnsi="arial" w:cs="arial"/>
          <w:color w:val="000000"/>
          <w:sz w:val="20"/>
          <w:lang w:val="en-US" w:eastAsia="en-US" w:bidi="ar-SA"/>
        </w:rPr>
        <w:t xml:space="preserve">, </w:t>
      </w:r>
      <w:hyperlink r:id="rId699" w:history="1">
        <w:r>
          <w:rPr>
            <w:rFonts w:ascii="arial" w:eastAsia="arial" w:hAnsi="arial" w:cs="arial"/>
            <w:i/>
            <w:color w:val="0077CC"/>
            <w:sz w:val="20"/>
            <w:u w:val="single"/>
            <w:shd w:val="clear" w:color="auto" w:fill="FFFFFF"/>
            <w:lang w:val="en-US" w:eastAsia="en-US" w:bidi="ar-SA"/>
          </w:rPr>
          <w:t>[1966] 3 C.C.C. 348</w:t>
        </w:r>
      </w:hyperlink>
      <w:r>
        <w:rPr>
          <w:rFonts w:ascii="arial" w:eastAsia="arial" w:hAnsi="arial" w:cs="arial"/>
          <w:color w:val="000000"/>
          <w:sz w:val="20"/>
          <w:lang w:val="en-US" w:eastAsia="en-US" w:bidi="ar-SA"/>
        </w:rPr>
        <w:t xml:space="preserve"> (Ont. C.A.), at 356-57.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defence directed the Court to </w:t>
      </w:r>
      <w:r>
        <w:rPr>
          <w:rFonts w:ascii="arial" w:eastAsia="arial" w:hAnsi="arial" w:cs="arial"/>
          <w:i/>
          <w:color w:val="000000"/>
          <w:sz w:val="20"/>
          <w:lang w:val="en-US" w:eastAsia="en-US" w:bidi="ar-SA"/>
        </w:rPr>
        <w:t>R. v. Dorosh</w:t>
      </w:r>
      <w:r>
        <w:rPr>
          <w:rFonts w:ascii="arial" w:eastAsia="arial" w:hAnsi="arial" w:cs="arial"/>
          <w:color w:val="000000"/>
          <w:sz w:val="20"/>
          <w:lang w:val="en-US" w:eastAsia="en-US" w:bidi="ar-SA"/>
        </w:rPr>
        <w:t xml:space="preserve">, </w:t>
      </w:r>
      <w:hyperlink r:id="rId700" w:history="1">
        <w:r>
          <w:rPr>
            <w:rFonts w:ascii="arial" w:eastAsia="arial" w:hAnsi="arial" w:cs="arial"/>
            <w:i/>
            <w:color w:val="0077CC"/>
            <w:sz w:val="20"/>
            <w:u w:val="single"/>
            <w:shd w:val="clear" w:color="auto" w:fill="FFFFFF"/>
            <w:lang w:val="en-US" w:eastAsia="en-US" w:bidi="ar-SA"/>
          </w:rPr>
          <w:t>2003 SKCA 134</w:t>
        </w:r>
      </w:hyperlink>
      <w:r>
        <w:rPr>
          <w:rFonts w:ascii="arial" w:eastAsia="arial" w:hAnsi="arial" w:cs="arial"/>
          <w:color w:val="000000"/>
          <w:sz w:val="20"/>
          <w:lang w:val="en-US" w:eastAsia="en-US" w:bidi="ar-SA"/>
        </w:rPr>
        <w:t>, which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The jurisprudential history surrounding the phrase "colour of right" indicates that the meaning of the phrase has a certain quality of elusiveness (see </w:t>
      </w:r>
      <w:r>
        <w:rPr>
          <w:rFonts w:ascii="arial" w:eastAsia="arial" w:hAnsi="arial" w:cs="arial"/>
          <w:i/>
          <w:color w:val="000000"/>
          <w:sz w:val="20"/>
          <w:lang w:val="en-US" w:eastAsia="en-US" w:bidi="ar-SA"/>
        </w:rPr>
        <w:t>The Law of Theft and Related Offences</w:t>
      </w:r>
      <w:r>
        <w:rPr>
          <w:rFonts w:ascii="arial" w:eastAsia="arial" w:hAnsi="arial" w:cs="arial"/>
          <w:color w:val="000000"/>
          <w:sz w:val="20"/>
          <w:lang w:val="en-US" w:eastAsia="en-US" w:bidi="ar-SA"/>
        </w:rPr>
        <w:t xml:space="preserve"> by Winifred H. Holland (Toronto: Carswell, 1998) at pp. 150-170). The definition of the phrase by Martin J.A., speaking for the Court (including Gale C.J.O. and Estey J.A.), in </w:t>
      </w:r>
      <w:r>
        <w:rPr>
          <w:rFonts w:ascii="arial" w:eastAsia="arial" w:hAnsi="arial" w:cs="arial"/>
          <w:i/>
          <w:color w:val="000000"/>
          <w:sz w:val="20"/>
          <w:lang w:val="en-US" w:eastAsia="en-US" w:bidi="ar-SA"/>
        </w:rPr>
        <w:t>R. v. Demarco</w:t>
      </w:r>
      <w:r>
        <w:rPr>
          <w:rFonts w:ascii="arial" w:eastAsia="arial" w:hAnsi="arial" w:cs="arial"/>
          <w:color w:val="000000"/>
          <w:sz w:val="20"/>
          <w:lang w:val="en-US" w:eastAsia="en-US" w:bidi="ar-SA"/>
        </w:rPr>
        <w:t xml:space="preserve"> </w:t>
      </w:r>
      <w:hyperlink r:id="rId694" w:history="1">
        <w:r>
          <w:rPr>
            <w:rFonts w:ascii="arial" w:eastAsia="arial" w:hAnsi="arial" w:cs="arial"/>
            <w:i/>
            <w:color w:val="0077CC"/>
            <w:sz w:val="20"/>
            <w:u w:val="single"/>
            <w:shd w:val="clear" w:color="auto" w:fill="FFFFFF"/>
            <w:lang w:val="en-US" w:eastAsia="en-US" w:bidi="ar-SA"/>
          </w:rPr>
          <w:t>(1973), 13 C.C.C. (2d) 369</w:t>
        </w:r>
      </w:hyperlink>
      <w:r>
        <w:rPr>
          <w:rFonts w:ascii="arial" w:eastAsia="arial" w:hAnsi="arial" w:cs="arial"/>
          <w:color w:val="000000"/>
          <w:sz w:val="20"/>
          <w:lang w:val="en-US" w:eastAsia="en-US" w:bidi="ar-SA"/>
        </w:rPr>
        <w:t xml:space="preserve"> (Ont. C.A.) at 372 may be taken to have settled many, if not all, of the contentious issues raised by earlier Canadian cases where the phrase was considered. He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term "colour of right" generally, although not exclusively, refers to a situation where there is an assertion of a proprietary or possessory right to the thing which is the subject-matter of the alleged theft. One who is honestly asserting what he believes to be an honest claim cannot be said to act "without colour of right", even though it may be unfounded in law or in fact: see </w:t>
      </w:r>
      <w:r>
        <w:rPr>
          <w:rFonts w:ascii="arial" w:eastAsia="arial" w:hAnsi="arial" w:cs="arial"/>
          <w:i/>
          <w:color w:val="000000"/>
          <w:sz w:val="20"/>
          <w:lang w:val="en-US" w:eastAsia="en-US" w:bidi="ar-SA"/>
        </w:rPr>
        <w:t>R. v. Howson</w:t>
      </w:r>
      <w:r>
        <w:rPr>
          <w:rFonts w:ascii="arial" w:eastAsia="arial" w:hAnsi="arial" w:cs="arial"/>
          <w:color w:val="000000"/>
          <w:sz w:val="20"/>
          <w:lang w:val="en-US" w:eastAsia="en-US" w:bidi="ar-SA"/>
        </w:rPr>
        <w:t xml:space="preserve">, </w:t>
      </w:r>
      <w:hyperlink r:id="rId699" w:history="1">
        <w:r>
          <w:rPr>
            <w:rFonts w:ascii="arial" w:eastAsia="arial" w:hAnsi="arial" w:cs="arial"/>
            <w:i/>
            <w:color w:val="0077CC"/>
            <w:sz w:val="20"/>
            <w:u w:val="single"/>
            <w:shd w:val="clear" w:color="auto" w:fill="FFFFFF"/>
            <w:lang w:val="en-US" w:eastAsia="en-US" w:bidi="ar-SA"/>
          </w:rPr>
          <w:t>[1966] 3 C.C.C. 348</w:t>
        </w:r>
      </w:hyperlink>
      <w:r>
        <w:rPr>
          <w:rFonts w:ascii="arial" w:eastAsia="arial" w:hAnsi="arial" w:cs="arial"/>
          <w:color w:val="000000"/>
          <w:sz w:val="20"/>
          <w:lang w:val="en-US" w:eastAsia="en-US" w:bidi="ar-SA"/>
        </w:rPr>
        <w:t xml:space="preserve">, </w:t>
      </w:r>
      <w:hyperlink r:id="rId701" w:history="1">
        <w:r>
          <w:rPr>
            <w:rFonts w:ascii="arial" w:eastAsia="arial" w:hAnsi="arial" w:cs="arial"/>
            <w:i/>
            <w:color w:val="0077CC"/>
            <w:sz w:val="20"/>
            <w:u w:val="single"/>
            <w:shd w:val="clear" w:color="auto" w:fill="FFFFFF"/>
            <w:lang w:val="en-US" w:eastAsia="en-US" w:bidi="ar-SA"/>
          </w:rPr>
          <w:t>55 D.L.R. (2d) 582</w:t>
        </w:r>
      </w:hyperlink>
      <w:r>
        <w:rPr>
          <w:rFonts w:ascii="arial" w:eastAsia="arial" w:hAnsi="arial" w:cs="arial"/>
          <w:color w:val="000000"/>
          <w:sz w:val="20"/>
          <w:lang w:val="en-US" w:eastAsia="en-US" w:bidi="ar-SA"/>
        </w:rPr>
        <w:t xml:space="preserve">, </w:t>
      </w:r>
      <w:hyperlink r:id="rId701" w:history="1">
        <w:r>
          <w:rPr>
            <w:rFonts w:ascii="arial" w:eastAsia="arial" w:hAnsi="arial" w:cs="arial"/>
            <w:i/>
            <w:color w:val="0077CC"/>
            <w:sz w:val="20"/>
            <w:u w:val="single"/>
            <w:shd w:val="clear" w:color="auto" w:fill="FFFFFF"/>
            <w:lang w:val="en-US" w:eastAsia="en-US" w:bidi="ar-SA"/>
          </w:rPr>
          <w:t>[1966] 2 O.R. 63</w:t>
        </w:r>
      </w:hyperlink>
      <w:r>
        <w:rPr>
          <w:rFonts w:ascii="arial" w:eastAsia="arial" w:hAnsi="arial" w:cs="arial"/>
          <w:color w:val="000000"/>
          <w:sz w:val="20"/>
          <w:lang w:val="en-US" w:eastAsia="en-US" w:bidi="ar-SA"/>
        </w:rPr>
        <w:t xml:space="preserve">. The term "colour of right" is also used to denote an honest belief in a state of facts which, if it actually existed would at law justify or excuse the act done: </w:t>
      </w:r>
      <w:r>
        <w:rPr>
          <w:rFonts w:ascii="arial" w:eastAsia="arial" w:hAnsi="arial" w:cs="arial"/>
          <w:i/>
          <w:color w:val="000000"/>
          <w:sz w:val="20"/>
          <w:lang w:val="en-US" w:eastAsia="en-US" w:bidi="ar-SA"/>
        </w:rPr>
        <w:t>R. v. Howson</w:t>
      </w:r>
      <w:r>
        <w:rPr>
          <w:rFonts w:ascii="arial" w:eastAsia="arial" w:hAnsi="arial" w:cs="arial"/>
          <w:color w:val="000000"/>
          <w:sz w:val="20"/>
          <w:lang w:val="en-US" w:eastAsia="en-US" w:bidi="ar-SA"/>
        </w:rPr>
        <w:t>. The term when used in the latter sense is merely a particular application of the doctrine of mistake of fact.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Since </w:t>
      </w:r>
      <w:r>
        <w:rPr>
          <w:rFonts w:ascii="arial" w:eastAsia="arial" w:hAnsi="arial" w:cs="arial"/>
          <w:i/>
          <w:color w:val="000000"/>
          <w:sz w:val="20"/>
          <w:lang w:val="en-US" w:eastAsia="en-US" w:bidi="ar-SA"/>
        </w:rPr>
        <w:t>Demarco</w:t>
      </w:r>
      <w:r>
        <w:rPr>
          <w:rFonts w:ascii="arial" w:eastAsia="arial" w:hAnsi="arial" w:cs="arial"/>
          <w:color w:val="000000"/>
          <w:sz w:val="20"/>
          <w:lang w:val="en-US" w:eastAsia="en-US" w:bidi="ar-SA"/>
        </w:rPr>
        <w:t xml:space="preserve"> was decided, the Supreme Court of Canada has dealt with the "colour of right" issue in two cases: </w:t>
      </w:r>
      <w:r>
        <w:rPr>
          <w:rFonts w:ascii="arial" w:eastAsia="arial" w:hAnsi="arial" w:cs="arial"/>
          <w:i/>
          <w:color w:val="000000"/>
          <w:sz w:val="20"/>
          <w:lang w:val="en-US" w:eastAsia="en-US" w:bidi="ar-SA"/>
        </w:rPr>
        <w:t>R. v. Lilly</w:t>
      </w:r>
      <w:r>
        <w:rPr>
          <w:rFonts w:ascii="arial" w:eastAsia="arial" w:hAnsi="arial" w:cs="arial"/>
          <w:color w:val="000000"/>
          <w:sz w:val="20"/>
          <w:lang w:val="en-US" w:eastAsia="en-US" w:bidi="ar-SA"/>
        </w:rPr>
        <w:t xml:space="preserve">, </w:t>
      </w:r>
      <w:hyperlink r:id="rId702" w:history="1">
        <w:r>
          <w:rPr>
            <w:rFonts w:ascii="arial" w:eastAsia="arial" w:hAnsi="arial" w:cs="arial"/>
            <w:i/>
            <w:color w:val="0077CC"/>
            <w:sz w:val="20"/>
            <w:u w:val="single"/>
            <w:shd w:val="clear" w:color="auto" w:fill="FFFFFF"/>
            <w:lang w:val="en-US" w:eastAsia="en-US" w:bidi="ar-SA"/>
          </w:rPr>
          <w:t>[1983] 1 S.C.R. 794</w:t>
        </w:r>
      </w:hyperlink>
      <w:r>
        <w:rPr>
          <w:rFonts w:ascii="arial" w:eastAsia="arial" w:hAnsi="arial" w:cs="arial"/>
          <w:color w:val="000000"/>
          <w:sz w:val="20"/>
          <w:lang w:val="en-US" w:eastAsia="en-US" w:bidi="ar-SA"/>
        </w:rPr>
        <w:t xml:space="preserve"> (S.C.C.); and </w:t>
      </w:r>
      <w:r>
        <w:rPr>
          <w:rFonts w:ascii="arial" w:eastAsia="arial" w:hAnsi="arial" w:cs="arial"/>
          <w:i/>
          <w:color w:val="000000"/>
          <w:sz w:val="20"/>
          <w:lang w:val="en-US" w:eastAsia="en-US" w:bidi="ar-SA"/>
        </w:rPr>
        <w:t>R. v. Jones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[1991] 3 S.C.R. 110</w:t>
      </w:r>
      <w:r>
        <w:rPr>
          <w:rFonts w:ascii="arial" w:eastAsia="arial" w:hAnsi="arial" w:cs="arial"/>
          <w:color w:val="000000"/>
          <w:sz w:val="20"/>
          <w:lang w:val="en-US" w:eastAsia="en-US" w:bidi="ar-SA"/>
        </w:rPr>
        <w:t xml:space="preserve"> (S.C.C.). Nothing said in the judgments in either of those cases in any way detracts from Martin J.A.'s definition. If anything, the Court's decision in </w:t>
      </w:r>
      <w:r>
        <w:rPr>
          <w:rFonts w:ascii="arial" w:eastAsia="arial" w:hAnsi="arial" w:cs="arial"/>
          <w:i/>
          <w:color w:val="000000"/>
          <w:sz w:val="20"/>
          <w:lang w:val="en-US" w:eastAsia="en-US" w:bidi="ar-SA"/>
        </w:rPr>
        <w:t>Lilly</w:t>
      </w:r>
      <w:r>
        <w:rPr>
          <w:rFonts w:ascii="arial" w:eastAsia="arial" w:hAnsi="arial" w:cs="arial"/>
          <w:color w:val="000000"/>
          <w:sz w:val="20"/>
          <w:lang w:val="en-US" w:eastAsia="en-US" w:bidi="ar-SA"/>
        </w:rPr>
        <w:t xml:space="preserve"> may be said to impliedly support the definition. In two other cases, </w:t>
      </w:r>
      <w:r>
        <w:rPr>
          <w:rFonts w:ascii="arial" w:eastAsia="arial" w:hAnsi="arial" w:cs="arial"/>
          <w:i/>
          <w:color w:val="000000"/>
          <w:sz w:val="20"/>
          <w:lang w:val="en-US" w:eastAsia="en-US" w:bidi="ar-SA"/>
        </w:rPr>
        <w:t>R. v. Lafrance</w:t>
      </w:r>
      <w:r>
        <w:rPr>
          <w:rFonts w:ascii="arial" w:eastAsia="arial" w:hAnsi="arial" w:cs="arial"/>
          <w:color w:val="000000"/>
          <w:sz w:val="20"/>
          <w:lang w:val="en-US" w:eastAsia="en-US" w:bidi="ar-SA"/>
        </w:rPr>
        <w:t xml:space="preserve">, </w:t>
      </w:r>
      <w:hyperlink r:id="rId693" w:history="1">
        <w:r>
          <w:rPr>
            <w:rFonts w:ascii="arial" w:eastAsia="arial" w:hAnsi="arial" w:cs="arial"/>
            <w:i/>
            <w:color w:val="0077CC"/>
            <w:sz w:val="20"/>
            <w:u w:val="single"/>
            <w:shd w:val="clear" w:color="auto" w:fill="FFFFFF"/>
            <w:lang w:val="en-US" w:eastAsia="en-US" w:bidi="ar-SA"/>
          </w:rPr>
          <w:t>[1975] 2 S.C.R. 201</w:t>
        </w:r>
      </w:hyperlink>
      <w:r>
        <w:rPr>
          <w:rFonts w:ascii="arial" w:eastAsia="arial" w:hAnsi="arial" w:cs="arial"/>
          <w:color w:val="000000"/>
          <w:sz w:val="20"/>
          <w:lang w:val="en-US" w:eastAsia="en-US" w:bidi="ar-SA"/>
        </w:rPr>
        <w:t xml:space="preserve"> (S.C.C.) and </w:t>
      </w:r>
      <w:r>
        <w:rPr>
          <w:rFonts w:ascii="arial" w:eastAsia="arial" w:hAnsi="arial" w:cs="arial"/>
          <w:i/>
          <w:color w:val="000000"/>
          <w:sz w:val="20"/>
          <w:lang w:val="en-US" w:eastAsia="en-US" w:bidi="ar-SA"/>
        </w:rPr>
        <w:t>R. v. Milne</w:t>
      </w:r>
      <w:r>
        <w:rPr>
          <w:rFonts w:ascii="arial" w:eastAsia="arial" w:hAnsi="arial" w:cs="arial"/>
          <w:color w:val="000000"/>
          <w:sz w:val="20"/>
          <w:lang w:val="en-US" w:eastAsia="en-US" w:bidi="ar-SA"/>
        </w:rPr>
        <w:t xml:space="preserve">, </w:t>
      </w:r>
      <w:hyperlink r:id="rId703" w:history="1">
        <w:r>
          <w:rPr>
            <w:rFonts w:ascii="arial" w:eastAsia="arial" w:hAnsi="arial" w:cs="arial"/>
            <w:i/>
            <w:color w:val="0077CC"/>
            <w:sz w:val="20"/>
            <w:u w:val="single"/>
            <w:shd w:val="clear" w:color="auto" w:fill="FFFFFF"/>
            <w:lang w:val="en-US" w:eastAsia="en-US" w:bidi="ar-SA"/>
          </w:rPr>
          <w:t>[1992] 1 S.C.R. 697</w:t>
        </w:r>
      </w:hyperlink>
      <w:r>
        <w:rPr>
          <w:rFonts w:ascii="arial" w:eastAsia="arial" w:hAnsi="arial" w:cs="arial"/>
          <w:color w:val="000000"/>
          <w:sz w:val="20"/>
          <w:lang w:val="en-US" w:eastAsia="en-US" w:bidi="ar-SA"/>
        </w:rPr>
        <w:t xml:space="preserve"> (S.C.C.) the "colour of right" issue arose only incidentally and not as a principal issue. These judgments as well contain nothing that detracts from the </w:t>
      </w:r>
      <w:r>
        <w:rPr>
          <w:rFonts w:ascii="arial" w:eastAsia="arial" w:hAnsi="arial" w:cs="arial"/>
          <w:i/>
          <w:color w:val="000000"/>
          <w:sz w:val="20"/>
          <w:lang w:val="en-US" w:eastAsia="en-US" w:bidi="ar-SA"/>
        </w:rPr>
        <w:t>Demarco</w:t>
      </w:r>
      <w:r>
        <w:rPr>
          <w:rFonts w:ascii="arial" w:eastAsia="arial" w:hAnsi="arial" w:cs="arial"/>
          <w:color w:val="000000"/>
          <w:sz w:val="20"/>
          <w:lang w:val="en-US" w:eastAsia="en-US" w:bidi="ar-SA"/>
        </w:rPr>
        <w:t xml:space="preserve"> definition.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Even if it can be said that the judge did not reject the first basis - a mistake in civil law - as a basis for colour of right, then he clearly erred in applying to the facts of this case the law embraced by a properly defined colour of right concept. I say that for these reasons: The judge appears to have acknowledged that the defendant had a belief he had a claim to the trailer. But, instead of asking himself: Did the defendant have an </w:t>
      </w:r>
      <w:r>
        <w:rPr>
          <w:rFonts w:ascii="arial" w:eastAsia="arial" w:hAnsi="arial" w:cs="arial"/>
          <w:i/>
          <w:color w:val="000000"/>
          <w:sz w:val="20"/>
          <w:lang w:val="en-US" w:eastAsia="en-US" w:bidi="ar-SA"/>
        </w:rPr>
        <w:t>honest</w:t>
      </w:r>
      <w:r>
        <w:rPr>
          <w:rFonts w:ascii="arial" w:eastAsia="arial" w:hAnsi="arial" w:cs="arial"/>
          <w:color w:val="000000"/>
          <w:sz w:val="20"/>
          <w:lang w:val="en-US" w:eastAsia="en-US" w:bidi="ar-SA"/>
        </w:rPr>
        <w:t xml:space="preserve"> belief in his claim even though the claim may be unfounded in law and in fact?, the judge, in effect, asked himself the question: Was the defendant's claim unfounded in law? The judge then proceeded to answer the latter question in the negative and on that premise concluded the defendant had no colour of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 find the conceptions of "colour of right" as a defence to theft in both </w:t>
      </w:r>
      <w:r>
        <w:rPr>
          <w:rFonts w:ascii="arial" w:eastAsia="arial" w:hAnsi="arial" w:cs="arial"/>
          <w:i/>
          <w:color w:val="000000"/>
          <w:sz w:val="20"/>
          <w:lang w:val="en-US" w:eastAsia="en-US" w:bidi="ar-SA"/>
        </w:rPr>
        <w:t>Manuel</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Dorosh</w:t>
      </w:r>
      <w:r>
        <w:rPr>
          <w:rFonts w:ascii="arial" w:eastAsia="arial" w:hAnsi="arial" w:cs="arial"/>
          <w:color w:val="000000"/>
          <w:sz w:val="20"/>
          <w:lang w:val="en-US" w:eastAsia="en-US" w:bidi="ar-SA"/>
        </w:rPr>
        <w:t xml:space="preserve"> to be similar; however, </w:t>
      </w:r>
      <w:r>
        <w:rPr>
          <w:rFonts w:ascii="arial" w:eastAsia="arial" w:hAnsi="arial" w:cs="arial"/>
          <w:i/>
          <w:color w:val="000000"/>
          <w:sz w:val="20"/>
          <w:lang w:val="en-US" w:eastAsia="en-US" w:bidi="ar-SA"/>
        </w:rPr>
        <w:t>Manuel</w:t>
      </w:r>
      <w:r>
        <w:rPr>
          <w:rFonts w:ascii="arial" w:eastAsia="arial" w:hAnsi="arial" w:cs="arial"/>
          <w:color w:val="000000"/>
          <w:sz w:val="20"/>
          <w:lang w:val="en-US" w:eastAsia="en-US" w:bidi="ar-SA"/>
        </w:rPr>
        <w:t xml:space="preserve"> is a decision of our Court of Appeal and is binding on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On conversion, the Crown referred the Court to </w:t>
      </w:r>
      <w:r>
        <w:rPr>
          <w:rFonts w:ascii="arial" w:eastAsia="arial" w:hAnsi="arial" w:cs="arial"/>
          <w:i/>
          <w:color w:val="000000"/>
          <w:sz w:val="20"/>
          <w:lang w:val="en-US" w:eastAsia="en-US" w:bidi="ar-SA"/>
        </w:rPr>
        <w:t>R. v. Bates</w:t>
      </w:r>
      <w:r>
        <w:rPr>
          <w:rFonts w:ascii="arial" w:eastAsia="arial" w:hAnsi="arial" w:cs="arial"/>
          <w:color w:val="000000"/>
          <w:sz w:val="20"/>
          <w:lang w:val="en-US" w:eastAsia="en-US" w:bidi="ar-SA"/>
        </w:rPr>
        <w:t xml:space="preserve"> </w:t>
      </w:r>
      <w:hyperlink r:id="rId704" w:history="1">
        <w:r>
          <w:rPr>
            <w:rFonts w:ascii="arial" w:eastAsia="arial" w:hAnsi="arial" w:cs="arial"/>
            <w:i/>
            <w:color w:val="0077CC"/>
            <w:sz w:val="20"/>
            <w:u w:val="single"/>
            <w:shd w:val="clear" w:color="auto" w:fill="FFFFFF"/>
            <w:lang w:val="en-US" w:eastAsia="en-US" w:bidi="ar-SA"/>
          </w:rPr>
          <w:t>(1989), 94 A.R. 238</w:t>
        </w:r>
      </w:hyperlink>
      <w:r>
        <w:rPr>
          <w:rFonts w:ascii="arial" w:eastAsia="arial" w:hAnsi="arial" w:cs="arial"/>
          <w:color w:val="000000"/>
          <w:sz w:val="20"/>
          <w:lang w:val="en-US" w:eastAsia="en-US" w:bidi="ar-SA"/>
        </w:rPr>
        <w:t xml:space="preserve"> (Alta. C.A.), where, in relation to theft by conversion,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definition of a conversion, as given by the editor of Bacon's abridgment "Trover" (B), is this: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action being founded upon a conjunct right of property and possession, any act of the Defendant which negatives or is inconsistent with such right, amounts in law to a conversion. It is not necessary to a conversion that there should be a manual taking of the thing in question by the Defendant; it is not necessary that is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should be shown that he has applied it to his own use. Does he exercise a dominion over it in exclusion or in defiance of Plaintiff's right? It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he does, that is in law a conversion, be it for his own or another person's use.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McLean v. Bradley</w:t>
      </w:r>
      <w:r>
        <w:rPr>
          <w:rFonts w:ascii="arial" w:eastAsia="arial" w:hAnsi="arial" w:cs="arial"/>
          <w:color w:val="000000"/>
          <w:sz w:val="20"/>
          <w:lang w:val="en-US" w:eastAsia="en-US" w:bidi="ar-SA"/>
        </w:rPr>
        <w:t xml:space="preserve"> </w:t>
      </w:r>
      <w:hyperlink r:id="rId705" w:history="1">
        <w:r>
          <w:rPr>
            <w:rFonts w:ascii="arial" w:eastAsia="arial" w:hAnsi="arial" w:cs="arial"/>
            <w:i/>
            <w:color w:val="0077CC"/>
            <w:sz w:val="20"/>
            <w:u w:val="single"/>
            <w:shd w:val="clear" w:color="auto" w:fill="FFFFFF"/>
            <w:lang w:val="en-US" w:eastAsia="en-US" w:bidi="ar-SA"/>
          </w:rPr>
          <w:t>(1878), 2 S.C.R. 535</w:t>
        </w:r>
      </w:hyperlink>
      <w:r>
        <w:rPr>
          <w:rFonts w:ascii="arial" w:eastAsia="arial" w:hAnsi="arial" w:cs="arial"/>
          <w:color w:val="000000"/>
          <w:sz w:val="20"/>
          <w:lang w:val="en-US" w:eastAsia="en-US" w:bidi="ar-SA"/>
        </w:rPr>
        <w:t xml:space="preserve"> at 549.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Section 330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in force at the time (and presently), sets out a more specific definition of theft in relation to persons required to account for the property of another, namely:</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 Every one commits theft who, having received anything from any person on terms that require him to account for or pay it or the proceeds of it or a part of the proceeds to that person or another person, fraudulently fails to account for or pay it or the proceeds of it or the part of the proceeds of it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Section 332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defines a specific offence of theft in relation to a person who receives money with a direction that the money shall be applied to a purpose or paid to a person specified in the direction to "fraudulently and contrary to the direction" apply that money to any other purpose or pay it to any other person. At the time of the alleged offence (and still), s. 332 read as follows:</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 Every one commits theft who, having received, either solely or jointly with another person, money or valuable security or a power of attorney for the sale of real or personal property, with a direction that the money or a part of it, or the proceeds or a part of the proceeds of the security or the property shall be applied to a purpose or paid to a person specified in the direction, fraudulently and contrary to the direction applies to any other purpose or pays to any other person the money or proceeds or any part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Crown referred the Court to </w:t>
      </w:r>
      <w:r>
        <w:rPr>
          <w:rFonts w:ascii="arial" w:eastAsia="arial" w:hAnsi="arial" w:cs="arial"/>
          <w:i/>
          <w:color w:val="000000"/>
          <w:sz w:val="20"/>
          <w:lang w:val="en-US" w:eastAsia="en-US" w:bidi="ar-SA"/>
        </w:rPr>
        <w:t>R. v. Skalbania</w:t>
      </w:r>
      <w:r>
        <w:rPr>
          <w:rFonts w:ascii="arial" w:eastAsia="arial" w:hAnsi="arial" w:cs="arial"/>
          <w:color w:val="000000"/>
          <w:sz w:val="20"/>
          <w:lang w:val="en-US" w:eastAsia="en-US" w:bidi="ar-SA"/>
        </w:rPr>
        <w:t xml:space="preserve">, </w:t>
      </w:r>
      <w:hyperlink r:id="rId706" w:history="1">
        <w:r>
          <w:rPr>
            <w:rFonts w:ascii="arial" w:eastAsia="arial" w:hAnsi="arial" w:cs="arial"/>
            <w:i/>
            <w:color w:val="0077CC"/>
            <w:sz w:val="20"/>
            <w:u w:val="single"/>
            <w:shd w:val="clear" w:color="auto" w:fill="FFFFFF"/>
            <w:lang w:val="en-US" w:eastAsia="en-US" w:bidi="ar-SA"/>
          </w:rPr>
          <w:t>[1997] 3 S.C.R. 995</w:t>
        </w:r>
      </w:hyperlink>
      <w:r>
        <w:rPr>
          <w:rFonts w:ascii="arial" w:eastAsia="arial" w:hAnsi="arial" w:cs="arial"/>
          <w:color w:val="000000"/>
          <w:sz w:val="20"/>
          <w:lang w:val="en-US" w:eastAsia="en-US" w:bidi="ar-SA"/>
        </w:rPr>
        <w:t xml:space="preserve">, where McLachlin J., as she then was, discussed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pursuant to s. 332(1):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 The second issue concerns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required for conviction under s. 332(1). We agree with Rowles J.A. in the British Columbia Court of Appeal that an intentional misappropriation, without mistake, suffices to establish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under s. 332(1): see </w:t>
      </w:r>
      <w:r>
        <w:rPr>
          <w:rFonts w:ascii="arial" w:eastAsia="arial" w:hAnsi="arial" w:cs="arial"/>
          <w:i/>
          <w:color w:val="000000"/>
          <w:sz w:val="20"/>
          <w:lang w:val="en-US" w:eastAsia="en-US" w:bidi="ar-SA"/>
        </w:rPr>
        <w:t>R. v. Lafrance</w:t>
      </w:r>
      <w:r>
        <w:rPr>
          <w:rFonts w:ascii="arial" w:eastAsia="arial" w:hAnsi="arial" w:cs="arial"/>
          <w:color w:val="000000"/>
          <w:sz w:val="20"/>
          <w:lang w:val="en-US" w:eastAsia="en-US" w:bidi="ar-SA"/>
        </w:rPr>
        <w:t xml:space="preserve"> (1973), </w:t>
      </w:r>
      <w:hyperlink r:id="rId693" w:history="1">
        <w:r>
          <w:rPr>
            <w:rFonts w:ascii="arial" w:eastAsia="arial" w:hAnsi="arial" w:cs="arial"/>
            <w:i/>
            <w:color w:val="0077CC"/>
            <w:sz w:val="20"/>
            <w:u w:val="single"/>
            <w:shd w:val="clear" w:color="auto" w:fill="FFFFFF"/>
            <w:lang w:val="en-US" w:eastAsia="en-US" w:bidi="ar-SA"/>
          </w:rPr>
          <w:t>[1975] 2 S.C.R. 201</w:t>
        </w:r>
      </w:hyperlink>
      <w:r>
        <w:rPr>
          <w:rFonts w:ascii="arial" w:eastAsia="arial" w:hAnsi="arial" w:cs="arial"/>
          <w:color w:val="000000"/>
          <w:sz w:val="20"/>
          <w:lang w:val="en-US" w:eastAsia="en-US" w:bidi="ar-SA"/>
        </w:rPr>
        <w:t xml:space="preserve"> (S.C.C.); </w:t>
      </w:r>
      <w:r>
        <w:rPr>
          <w:rFonts w:ascii="arial" w:eastAsia="arial" w:hAnsi="arial" w:cs="arial"/>
          <w:i/>
          <w:color w:val="000000"/>
          <w:sz w:val="20"/>
          <w:lang w:val="en-US" w:eastAsia="en-US" w:bidi="ar-SA"/>
        </w:rPr>
        <w:t>R. v. Williams</w:t>
      </w:r>
      <w:r>
        <w:rPr>
          <w:rFonts w:ascii="arial" w:eastAsia="arial" w:hAnsi="arial" w:cs="arial"/>
          <w:color w:val="000000"/>
          <w:sz w:val="20"/>
          <w:lang w:val="en-US" w:eastAsia="en-US" w:bidi="ar-SA"/>
        </w:rPr>
        <w:t>, [1953] 1 Q.B. 660 (Eng. C.A.). The word" fraudulently", as used in this section, connotes no more than this. The dishonesty inherent in the offence lies in the intentional and unmistaken application of funds to an improper purpose.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We also agree with Rowles J.A. that the findings of fact of the trial judge establish both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of the offence.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is not in issue. On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the trial judge concluded: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find that Mr. Skalbania was at all material times the controlling mind of Prime Realty Limited, to whom Mr. Gooch's cheque was paid. I find that Mr. Skalbania through Prime Realty applied Gooch's money for a purpose other than that directed by Mr. Gooch.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short, the trial judge found: that the appellant knew that the money belonged to Mr. Gooch; that the appellant knew the purpose to which the money was supposed to be applied; and that the appellant knowingly, without mistake, applied the money to different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Crown also referred to </w:t>
      </w:r>
      <w:r>
        <w:rPr>
          <w:rFonts w:ascii="arial" w:eastAsia="arial" w:hAnsi="arial" w:cs="arial"/>
          <w:i/>
          <w:color w:val="000000"/>
          <w:sz w:val="20"/>
          <w:lang w:val="en-US" w:eastAsia="en-US" w:bidi="ar-SA"/>
        </w:rPr>
        <w:t>R. v. Bodnarchuk</w:t>
      </w:r>
      <w:r>
        <w:rPr>
          <w:rFonts w:ascii="arial" w:eastAsia="arial" w:hAnsi="arial" w:cs="arial"/>
          <w:color w:val="000000"/>
          <w:sz w:val="20"/>
          <w:lang w:val="en-US" w:eastAsia="en-US" w:bidi="ar-SA"/>
        </w:rPr>
        <w:t xml:space="preserve">, </w:t>
      </w:r>
      <w:hyperlink r:id="rId707" w:history="1">
        <w:r>
          <w:rPr>
            <w:rFonts w:ascii="arial" w:eastAsia="arial" w:hAnsi="arial" w:cs="arial"/>
            <w:i/>
            <w:color w:val="0077CC"/>
            <w:sz w:val="20"/>
            <w:u w:val="single"/>
            <w:shd w:val="clear" w:color="auto" w:fill="FFFFFF"/>
            <w:lang w:val="en-US" w:eastAsia="en-US" w:bidi="ar-SA"/>
          </w:rPr>
          <w:t>2007 BCCA 417</w:t>
        </w:r>
      </w:hyperlink>
      <w:r>
        <w:rPr>
          <w:rFonts w:ascii="arial" w:eastAsia="arial" w:hAnsi="arial" w:cs="arial"/>
          <w:color w:val="000000"/>
          <w:sz w:val="20"/>
          <w:lang w:val="en-US" w:eastAsia="en-US" w:bidi="ar-SA"/>
        </w:rPr>
        <w:t xml:space="preserve">, where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of s. 332 was discussed in relation to an allegation of theft of investment monies: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Counsel for the appellant correctly observes that a breach of contract for the sale of shares would not in and of itself necessarily amount to a breach of s. 332. But when the conduct of the appellant </w:t>
      </w:r>
      <w:r>
        <w:rPr>
          <w:rFonts w:ascii="arial" w:eastAsia="arial" w:hAnsi="arial" w:cs="arial"/>
          <w:i/>
          <w:color w:val="000000"/>
          <w:sz w:val="20"/>
          <w:lang w:val="en-US" w:eastAsia="en-US" w:bidi="ar-SA"/>
        </w:rPr>
        <w:t>vis-à-vis</w:t>
      </w:r>
      <w:r>
        <w:rPr>
          <w:rFonts w:ascii="arial" w:eastAsia="arial" w:hAnsi="arial" w:cs="arial"/>
          <w:color w:val="000000"/>
          <w:sz w:val="20"/>
          <w:lang w:val="en-US" w:eastAsia="en-US" w:bidi="ar-SA"/>
        </w:rPr>
        <w:t xml:space="preserve"> the various investors is fairly analyzed, it is plain that his activities went beyond a mere civil wrong and amounted to a crime. In my opinion, the following passage from the reasons of the trial judge accurately sets forth the wrongful conduct of this appellant: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[157]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of the offence was described by the Supreme Court of Canada as consisting of "an intentional misappropriation, without mistake ..." I find that the facts in the case at bar establish Bodnarchuk was painfully aware that the purpose for which the funds had been provided, namely an ownership stake in RCGI, had not been provided to the investors. Through months and even years of increasingly anxious inquiries on the investors' part, he treated the investors with callous disregard, making empty promises and finally stonewalling them altogether. I therefore find that all of the elements of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of the offence have been proven and thus all elements of the charge of theft have been established beyond a reasonable doubt.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of the offence was the appellant's use of the investment monies and failure to timeously have issued that for which the monies had been furnished.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of the crime, impelled by the motivation I have described above, was his intent to keep the investors out of their property as long as possible to serve his own economic ends. There was here, as in </w:t>
      </w:r>
      <w:r>
        <w:rPr>
          <w:rFonts w:ascii="arial" w:eastAsia="arial" w:hAnsi="arial" w:cs="arial"/>
          <w:i/>
          <w:color w:val="000000"/>
          <w:sz w:val="20"/>
          <w:lang w:val="en-US" w:eastAsia="en-US" w:bidi="ar-SA"/>
        </w:rPr>
        <w:t>Skalbania</w:t>
      </w:r>
      <w:r>
        <w:rPr>
          <w:rFonts w:ascii="arial" w:eastAsia="arial" w:hAnsi="arial" w:cs="arial"/>
          <w:color w:val="000000"/>
          <w:sz w:val="20"/>
          <w:lang w:val="en-US" w:eastAsia="en-US" w:bidi="ar-SA"/>
        </w:rPr>
        <w:t xml:space="preserve">, an intentional and unmistaken misappropriation of the funds provided by the investors. The appellant conceived and executed a scheme to obtain funds from investors to keep him from financial distress and the successful operation of the enterprise required him to ensure that share certificates not be delivered in any timely way to investors. The true state of affairs was never disclosed to the investors. I consider it was open to the trial judge to find both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of theft under s. 332 made out on the facts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 have considered the other cases advanced by the defence in relation to theft, including: </w:t>
      </w:r>
      <w:r>
        <w:rPr>
          <w:rFonts w:ascii="arial" w:eastAsia="arial" w:hAnsi="arial" w:cs="arial"/>
          <w:i/>
          <w:color w:val="000000"/>
          <w:sz w:val="20"/>
          <w:lang w:val="en-US" w:eastAsia="en-US" w:bidi="ar-SA"/>
        </w:rPr>
        <w:t>R. v. Cluett</w:t>
      </w:r>
      <w:r>
        <w:rPr>
          <w:rFonts w:ascii="arial" w:eastAsia="arial" w:hAnsi="arial" w:cs="arial"/>
          <w:color w:val="000000"/>
          <w:sz w:val="20"/>
          <w:lang w:val="en-US" w:eastAsia="en-US" w:bidi="ar-SA"/>
        </w:rPr>
        <w:t xml:space="preserve">, </w:t>
      </w:r>
      <w:hyperlink r:id="rId708" w:history="1">
        <w:r>
          <w:rPr>
            <w:rFonts w:ascii="arial" w:eastAsia="arial" w:hAnsi="arial" w:cs="arial"/>
            <w:i/>
            <w:color w:val="0077CC"/>
            <w:sz w:val="20"/>
            <w:u w:val="single"/>
            <w:shd w:val="clear" w:color="auto" w:fill="FFFFFF"/>
            <w:lang w:val="en-US" w:eastAsia="en-US" w:bidi="ar-SA"/>
          </w:rPr>
          <w:t>[2006] N.J. No. 353</w:t>
        </w:r>
      </w:hyperlink>
      <w:r>
        <w:rPr>
          <w:rFonts w:ascii="arial" w:eastAsia="arial" w:hAnsi="arial" w:cs="arial"/>
          <w:color w:val="000000"/>
          <w:sz w:val="20"/>
          <w:lang w:val="en-US" w:eastAsia="en-US" w:bidi="ar-SA"/>
        </w:rPr>
        <w:t xml:space="preserve"> (N.L. Prov. Ct.); </w:t>
      </w:r>
      <w:r>
        <w:rPr>
          <w:rFonts w:ascii="arial" w:eastAsia="arial" w:hAnsi="arial" w:cs="arial"/>
          <w:i/>
          <w:color w:val="000000"/>
          <w:sz w:val="20"/>
          <w:lang w:val="en-US" w:eastAsia="en-US" w:bidi="ar-SA"/>
        </w:rPr>
        <w:t>R. v. Wolfe</w:t>
      </w:r>
      <w:r>
        <w:rPr>
          <w:rFonts w:ascii="arial" w:eastAsia="arial" w:hAnsi="arial" w:cs="arial"/>
          <w:color w:val="000000"/>
          <w:sz w:val="20"/>
          <w:lang w:val="en-US" w:eastAsia="en-US" w:bidi="ar-SA"/>
        </w:rPr>
        <w:t xml:space="preserve"> </w:t>
      </w:r>
      <w:hyperlink r:id="rId709" w:history="1">
        <w:r>
          <w:rPr>
            <w:rFonts w:ascii="arial" w:eastAsia="arial" w:hAnsi="arial" w:cs="arial"/>
            <w:i/>
            <w:color w:val="0077CC"/>
            <w:sz w:val="20"/>
            <w:u w:val="single"/>
            <w:shd w:val="clear" w:color="auto" w:fill="FFFFFF"/>
            <w:lang w:val="en-US" w:eastAsia="en-US" w:bidi="ar-SA"/>
          </w:rPr>
          <w:t>(1961), 132 C.C.C. 130</w:t>
        </w:r>
      </w:hyperlink>
      <w:r>
        <w:rPr>
          <w:rFonts w:ascii="arial" w:eastAsia="arial" w:hAnsi="arial" w:cs="arial"/>
          <w:color w:val="000000"/>
          <w:sz w:val="20"/>
          <w:lang w:val="en-US" w:eastAsia="en-US" w:bidi="ar-SA"/>
        </w:rPr>
        <w:t xml:space="preserve"> (Man. C.A.); </w:t>
      </w:r>
      <w:r>
        <w:rPr>
          <w:rFonts w:ascii="arial" w:eastAsia="arial" w:hAnsi="arial" w:cs="arial"/>
          <w:i/>
          <w:color w:val="000000"/>
          <w:sz w:val="20"/>
          <w:lang w:val="en-US" w:eastAsia="en-US" w:bidi="ar-SA"/>
        </w:rPr>
        <w:t>R. v. O'Mahoney</w:t>
      </w:r>
      <w:r>
        <w:rPr>
          <w:rFonts w:ascii="arial" w:eastAsia="arial" w:hAnsi="arial" w:cs="arial"/>
          <w:color w:val="000000"/>
          <w:sz w:val="20"/>
          <w:lang w:val="en-US" w:eastAsia="en-US" w:bidi="ar-SA"/>
        </w:rPr>
        <w:t xml:space="preserve">, </w:t>
      </w:r>
      <w:hyperlink r:id="rId710" w:history="1">
        <w:r>
          <w:rPr>
            <w:rFonts w:ascii="arial" w:eastAsia="arial" w:hAnsi="arial" w:cs="arial"/>
            <w:i/>
            <w:color w:val="0077CC"/>
            <w:sz w:val="20"/>
            <w:u w:val="single"/>
            <w:shd w:val="clear" w:color="auto" w:fill="FFFFFF"/>
            <w:lang w:val="en-US" w:eastAsia="en-US" w:bidi="ar-SA"/>
          </w:rPr>
          <w:t>[1966] 2 C.C.C. 264</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R. v. Hemmerly</w:t>
      </w:r>
      <w:r>
        <w:rPr>
          <w:rFonts w:ascii="arial" w:eastAsia="arial" w:hAnsi="arial" w:cs="arial"/>
          <w:color w:val="000000"/>
          <w:sz w:val="20"/>
          <w:lang w:val="en-US" w:eastAsia="en-US" w:bidi="ar-SA"/>
        </w:rPr>
        <w:t xml:space="preserve"> </w:t>
      </w:r>
      <w:hyperlink r:id="rId711" w:history="1">
        <w:r>
          <w:rPr>
            <w:rFonts w:ascii="arial" w:eastAsia="arial" w:hAnsi="arial" w:cs="arial"/>
            <w:i/>
            <w:color w:val="0077CC"/>
            <w:sz w:val="20"/>
            <w:u w:val="single"/>
            <w:shd w:val="clear" w:color="auto" w:fill="FFFFFF"/>
            <w:lang w:val="en-US" w:eastAsia="en-US" w:bidi="ar-SA"/>
          </w:rPr>
          <w:t>(1976), 30 C.C.C. (2d) 141</w:t>
        </w:r>
      </w:hyperlink>
      <w:r>
        <w:rPr>
          <w:rFonts w:ascii="arial" w:eastAsia="arial" w:hAnsi="arial" w:cs="arial"/>
          <w:color w:val="000000"/>
          <w:sz w:val="20"/>
          <w:lang w:val="en-US" w:eastAsia="en-US" w:bidi="ar-SA"/>
        </w:rPr>
        <w:t xml:space="preserve"> (Ont. C.A.); and </w:t>
      </w:r>
      <w:r>
        <w:rPr>
          <w:rFonts w:ascii="arial" w:eastAsia="arial" w:hAnsi="arial" w:cs="arial"/>
          <w:i/>
          <w:color w:val="000000"/>
          <w:sz w:val="20"/>
          <w:lang w:val="en-US" w:eastAsia="en-US" w:bidi="ar-SA"/>
        </w:rPr>
        <w:t>R. v. Pidlubny</w:t>
      </w:r>
      <w:r>
        <w:rPr>
          <w:rFonts w:ascii="arial" w:eastAsia="arial" w:hAnsi="arial" w:cs="arial"/>
          <w:color w:val="000000"/>
          <w:sz w:val="20"/>
          <w:lang w:val="en-US" w:eastAsia="en-US" w:bidi="ar-SA"/>
        </w:rPr>
        <w:t xml:space="preserve"> </w:t>
      </w:r>
      <w:hyperlink r:id="rId712" w:history="1">
        <w:r>
          <w:rPr>
            <w:rFonts w:ascii="arial" w:eastAsia="arial" w:hAnsi="arial" w:cs="arial"/>
            <w:i/>
            <w:color w:val="0077CC"/>
            <w:sz w:val="20"/>
            <w:u w:val="single"/>
            <w:shd w:val="clear" w:color="auto" w:fill="FFFFFF"/>
            <w:lang w:val="en-US" w:eastAsia="en-US" w:bidi="ar-SA"/>
          </w:rPr>
          <w:t>(1978), 2 C.R. (3d) 35</w:t>
        </w:r>
      </w:hyperlink>
      <w:r>
        <w:rPr>
          <w:rFonts w:ascii="arial" w:eastAsia="arial" w:hAnsi="arial" w:cs="arial"/>
          <w:color w:val="000000"/>
          <w:sz w:val="20"/>
          <w:lang w:val="en-US" w:eastAsia="en-US" w:bidi="ar-SA"/>
        </w:rPr>
        <w:t xml:space="preserve"> (Ont. C.A.). I find the authorities provided by the Crown to be of more assistance in the determination of these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It is the Crown's position that the general theft offence in s. 322(1) is the more serious of the available theft offences given that it requires proof of a fraudulent taking or fraudulently conversion with intent (a) "to deprive" a person of their property, here the funds in the George Estate left to the beneficiaries under Mr. George's will, or (d) "to deal" with the George Estate in a such manner that the funds could not be restored to the beneficiaries. The Crown submits that the evidence proves the requisite intent to convict Mr. Singleton of theft contrary to s. 322(1), and that his explanations do not give rise to colour of right. However, if the Court was to find the conduct of Mr. Singleton at issue did not come within the definition of theft contained in s. 322, the Crown submits that the Court would still be obliged to consider the more limited and specific theft offence sections.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note that the defence did not challenge this approach at the outset of the trial in relation to Count 1 pertaining to the George Estate. Nor did the defence bring an application for particulars in relation to Count 1 pertaining to alleged theft from the George Estate, as they did in relation to the theft charge pertaining to the Copp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However, as I appreciate the defence submission on this point, it is that the Court, in relation to the offence of theft allegedly committed by Mr. Singleton, ought to consider s. 322, which makes reference to "fraudulently and without colour of right," requiring proof of specific intent to deprive or deal with the funds of the Estate in a manner that they were unable to be restored and making available a defence of colour of right. The defence resists the Crown's assertion that failing a conviction of Mr. Singleton for theft pursuant to s. 322(1)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the Court ought to resort to consideration of sections 330 and 332.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As Mr. Singleton was acting in his capacity as executor and trustee of the George Estate, he was required to deal with its funds in accordance with the directions contained in the Will, which required him as a trustee to deliver the funds to the named beneficiaries upon the proper discharge of his responsibilities. The allegation by the Crown is that instead of discharging his legal responsibilities as the executor and trustee he committed theft of its funds by using them to fund the purchase and development of the District Lot. It is also alleged that he paid certain George Estate funds directly to himself as "fees." This alleged course of conduct brings the alleged theft squarely within the scope of s. 332. However, in my view it also falls squarely within s. 322(1), the broader theft provision that permits Mr. Singleton to raise colour of right and requires a fraudulent taking or fraudulent conversion of the funds of the George Estate with intent "to deprive [the beneficiaries], temporarily or absolutely" or "to deal with" the funds of the Estate "in a such a manner that [they] cannot be restored."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Therefore, given wording of Count 1 and the relevant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sections, I find the proper course of action is to first consider the alleged theft within the parameters of s. 322(1), and then, if necessary, to consider s. 332. This approach provides the defence with the opportunity to have colour of right considered in relation to the broader offence of theft contrary to s. 322(1), in the event that it arises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As s. 332 refers to money received with a direction that it or part of it be "applied to a purpose or paid to a person specified in that direction," I find it to be more applicable to an alleged theft of money received by an executor and trustee that was to be paid to named persons or entities pursuant to the terms of a will, than the offence created by s. 330. While it may be said that Mr. Singleton received the funds of the George Estate on terms that required him to account for them and pay them to others as referred to in s. 330, I find that the legal obligations imposed upon an executor and trustee pursuant to a will are more contiguous with the elements of the offence defined in s. 332.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The Offence of Fraud as 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Count 2 in the Indictment alleges that Mr. Singleton committed fraud, contrary to s. 380(1)(a)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which stated (as it read at the time):</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 Every one who, by deceit, falsehood or other fraudulent means, whether or not it is a false pretence within the meaning of this Act, defrauds the public or any person, whether ascertained or not, of any property, money or valuable security,</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guilty of an indictable offence and liable to a term of imprisonment not exceeding ten years, where the subject-matter of the offence is a testamentary instrument or where the value of the subject-matter of the offence exceeds one thousand dollars;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elements required for a conviction of fraud pursuant to s. 380(1)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were discussed by the Supreme Court of Canada in </w:t>
      </w:r>
      <w:r>
        <w:rPr>
          <w:rFonts w:ascii="arial" w:eastAsia="arial" w:hAnsi="arial" w:cs="arial"/>
          <w:i/>
          <w:color w:val="000000"/>
          <w:sz w:val="20"/>
          <w:lang w:val="en-US" w:eastAsia="en-US" w:bidi="ar-SA"/>
        </w:rPr>
        <w:t>R. v. Olan</w:t>
      </w:r>
      <w:r>
        <w:rPr>
          <w:rFonts w:ascii="arial" w:eastAsia="arial" w:hAnsi="arial" w:cs="arial"/>
          <w:color w:val="000000"/>
          <w:sz w:val="20"/>
          <w:lang w:val="en-US" w:eastAsia="en-US" w:bidi="ar-SA"/>
        </w:rPr>
        <w:t xml:space="preserve">, </w:t>
      </w:r>
      <w:hyperlink r:id="rId713" w:history="1">
        <w:r>
          <w:rPr>
            <w:rFonts w:ascii="arial" w:eastAsia="arial" w:hAnsi="arial" w:cs="arial"/>
            <w:i/>
            <w:color w:val="0077CC"/>
            <w:sz w:val="20"/>
            <w:u w:val="single"/>
            <w:shd w:val="clear" w:color="auto" w:fill="FFFFFF"/>
            <w:lang w:val="en-US" w:eastAsia="en-US" w:bidi="ar-SA"/>
          </w:rPr>
          <w:t>[1978] 2 S.C.R. 1175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 v. Théroux</w:t>
      </w:r>
      <w:r>
        <w:rPr>
          <w:rFonts w:ascii="arial" w:eastAsia="arial" w:hAnsi="arial" w:cs="arial"/>
          <w:color w:val="000000"/>
          <w:sz w:val="20"/>
          <w:lang w:val="en-US" w:eastAsia="en-US" w:bidi="ar-SA"/>
        </w:rPr>
        <w:t xml:space="preserve">, </w:t>
      </w:r>
      <w:hyperlink r:id="rId714" w:history="1">
        <w:r>
          <w:rPr>
            <w:rFonts w:ascii="arial" w:eastAsia="arial" w:hAnsi="arial" w:cs="arial"/>
            <w:i/>
            <w:color w:val="0077CC"/>
            <w:sz w:val="20"/>
            <w:u w:val="single"/>
            <w:shd w:val="clear" w:color="auto" w:fill="FFFFFF"/>
            <w:lang w:val="en-US" w:eastAsia="en-US" w:bidi="ar-SA"/>
          </w:rPr>
          <w:t>[1993] 2 S.C.R. 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Théroux</w:t>
      </w:r>
      <w:r>
        <w:rPr>
          <w:rFonts w:ascii="arial" w:eastAsia="arial" w:hAnsi="arial" w:cs="arial"/>
          <w:color w:val="000000"/>
          <w:sz w:val="20"/>
          <w:lang w:val="en-US" w:eastAsia="en-US" w:bidi="ar-SA"/>
        </w:rPr>
        <w:t xml:space="preserve"> contains a thorough recitation of the law of fraud and the various elements necessary for conviction. With regard to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McLachlin J., as she then was, writing for the majority, referred to </w:t>
      </w:r>
      <w:r>
        <w:rPr>
          <w:rFonts w:ascii="arial" w:eastAsia="arial" w:hAnsi="arial" w:cs="arial"/>
          <w:i/>
          <w:color w:val="000000"/>
          <w:sz w:val="20"/>
          <w:lang w:val="en-US" w:eastAsia="en-US" w:bidi="ar-SA"/>
        </w:rPr>
        <w:t>Olan</w:t>
      </w:r>
      <w:r>
        <w:rPr>
          <w:rFonts w:ascii="arial" w:eastAsia="arial" w:hAnsi="arial" w:cs="arial"/>
          <w:color w:val="000000"/>
          <w:sz w:val="20"/>
          <w:lang w:val="en-US" w:eastAsia="en-US" w:bidi="ar-SA"/>
        </w:rPr>
        <w:t>, and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Olan</w:t>
      </w:r>
      <w:r>
        <w:rPr>
          <w:rFonts w:ascii="arial" w:eastAsia="arial" w:hAnsi="arial" w:cs="arial"/>
          <w:color w:val="000000"/>
          <w:sz w:val="20"/>
          <w:lang w:val="en-US" w:eastAsia="en-US" w:bidi="ar-SA"/>
        </w:rPr>
        <w:t xml:space="preserve"> marked a broadening of the law of fraud in two respects. First, it overruled previous authority which suggested that deceit was an essential element of the offence. Instead, it posited the general concept of dishonesty, which might manifest itself in deceit, falsehood or some other form of dishonesty. </w:t>
      </w:r>
      <w:r>
        <w:rPr>
          <w:rFonts w:ascii="arial" w:eastAsia="arial" w:hAnsi="arial" w:cs="arial"/>
          <w:color w:val="000000"/>
          <w:sz w:val="20"/>
          <w:u w:val="single"/>
          <w:lang w:val="en-US" w:eastAsia="en-US" w:bidi="ar-SA"/>
        </w:rPr>
        <w:t xml:space="preserve">Just as what constitutes a lie or a deceitful act for the purpose of the </w:t>
      </w:r>
      <w:r>
        <w:rPr>
          <w:rFonts w:ascii="arial" w:eastAsia="arial" w:hAnsi="arial" w:cs="arial"/>
          <w:i/>
          <w:color w:val="000000"/>
          <w:sz w:val="20"/>
          <w:u w:val="single"/>
          <w:lang w:val="en-US" w:eastAsia="en-US" w:bidi="ar-SA"/>
        </w:rPr>
        <w:t>actus reus</w:t>
      </w:r>
      <w:r>
        <w:rPr>
          <w:rFonts w:ascii="arial" w:eastAsia="arial" w:hAnsi="arial" w:cs="arial"/>
          <w:color w:val="000000"/>
          <w:sz w:val="20"/>
          <w:u w:val="single"/>
          <w:lang w:val="en-US" w:eastAsia="en-US" w:bidi="ar-SA"/>
        </w:rPr>
        <w:t xml:space="preserve"> is judged on the objective facts, so the "other fraudulent means" in the third category is determined objectively, by reference to what a reasonable person would consider to be a dishonest act.</w:t>
      </w:r>
      <w:r>
        <w:rPr>
          <w:rFonts w:ascii="arial" w:eastAsia="arial" w:hAnsi="arial" w:cs="arial"/>
          <w:color w:val="000000"/>
          <w:sz w:val="20"/>
          <w:lang w:val="en-US" w:eastAsia="en-US" w:bidi="ar-SA"/>
        </w:rPr>
        <w:t xml:space="preserve"> Secondly, </w:t>
      </w:r>
      <w:r>
        <w:rPr>
          <w:rFonts w:ascii="arial" w:eastAsia="arial" w:hAnsi="arial" w:cs="arial"/>
          <w:i/>
          <w:color w:val="000000"/>
          <w:sz w:val="20"/>
          <w:lang w:val="en-US" w:eastAsia="en-US" w:bidi="ar-SA"/>
        </w:rPr>
        <w:t>Olan</w:t>
      </w:r>
      <w:r>
        <w:rPr>
          <w:rFonts w:ascii="arial" w:eastAsia="arial" w:hAnsi="arial" w:cs="arial"/>
          <w:color w:val="000000"/>
          <w:sz w:val="20"/>
          <w:lang w:val="en-US" w:eastAsia="en-US" w:bidi="ar-SA"/>
        </w:rPr>
        <w:t xml:space="preserve"> made it clear that economic loss was not essential to the offence; the imperilling of an economic interest is sufficient even though no actual loss has been suffered. By adopting an expansive interpretation of the offence, the Court established fraud as an offence of general scope capable of encompassing a wide range of dishonest commercial dealings.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McLachlin J. continued to discuss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necessary if the particular fraud is alleged to have been by "other fraudulent means":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it is alleged that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of a particular fraud is "other fraudulent means", the existence of such means will be determined by what reasonable people consider to be dishonest dealing. In instances of fraud by deceit or falsehood, it will not be necessary to undertake such an inquiry; all that need be determined is whether the accused, as a matter of fact, represented that a situation was of a certain character, when, in reality, it was not.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After a general discussion of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McLachlin J. described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for fraud: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would then consist in the subjective awareness that one was undertaking a prohibited act (the deceit, falsehood or other dishonest act) which could cause deprivation in the sense of depriving another of property or putting that property at risk. If this is shown, the crime is complete. The fact that the accused may have hoped the deprivation would not take place, or may have felt there was nothing wrong with what he or she was doing, provides no defence.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McLachlin J. states the following with regard to risk of deprivation: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inclusion of risk of deprivation in </w:t>
      </w:r>
      <w:r>
        <w:rPr>
          <w:rFonts w:ascii="arial" w:eastAsia="arial" w:hAnsi="arial" w:cs="arial"/>
          <w:i/>
          <w:color w:val="000000"/>
          <w:sz w:val="20"/>
          <w:lang w:val="en-US" w:eastAsia="en-US" w:bidi="ar-SA"/>
        </w:rPr>
        <w:t>Olan</w:t>
      </w:r>
      <w:r>
        <w:rPr>
          <w:rFonts w:ascii="arial" w:eastAsia="arial" w:hAnsi="arial" w:cs="arial"/>
          <w:color w:val="000000"/>
          <w:sz w:val="20"/>
          <w:lang w:val="en-US" w:eastAsia="en-US" w:bidi="ar-SA"/>
        </w:rPr>
        <w:t xml:space="preserve"> requires specific comment. The accused must have subjective awareness, at the very least, that his or her conduct will put the property or economic expectations of others at risk. As noted above, this does not mean that the Crown must provide the trier of fact with a mental snapshot proving exactly what was in the accused's mind at the moment the dishonest act was committed. Normally, the inference of subjective knowledge of risk may be drawn from the facts as the accused believed them to be.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McLachlin J. summarized her discussion of the elements of the offence of fraud: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doctrinal observations suggest that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of the offence of fraud will be established by proof of:</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prohibited act, be it an act of deceit, a falsehood or some other fraudulent means; and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deprivation caused by the prohibited act, which may consist in actual loss or the placing of the victim's pecuniary interests at risk.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Correspondingly,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of fraud is established by proof of:</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Subjective knowledge of the prohibited act; and</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Subjective knowledge that the prohibited act could have as a consequence the deprivation of another (which deprivation may consist in knowledge that the victim's pecuniary interests are put at risk).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 conduct and knowledge required by these definitions are established, the accused is guilty whether he actually intended the prohibited consequence or was reckless as to whether it would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The Crown also referred the Court to the following authorities on fraud: </w:t>
      </w:r>
      <w:r>
        <w:rPr>
          <w:rFonts w:ascii="arial" w:eastAsia="arial" w:hAnsi="arial" w:cs="arial"/>
          <w:i/>
          <w:color w:val="000000"/>
          <w:sz w:val="20"/>
          <w:lang w:val="en-US" w:eastAsia="en-US" w:bidi="ar-SA"/>
        </w:rPr>
        <w:t>R. v. Zlatic</w:t>
      </w:r>
      <w:r>
        <w:rPr>
          <w:rFonts w:ascii="arial" w:eastAsia="arial" w:hAnsi="arial" w:cs="arial"/>
          <w:color w:val="000000"/>
          <w:sz w:val="20"/>
          <w:lang w:val="en-US" w:eastAsia="en-US" w:bidi="ar-SA"/>
        </w:rPr>
        <w:t xml:space="preserve">, </w:t>
      </w:r>
      <w:hyperlink r:id="rId715" w:history="1">
        <w:r>
          <w:rPr>
            <w:rFonts w:ascii="arial" w:eastAsia="arial" w:hAnsi="arial" w:cs="arial"/>
            <w:i/>
            <w:color w:val="0077CC"/>
            <w:sz w:val="20"/>
            <w:u w:val="single"/>
            <w:shd w:val="clear" w:color="auto" w:fill="FFFFFF"/>
            <w:lang w:val="en-US" w:eastAsia="en-US" w:bidi="ar-SA"/>
          </w:rPr>
          <w:t>[1993] 2 S.C.R. 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Wolsey</w:t>
      </w:r>
      <w:r>
        <w:rPr>
          <w:rFonts w:ascii="arial" w:eastAsia="arial" w:hAnsi="arial" w:cs="arial"/>
          <w:color w:val="000000"/>
          <w:sz w:val="20"/>
          <w:lang w:val="en-US" w:eastAsia="en-US" w:bidi="ar-SA"/>
        </w:rPr>
        <w:t xml:space="preserve">, </w:t>
      </w:r>
      <w:hyperlink r:id="rId716" w:history="1">
        <w:r>
          <w:rPr>
            <w:rFonts w:ascii="arial" w:eastAsia="arial" w:hAnsi="arial" w:cs="arial"/>
            <w:i/>
            <w:color w:val="0077CC"/>
            <w:sz w:val="20"/>
            <w:u w:val="single"/>
            <w:shd w:val="clear" w:color="auto" w:fill="FFFFFF"/>
            <w:lang w:val="en-US" w:eastAsia="en-US" w:bidi="ar-SA"/>
          </w:rPr>
          <w:t>2008 BCCA 159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Saunders</w:t>
      </w:r>
      <w:r>
        <w:rPr>
          <w:rFonts w:ascii="arial" w:eastAsia="arial" w:hAnsi="arial" w:cs="arial"/>
          <w:color w:val="000000"/>
          <w:sz w:val="20"/>
          <w:lang w:val="en-US" w:eastAsia="en-US" w:bidi="ar-SA"/>
        </w:rPr>
        <w:t xml:space="preserve"> </w:t>
      </w:r>
      <w:hyperlink r:id="rId717" w:history="1">
        <w:r>
          <w:rPr>
            <w:rFonts w:ascii="arial" w:eastAsia="arial" w:hAnsi="arial" w:cs="arial"/>
            <w:i/>
            <w:color w:val="0077CC"/>
            <w:sz w:val="20"/>
            <w:u w:val="single"/>
            <w:shd w:val="clear" w:color="auto" w:fill="FFFFFF"/>
            <w:lang w:val="en-US" w:eastAsia="en-US" w:bidi="ar-SA"/>
          </w:rPr>
          <w:t>(2000), 189 N.S.R. (2d) 43</w:t>
        </w:r>
      </w:hyperlink>
      <w:r>
        <w:rPr>
          <w:rFonts w:ascii="arial" w:eastAsia="arial" w:hAnsi="arial" w:cs="arial"/>
          <w:color w:val="000000"/>
          <w:sz w:val="20"/>
          <w:lang w:val="en-US" w:eastAsia="en-US" w:bidi="ar-SA"/>
        </w:rPr>
        <w:t xml:space="preserve"> (S.C.), aff'd </w:t>
      </w:r>
      <w:hyperlink r:id="rId718" w:history="1">
        <w:r>
          <w:rPr>
            <w:rFonts w:ascii="arial" w:eastAsia="arial" w:hAnsi="arial" w:cs="arial"/>
            <w:i/>
            <w:color w:val="0077CC"/>
            <w:sz w:val="20"/>
            <w:u w:val="single"/>
            <w:shd w:val="clear" w:color="auto" w:fill="FFFFFF"/>
            <w:lang w:val="en-US" w:eastAsia="en-US" w:bidi="ar-SA"/>
          </w:rPr>
          <w:t>2001 NSCA 87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 v. Mercer</w:t>
      </w:r>
      <w:r>
        <w:rPr>
          <w:rFonts w:ascii="arial" w:eastAsia="arial" w:hAnsi="arial" w:cs="arial"/>
          <w:color w:val="000000"/>
          <w:sz w:val="20"/>
          <w:lang w:val="en-US" w:eastAsia="en-US" w:bidi="ar-SA"/>
        </w:rPr>
        <w:t xml:space="preserve">, </w:t>
      </w:r>
      <w:hyperlink r:id="rId719" w:history="1">
        <w:r>
          <w:rPr>
            <w:rFonts w:ascii="arial" w:eastAsia="arial" w:hAnsi="arial" w:cs="arial"/>
            <w:i/>
            <w:color w:val="0077CC"/>
            <w:sz w:val="20"/>
            <w:u w:val="single"/>
            <w:shd w:val="clear" w:color="auto" w:fill="FFFFFF"/>
            <w:lang w:val="en-US" w:eastAsia="en-US" w:bidi="ar-SA"/>
          </w:rPr>
          <w:t>2007 NLTD 84</w:t>
        </w:r>
      </w:hyperlink>
      <w:r>
        <w:rPr>
          <w:rFonts w:ascii="arial" w:eastAsia="arial" w:hAnsi="arial" w:cs="arial"/>
          <w:color w:val="000000"/>
          <w:sz w:val="20"/>
          <w:lang w:val="en-US" w:eastAsia="en-US" w:bidi="ar-SA"/>
        </w:rPr>
        <w:t xml:space="preserve">. The defence relied on the same authorities with respect to fraud. I have reviewed the authorities provided and find that the summary of the law of fraud in </w:t>
      </w:r>
      <w:r>
        <w:rPr>
          <w:rFonts w:ascii="arial" w:eastAsia="arial" w:hAnsi="arial" w:cs="arial"/>
          <w:i/>
          <w:color w:val="000000"/>
          <w:sz w:val="20"/>
          <w:lang w:val="en-US" w:eastAsia="en-US" w:bidi="ar-SA"/>
        </w:rPr>
        <w:t>Théroux</w:t>
      </w:r>
      <w:r>
        <w:rPr>
          <w:rFonts w:ascii="arial" w:eastAsia="arial" w:hAnsi="arial" w:cs="arial"/>
          <w:color w:val="000000"/>
          <w:sz w:val="20"/>
          <w:lang w:val="en-US" w:eastAsia="en-US" w:bidi="ar-SA"/>
        </w:rPr>
        <w:t xml:space="preserve">, with reference to </w:t>
      </w:r>
      <w:r>
        <w:rPr>
          <w:rFonts w:ascii="arial" w:eastAsia="arial" w:hAnsi="arial" w:cs="arial"/>
          <w:i/>
          <w:color w:val="000000"/>
          <w:sz w:val="20"/>
          <w:lang w:val="en-US" w:eastAsia="en-US" w:bidi="ar-SA"/>
        </w:rPr>
        <w:t>Olan</w:t>
      </w:r>
      <w:r>
        <w:rPr>
          <w:rFonts w:ascii="arial" w:eastAsia="arial" w:hAnsi="arial" w:cs="arial"/>
          <w:color w:val="000000"/>
          <w:sz w:val="20"/>
          <w:lang w:val="en-US" w:eastAsia="en-US" w:bidi="ar-SA"/>
        </w:rPr>
        <w:t>, sufficiently addresses the jurisprudence in this area for the disposition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PROOF OF THE ACTUS REUS FOR THEFT AND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At trial many facts were proven by admissions or documents filed with the consent of the defence, including many that otherwise would have been admissible by virtue of the </w:t>
      </w:r>
      <w:r>
        <w:rPr>
          <w:rFonts w:ascii="arial" w:eastAsia="arial" w:hAnsi="arial" w:cs="arial"/>
          <w:i/>
          <w:color w:val="000000"/>
          <w:sz w:val="20"/>
          <w:lang w:val="en-US" w:eastAsia="en-US" w:bidi="ar-SA"/>
        </w:rPr>
        <w:t>Canada Evidence Act</w:t>
      </w:r>
      <w:r>
        <w:rPr>
          <w:rFonts w:ascii="arial" w:eastAsia="arial" w:hAnsi="arial" w:cs="arial"/>
          <w:color w:val="000000"/>
          <w:sz w:val="20"/>
          <w:lang w:val="en-US" w:eastAsia="en-US" w:bidi="ar-SA"/>
        </w:rPr>
        <w:t xml:space="preserve">, </w:t>
      </w:r>
      <w:hyperlink r:id="rId684" w:history="1">
        <w:r>
          <w:rPr>
            <w:rFonts w:ascii="arial" w:eastAsia="arial" w:hAnsi="arial" w:cs="arial"/>
            <w:i/>
            <w:color w:val="0077CC"/>
            <w:sz w:val="20"/>
            <w:u w:val="single"/>
            <w:shd w:val="clear" w:color="auto" w:fill="FFFFFF"/>
            <w:lang w:val="en-US" w:eastAsia="en-US" w:bidi="ar-SA"/>
          </w:rPr>
          <w:t>R.S.C. 1985, c. C-5</w:t>
        </w:r>
      </w:hyperlink>
      <w:r>
        <w:rPr>
          <w:rFonts w:ascii="arial" w:eastAsia="arial" w:hAnsi="arial" w:cs="arial"/>
          <w:color w:val="000000"/>
          <w:sz w:val="20"/>
          <w:lang w:val="en-US" w:eastAsia="en-US" w:bidi="ar-SA"/>
        </w:rPr>
        <w:t>. The identity of the accused, place and time set out in the Indictment, jurisdiction of the Court over the offences, and that the sums involved exceeded $1,000 were admitted. It was also admitted that Mr. Singleton's signatures on documents did not have to be proven unless disputed and none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Documents that proved various financial transactions came from many sources, including the issuer of Canada Savings Bonds, records of bank accounts, bank documents including bank drafts and cheques, and evidence interpreting regular bank practices proven by affidavits from various bank representatives. Other relevant documents came from civil proceedings taken against Mr. Singleton or from the Craven box (which contained documents collected by the custodian the Law Society appointed in 1996 to deal with practice papers found in the basement of Mr. Singleton's former office building and then seized by police). Other activities of Mr. Singleton were testified to by others or were evident in documents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It must be remembered that Mr. Singleton was the sole signing authority on the Estate Account as executor and trustee, on the Trust Account as the trust account associated with his law practice, and on the Winchester Account as he was the sole officer, director, and share holder of 433 Winchester. Each account was at the Nelson branch of a different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In this case there is considerable overlap as between the facts relevant to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for the offences of theft and fraud. Central to both are the largely undisputed and clearly proven activities of Mr. Singleton that moved funds from the secure and well-invested assets of the George Estate to less secure investments not available to be scrutinized by others. When he first collected the assets of the George Estate the funds went into the Estate Account or the Trust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Bank records and other documents show deposits to the Estate Account, opened by Mr. Singleton, totalling $623,428.08. This amount represents the total George Estate assets collected by Mr. Singleton and paid into the Estate Account. The liquidated assets of the George Estate went into the Estate Account, as deposits between May and November 1988, and with one on November 22, 1990. In June 1990 the Estate Account received a further $134,592 related to cashed-in GICs ($134,246) via the Trust Account within a day of their arrival from the Bank of Montreal in Edmonton.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Singleton or his legal assistants made the deposits to the Estate Account. Mr. Singleton as the executor and trustee of the George Estate was able to withdraw funds from that account. Most often, Mr. Singleton used bank drafts to remove funds from the Estate Account, payable to himself "In Trust" or payable to the "Bank of Montreal", which was where the Winchester Account was located. At times he used withdrawal slips signed "M. Singleton, Executor J.A. George." He also issued himself cheques, sometimes sizeable ones, payable to "M.K. Singleton," signed by himself as the executor of the estate of John George. For example, the cheque to pay Mr. Singleton's fees and disbursements dated July 4, 1988, in the amount of $52,520.13, was described as being for "Fees and disbursements, personal [illegible] representative."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From the Estate Account in June 1988 Mr. Singleton paid five $50,000 bequests to each of Mr. George's sisters and $13,040 to the Receiver General, for a total of $263,040.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Bank records, Mr. Singleton's trust account ledger, and documents from other sources prove that in July and September of 1989 Mr. Singleton cashed Canada Savings Bonds belonging to the George Estate totalling $303,974, which went into his Trust Account. He then used those funds to pay specific bequests to two charities and the local hospital totalling $300,000. From the Trust Account the sum of $3,974 remains unaccounted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amounts just referred to (the $263,040 and the $300,000), totalling $563,040, represent the only clearly legitimately paid out funds from the George Estate (in addition to the payment of a few modest bills of the deceased) from a total estate of $1,061,648, leaving approximately $494,633 unaccounted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Singleton moved funds from the Estate Account and the Trust Account into the Winchester Account. On May 1, 1989 Mr. Singleton withdrew $44,000 from the Estate Account and on the same day that exact amount shows as a credit in his Trust Account. The same amount is recorded as a debit the next day. The Winchester Account shows a credit of $44,000 on May 1, 1989.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eight transactions in 1990 Mr. Singleton transferred $193,562.21 of George Estate funds from the Estate Account directly into the Winchester Account, destined for the District Lot. A large portion of these funds ($134,246) represented the last significant infusion of funds received by the George Estate on June 26, 1990 from the cashing in of the GICs from the Bank of Montreal in Edmonton.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As well, I find it proven beyond a reasonable doubt, based on the bank statements for the Estate Account, the ledger cards for 433 Winchester, the draft mortgages recently found by Mr. Singleton, and his testimony on January 25, 2010, that Mr. Singleton also withdrew from the Estate Account a total of $180,000 in five transactions between September 12, 1988 and January 27, 1989 and directed those funds to the District Lot. Those five withdrawals were for: $70,000 on September 12, 1988; $40,000 on September 29, 1988; $20,000 on November 1, 1988; $30,000 on December 12, 1988; and $20,000 on January 27, 1989. (The District Lot was in fact purchased by Mr. Singleton with George Estate funds on September 12, 1988, and owned by 433 Winchester) All but one of these transactions occurred prior to Mr. Singleton opening the Winchester Account on December 16, 1988.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three draft mortgages were between 433 Winchester as mortgagor and "Marvin Kenneth Singleton, Executor of the Estate of John Alexander George" as mortgagee, and they were apparently to be placed on the title of the District Lot by Mr. Singleton, to reflect investment by the George Estate in the District Lot via 433 Winchester. They were dated September 12 (for $70,000), September 29 (for $110,000), and November 1, 1988 (for $130,000), respectively, and were never registered or disclosed to the beneficiaries of the George Estate or their counsel, Mr. Goody. The dates of the draft mortgages correspond to the dates of the first three withdrawals from the Estate Account referred to above. The amounts of the draft mortgages correspond to the cumulative total of amounts withdrawn by Mr. Singleton from the Estate Account in the first three transactions (i.e. $70,000 + $40,000 = $110,000 + $20,000 = $130,000).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find that the transactions moving George Estate funds to Mr. Singleton directly, or indirectly through 433 Winchester, are proven beyond a reasonable doubt. It is proven beyond a reasonable doubt that George Estate funds of $1,061,648 were received but only $563,040 was legitimately paid out by Mr. Singleton, leaving $494,633 unaccounted for. Of the George Estate funds that never found their way to the beneficiaries, Mr. Singleton placed a total of $417,562 into 433 Winchester or directly into the District Lot and its development. This total reflects the transactions just referred to, namely $180,000, $44,000, and $193,562, of which the last two were into the Winchester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addition, the evidence proves beyond a reasonable doubt that Mr. Singleton also billed the George Estate approximately $115,000 as tallied by Mr. Carphin (primarily in fees but with some minimal disbursements), which includes the largest single bill in the amount of $52,520.13, dated July 5, 1988. Mr. Singleton transferred funds from the George Estate to pay the bills he rendered. In addition, Mr. Singleton acknowledged receipt of $29,200, recorded as blended entries for fees and disbursements from funds he placed in 433 Winchester, according to the Winchester Ledger in 1988 and 1989; as well as further amounts by cheque from the Winchester account, totalling $41,288 in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It has also been proven beyond a reasonable doubt, based on the affidavit evidence of the various beneficiaries, that the beneficiaries sustained the losses specified and eventually received compensation funds from the Law Society. In relation to the Salvation Army, counsel for the defence has repeatedly submitted that its $50,000 bequest was paid by Mr. Singleton from the George Estate, which is true of the specific bequest, but not correct in relation to its share of the residuary. No beneficiary received a portion of the residuary until the Law Society paid out the sums in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Therefore, I find it proven beyond a reasonable doubt, as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for theft and fraud in the present case, that Mr. Singleton did not transfer George Estate funds of approximately $494,633 to the remaining beneficiaries of the Will as specific bequests, or into the residue to be divided into shares and delivered to five charities and the local hospital. Those entitled to receive the funds were deprived of them; without the intervention of the Law Society's Special Fund the deprivation would have been permanent. Of the missing funds, a total amount of $417,562 is proven beyond a reasonable doubt to have been paid directly by Mr. Singleton to finance activities on the District Lot, or into the Winchester Account, and expended until the last active balance of the account was -$5.21 as of November 7, 1991. The last active balance in the Trust Account on January 23, 1991 was $35 and the last active balance in the Estate Account on December 31, 1990 was $9.83.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It is proven beyond a reasonable doubt, in the context of conversion of George Estate funds, that Mr. Singleton: failed to follow the direction of the Will and to distribute the assets to the beneficiaries; failed to properly account for the funds; mixed the George Estate funds between the Trust Account, the Estate Account, and the Winchester Account; failed to disclose to others, including the beneficiaries, about the investment in the District Lot, 433 Winchester, and the true size of his legal fees; did not act to protect the funds of the George Estate (the sale of the District Lot for property tax arrears); used the George Estate funds in projects that were high risk (for example, the mountain living community, rice cultivation, horse-logging and logging with significant investment in machinery); used George Estate funds for personal benefit in terms of excessive fees billed, and to further his own interests and aspirations on the District Lot; used his private company, 433 Winchester, to purchase the District Lot and to receive George Estate funds; kept to himself a series of mortgages drafted to reflect the investment of George Estate funds in the District Lot, without registering them or disclosing them to the beneficiaries or their legal counsel; retained a share certificate transferring shares of 433 Winchester to himself as executor and trustee of the George Estate, to reflect its investment in the District Lot, instead of delivering it to the beneficiaries; and transferred funds from the George Estate to places beyond the scrutiny of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In relation to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required for fraud in the present case, the Crown has also proven beyond a reasonable doubt a number of instances in which Mr. Singleton represented to others that the status of the George Estate and his actions as executor and trustee had particular features or were a certain way, when the reality was otherwise. These included false assertions that there were funds left in the George Estate for distribution to the beneficiaries when there were not; that it was the Principal Group litigation and its settlement that was delaying the distribution; and that his legal fees as charged were $18,600 when in fact they were much higher.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In addition, I find that Mr. Singleton failed to disclose accurate information, or engaged in certain practices that were objectively dishonest ("other fraudulent means"), in relation to the beneficiaries or the Court in the proceedings taken by the beneficiaries, when he failed to disclose numerous transfers of George Estate funds to 433 Winchester; the substantial losses of 433 Winchester; the risks associated with his proposed projects on the District Lot; his conflict of interest between his role as executor and trustee and his interest in 433 Winchester and the District Lot; the large personal benefit accruing to him through fees; and the lack of any proper security for the investment of the George Estate funds in the 433 Winchester and the District Lot, namely the share certificate, and the unregistered mortgages, none of which were delivered to the beneficiaries. I find these representations constitute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for the offence of fraud by deceit or falsehood, including consideration of "other fraudulent means," in the context of what reasonable people consider to be dishonest dealing.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In relation to the alleged offence of theft, Mr. Singleton submits that he did not intend to deprive the beneficiaries of their funds from the George Estate, but rather he believed what he did to be within the bounds of the </w:t>
      </w:r>
      <w:r>
        <w:rPr>
          <w:rFonts w:ascii="arial" w:eastAsia="arial" w:hAnsi="arial" w:cs="arial"/>
          <w:i/>
          <w:color w:val="000000"/>
          <w:sz w:val="20"/>
          <w:lang w:val="en-US" w:eastAsia="en-US" w:bidi="ar-SA"/>
        </w:rPr>
        <w:t>Trustee Act</w:t>
      </w:r>
      <w:r>
        <w:rPr>
          <w:rFonts w:ascii="arial" w:eastAsia="arial" w:hAnsi="arial" w:cs="arial"/>
          <w:color w:val="000000"/>
          <w:sz w:val="20"/>
          <w:lang w:val="en-US" w:eastAsia="en-US" w:bidi="ar-SA"/>
        </w:rPr>
        <w:t xml:space="preserve"> and within the four year window of time he believed to be available. He also believed it was necessary to resolve the matter of the George Estate's investment in the failed Principal Group prior to final distribution.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With regard to the alleged offence of fraud, Mr. Singleton does not dispute that he did the various acts alleged, but submits that the Court must have a reasonable doubt regarding his intent to deceive or be dishonest to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EVIDENCE AT TRIAL REGARDING THE SUBSTANTIVE OFFENCES AND ALLEGED CHARTER VIOLATIONS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I propose to first set out the key parts of the Crown's evidence, in a more or less chronological order, keeping in mind that evidence relevant to the defence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applications is interspersed in the testimony of some witnesses. Where useful I will include reference to key documents. I will then refer to the evidence of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It is necessary to have an overview of all the evidence relevant to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to have a sufficient basis upon which to properly assess Mr. Singleton's testimony regarding his actions and intentions in relation to the offences charged. Mr. Singleton's direct evidence covers both his activities in relation to the alleged offences and matters relevant to his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applications. I have included an overview of his direct evidence with regards to the latter in these reasons for completeness, as it is part of his continuing chronology of what he did and where he went after he left Canada to live in the United States and what occurred related to the extradition proceedings. However, I will leave my review of his evidence on cross-examination related to the alleged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violations, and reference to other evidence that is solely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-related for my "Reasons for Judgment - Part 2 -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A summary of the evidence of Dr. Magee and Dr. Smith regarding Mr. Singleton's mental condition and my findings upon it will follow my summary of the defence evidence, including Mr. Singleton's testimony. I will consider separately in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reasons aspects of the psychiatrists' evidence that impact upon my findings regarding Mr. Singleton's mental conditions and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relief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Therefore, I will not, until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reasons, refer to the detailed legal evidence related to the extradition of Mr. Singleton from the U.S. back to British Columbia, and the testimony of the American lawyers, Mr. Semmelman and Mr. McCausland, as to what occurred in Kansas in the extradition proceedings, and their opinions regarding the lawfulness or potential abuse related to Burns affidavit being placed before the extradition judge regarding Mr. Singleton's application for bail pending extradition.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Crown's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The Will and Codicils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Mr. John George was a client of Mr. Singleton. He had an elderly wife for whom he made provision in the first will prepared by Mr. Singleton. This will, dated November 6, 1987, named Mr. Singleton as executor and trustee. In it Mr. George gave $20,000 and the mobile home where they lived to his wife, Melvina, bequests of $25,000 each to four of his sisters, and one bequest of $50,000 to a less financially independent sister. He made bequests to charities and the local hospital, namely $200,000 to the Kootenay Lake District Hospital ("the Hospital"), and bequests of $50,000 each to "the Salvation Army (Food Bank), Nelson" ("the Food Bank"), to "the Cathedral of Mary Immaculate" ("the Cathedral") in Nelson, to "Mother Theresa's Canadian Food for Children" ("Food for Children") in Toronto, and to "the Canadian Cancer Society (British Columbia - Yukon Division)" ("the Cancer Society"). He made a final specific bequest of $25,000 to "The Canadian Red Cross Society" ("the Red Cross") in Nelson. He left Melvina an income of $2,500 per month to be derived from the income of "the Trusts settled herein on the residue." Upon Melvina's death the residue of his estate was to be divided into 14 shares, of which four shares were to go to the Hospital, and two shares each were to go to the Food Bank, the Cathedral, Food for Children, the Cancer Society, and the Red Cross.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This will signed by Mr. George was witnessed by a legal secretary from Mr. Singleton's office and another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Shortly after the will was executed Melvina died. A codicil was prepared by Mr. Singleton and executed on November 26, 1987, raising the specific bequests to the four sisters from $25,000 to $50,000 each and maintaining the prior $50,000 bequest to the fifth sister. Otherwise the terms of the prior will were confirmed. This codicil was witnessed by Mr. Singleton and the same legal secretary.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In the next codicil, dated December 3, 1987, Mr. George specified equipment the Hospital needed, to be purchased from the $200,000 legacy. In other respects he confirmed his prior will. This codicil was also witnessed by Mr. Singleton and the same legal secretary.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the last codicil of his will before he died, dated January 4, 1988, Mr. George changed the provisions for remuneration of his executor and trustee. This was the only change. This codicil was also witnessed by Mr. Singleton and the same legal secretary. In this regard the codicil read:</w:t>
      </w:r>
      <w:r>
        <w:rPr>
          <w:rFonts w:ascii="arial" w:eastAsia="arial" w:hAnsi="arial" w:cs="arial"/>
          <w:sz w:val="20"/>
          <w:lang w:val="en-US" w:eastAsia="en-US" w:bidi="ar-SA"/>
        </w:rPr>
        <w:cr/>
      </w:r>
    </w:p>
    <w:p>
      <w:pPr>
        <w:numPr>
          <w:numId w:val="18"/>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WHEREAS I DIRECT in paragraph 10 of my Last Will and Testament that probate services shall be paid at a rate found appropriate by a taxing officer under the </w:t>
      </w:r>
      <w:r>
        <w:rPr>
          <w:rFonts w:ascii="arial" w:eastAsia="arial" w:hAnsi="arial" w:cs="arial"/>
          <w:color w:val="000000"/>
          <w:sz w:val="20"/>
          <w:u w:val="single"/>
          <w:lang w:val="en-US" w:eastAsia="en-US" w:bidi="ar-SA"/>
        </w:rPr>
        <w:t>Trustee Act</w:t>
      </w:r>
      <w:r>
        <w:rPr>
          <w:rFonts w:ascii="arial" w:eastAsia="arial" w:hAnsi="arial" w:cs="arial"/>
          <w:color w:val="000000"/>
          <w:sz w:val="20"/>
          <w:lang w:val="en-US" w:eastAsia="en-US" w:bidi="ar-SA"/>
        </w:rPr>
        <w:t xml:space="preserve"> if the Estate be contentious for any reason, or if the Executor [...] elects or for any reason does not serve as Trustee. I herewith substitute in place and stead of the said paragraph 10 the following:</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DIRECT that, should my Executor [...] elect to serve also as Trustee in this Will, that the said Executor [...] shall, be paid no fee for probate services, but shall be paid only for disbursements; but that I further direct, that in taxing his [...] accounts for services as Trustee, that any probate services be noted by the taxing officer; PROVIDED THAT, if the Estate be contentious for any reason, or if the Executor [...] elects or for any reason does not serve as Trustee, then these probate services shall be paid at a rate found appropriate by a taxing officer under the </w:t>
      </w:r>
      <w:r>
        <w:rPr>
          <w:rFonts w:ascii="arial" w:eastAsia="arial" w:hAnsi="arial" w:cs="arial"/>
          <w:color w:val="000000"/>
          <w:sz w:val="20"/>
          <w:u w:val="single"/>
          <w:lang w:val="en-US" w:eastAsia="en-US" w:bidi="ar-SA"/>
        </w:rPr>
        <w:t>Trustee Act</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Barristers and Solicitors Act</w:t>
      </w:r>
      <w:r>
        <w:rPr>
          <w:rFonts w:ascii="arial" w:eastAsia="arial" w:hAnsi="arial" w:cs="arial"/>
          <w:color w:val="000000"/>
          <w:sz w:val="20"/>
          <w:lang w:val="en-US" w:eastAsia="en-US" w:bidi="ar-SA"/>
        </w:rPr>
        <w:t>, or other appropriate Rules, statutes and regulations of British Columbia, as may govern the accounts of personal representatives."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Will was comprised of the initial will and the three codicils, all drawn by Mr. Singleton. As a witness to the Will, Mr. Singleton was not permitted by law to take from the George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Mr. George died on March 30, 1988.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Probate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Probate was granted to Mr. Singleton as the sole executor of the George Estate on May 27, 1988. Mr. Singleton's Affidavit of Executor was sworn on May 26, 1988, and in it he swears to "administer according to law all of the estate which by law devolves to and vests in the personal representative of the deceased," and that he "will exhibit a true and perfect inventory of the estate and render a just and true account thereof whenever required by law to do so." In the attached "schedule of personal property" he listed Mr. George's many accounts and investments, including an investment of $42,286 in First Investors Corp., a company in the Principal Group. The gross value of the George Estate as listed was $1,038,177.54.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The Beneficiaries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Mr. Singleton paid the five sisters their bequests of $50,000 each, and paid to the Receiver General $13,040.66 in taxes (for a total of $263,040.66) by bank drafts from the Estate Account dated June 28, 1988.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From proceeds obtained by cashing in Canada Savings Bonds owned by Mr. George and paid into the Trust Account at the CIBC (July 6, 1989: $83,293.75; September 14, 1989: $220,680.26), Mr. Singleton paid $50,000 to the Cathedral on July 6, 1989 and $50,000 to the Food Bank (Salvation Army) on August 11, 1989. He paid $200,000 on September 15, 1989 to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Other than the above, the payment of a few modest debts of Mr. George, and payment to himself various amounts for fees and disbursements, Mr. Singleton did not pay out any further funds due to beneficiaries or residual beneficiaries as required by the Will. The result was that no shares of the residual bequests were paid to the Hospital or any of the other named charities. As well, the Cancer Society and Food for Children did not receive their specific bequests of $50,000 each, and the Red Cross did not receive its specific bequest of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In time those who did not receive their specific and/or residual bequests began to inquire of Mr. Singleton, who responded by letter:</w:t>
      </w:r>
      <w:r>
        <w:rPr>
          <w:rFonts w:ascii="arial" w:eastAsia="arial" w:hAnsi="arial" w:cs="arial"/>
          <w:sz w:val="20"/>
          <w:lang w:val="en-US" w:eastAsia="en-US" w:bidi="ar-SA"/>
        </w:rPr>
        <w:cr/>
      </w:r>
    </w:p>
    <w:p>
      <w:pPr>
        <w:numPr>
          <w:numId w:val="1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Mr. D.C. McEwan, a lawyer, who inquired on behalf of the Cathedral on October 15, 1988: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will is composed of legacies, and a Trust leading to residuary distribution. While the Trust period now will be shortened and fairly firm projections, as to the distribution can be made, the Estate includes assets which, as I took the liberty of briefly mentioning to your client, include investments in the Principal Group of Companies; also a family-related account now being sorted out by Alberta counsel; also the Estate accountant has noted the optimum handling of bonds and other tax-related matters, all with a view to maximizing the (Trust) distribution.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Presently I anticipate that Payment of all legacies (see p. 3 of the will) will be completed about July of 1989. As for the Trust phase (which shares with the legacy-distribution phase constraints as to forms of investments, maturation of term deposits, optimum bond redemption, sale of mobile home, etc.) that is very difficult for me to estimate, until I have further conferred with an accountant, and until the Principal Group, and some other matters, resolve. I will report to you on this end, as soon as I can project some better figures.</w:t>
      </w:r>
      <w:r>
        <w:rPr>
          <w:rFonts w:ascii="arial" w:eastAsia="arial" w:hAnsi="arial" w:cs="arial"/>
          <w:color w:val="000000"/>
          <w:sz w:val="20"/>
          <w:lang w:val="en-US" w:eastAsia="en-US" w:bidi="ar-SA"/>
        </w:rPr>
        <w:t xml:space="preserve"> You yourself could approximate the final distribution amounts by:</w:t>
      </w:r>
    </w:p>
    <w:p>
      <w:pPr>
        <w:numPr>
          <w:numId w:val="20"/>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noting the shares of residuary gifts;</w:t>
      </w:r>
    </w:p>
    <w:p>
      <w:pPr>
        <w:numPr>
          <w:numId w:val="21"/>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positing 12% investment income annually;</w:t>
      </w:r>
    </w:p>
    <w:p>
      <w:pPr>
        <w:numPr>
          <w:numId w:val="22"/>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regarding the Principal Group, although the Estate certainly is following developments closely, I would not rely on the recovery of the inventoried investment.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[Emphasis added.]</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Mr. Jack Miller, the Hospital administrator, who inquired as to when its $200,000 bequest to use for equipment would be available (it was subsequently paid), dated February 28, 1989: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timing of the legacy payout therefore is now influenced by the forms investments, maturation of term deposits, and optimum bond redemption as advised, from the Estate accountant, I understand that your equipment purchase funds ($200,000) will be available late June, and </w:t>
      </w:r>
      <w:r>
        <w:rPr>
          <w:rFonts w:ascii="arial" w:eastAsia="arial" w:hAnsi="arial" w:cs="arial"/>
          <w:color w:val="000000"/>
          <w:sz w:val="20"/>
          <w:u w:val="single"/>
          <w:lang w:val="en-US" w:eastAsia="en-US" w:bidi="ar-SA"/>
        </w:rPr>
        <w:t>your residue entitlement shares may be available as early as the Fall of 1989 (though I am less certain as to this, and some of the funds were invested by Mr. George in the "Principal Group" which may mean that final payment of the entire residuary is not such a simple matter as are the legacies.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[Emphasis added.]</w:t>
      </w:r>
      <w:r>
        <w:rPr>
          <w:rFonts w:ascii="arial" w:eastAsia="arial" w:hAnsi="arial" w:cs="arial"/>
          <w:sz w:val="20"/>
          <w:lang w:val="en-US" w:eastAsia="en-US" w:bidi="ar-SA"/>
        </w:rPr>
        <w:cr/>
      </w:r>
    </w:p>
    <w:p>
      <w:pPr>
        <w:numPr>
          <w:numId w:val="2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Mr. D.C. McEwan, on behalf of the Cathedral, dated June 23, 1989, inquiring to whom the cheque for $50,000 should be made, and stating: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In brief reply, the Estate distribution timing remains as described in my letter of October 1988.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I will report in more detail by the first week of July, as I expect more information concerning the "Principal Group" and other investments by that date, as these materials are being marshalled for the Revenue Canada current return.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[Emphasis added.]</w:t>
      </w:r>
      <w:r>
        <w:rPr>
          <w:rFonts w:ascii="arial" w:eastAsia="arial" w:hAnsi="arial" w:cs="arial"/>
          <w:sz w:val="20"/>
          <w:lang w:val="en-US" w:eastAsia="en-US" w:bidi="ar-SA"/>
        </w:rPr>
        <w:cr/>
      </w:r>
    </w:p>
    <w:p>
      <w:pPr>
        <w:numPr>
          <w:numId w:val="2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Father Pfliger, on behalf of the Cathedral, dated July 6, 1989, advising that he may come by to pick up the cheque for $50,000 and stating: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It is noted that the Cathedral remains a residuary beneficiary on shares as directed by the Will, and that the payment of this will have to await the unravelling of investments (e.g., the "Principal" Group problem being worked on in Alberta, and the optimum maturation of other funds, as will be reported to your counsel.</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[Emphasis added.]</w:t>
      </w:r>
      <w:r>
        <w:rPr>
          <w:rFonts w:ascii="arial" w:eastAsia="arial" w:hAnsi="arial" w:cs="arial"/>
          <w:sz w:val="20"/>
          <w:lang w:val="en-US" w:eastAsia="en-US" w:bidi="ar-SA"/>
        </w:rPr>
        <w:cr/>
      </w:r>
    </w:p>
    <w:p>
      <w:pPr>
        <w:numPr>
          <w:numId w:val="2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Mr. Jack Miller, the Hospital administrator, dated September 14, 1989, enclosing a trust cheque for $200,000, and stating the following: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Kootenay Lake District Hospital's participation in the residuary of the Estate, remains, of course, and I will report to you, on or about November 30, 1989, as to the probable timing of that distribution as it then appears.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[Emphasis added.]</w:t>
      </w:r>
      <w:r>
        <w:rPr>
          <w:rFonts w:ascii="arial" w:eastAsia="arial" w:hAnsi="arial" w:cs="arial"/>
          <w:sz w:val="20"/>
          <w:lang w:val="en-US" w:eastAsia="en-US" w:bidi="ar-SA"/>
        </w:rPr>
        <w:cr/>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Mr. Jack Miller, the Hospital administrator, dated August 13, 1990, (quoted in full with Mr. Goody's evidence) which stated in part: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I am anxious myself to pass and if necessary tax my accounts, as you might imagine. The only other aspect is to render on a timely basis all assets liquid, and that is not going to create any difficulty.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I anticipate at this time that the residue may be available by November, 1990, noting with regret the delay was greater than I anticipated, and I will report further.</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[Emphasis added.]</w:t>
      </w:r>
      <w:r>
        <w:rPr>
          <w:rFonts w:ascii="arial" w:eastAsia="arial" w:hAnsi="arial" w:cs="arial"/>
          <w:sz w:val="20"/>
          <w:lang w:val="en-US" w:eastAsia="en-US" w:bidi="ar-SA"/>
        </w:rPr>
        <w:cr/>
      </w:r>
    </w:p>
    <w:p>
      <w:pPr>
        <w:numPr>
          <w:numId w:val="3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Mr. Jack Miller, the Hospital administrator, dated April 30, 1991, now no longer written on his letterhead as a barrister and solicitor, but as "M.K. Singleton, Ph.D. Agency - Editorial Services":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Re: Residuary Distribution - Estate of J.A. George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Thank you for your recent inquiry as to progress towards distribution (final) of the above captioned estate. I note that further to my letter of August, 1990, the Estate's negotiations to obtain settlement of the "Principal Group" investment, by focusing solely on Alberta Province, was a little optimistic as to timing.</w:t>
      </w:r>
      <w:r>
        <w:rPr>
          <w:rFonts w:ascii="arial" w:eastAsia="arial" w:hAnsi="arial" w:cs="arial"/>
          <w:color w:val="000000"/>
          <w:sz w:val="20"/>
          <w:lang w:val="en-US" w:eastAsia="en-US" w:bidi="ar-SA"/>
        </w:rPr>
        <w:t xml:space="preserve"> While Alberta committed to settlement in late November, there remaining 2 other provinces who "waiting to see" as to Alberta's offer.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Within the past month these 2 other hold-out Provinces have proposed settlement, thereby, subject to some final accounting (and final tax returns) and the taxation of my executor's account, the Estate can look forward to passing of all accounts prior to Autumn. I am always hesitant to promise an exact time of distribution</w:t>
      </w:r>
      <w:r>
        <w:rPr>
          <w:rFonts w:ascii="arial" w:eastAsia="arial" w:hAnsi="arial" w:cs="arial"/>
          <w:color w:val="000000"/>
          <w:sz w:val="20"/>
          <w:lang w:val="en-US" w:eastAsia="en-US" w:bidi="ar-SA"/>
        </w:rPr>
        <w:t xml:space="preserve"> because this may be woven into someone's final year budgeting, and given the built-in exigencies of this Estate and the almost "political" kinds of negotiation accompanying the Principal Group problem, it would have been imprudent to have committed to any beneficiary's fiscal year expectancies.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[Emphasis added.]</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Mr. Goody, a Nelson lawyer retained by the Hospital, dated October 22, 1991, in which he indicates he is likely to have an interim accounting ready in November (1991) and a final passing of accounts in February 1992. (The text of this letter is included in Mr. Goody's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Mr. Richard Dietrich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Mr. Dietrich is a Certified General Accountant. He was qualified to provide expert opinion evidence to the Court in relation to accounting, financial planning, and tax accounting.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Mr. Dietrich was with the accounting firm of Exner and Dietrich when, by letter dated April 15, 1988, Mr. Singleton sought to retain him to perform accounting services in relation to the George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Mr. Dietrich responded by letter dated April 19, 1988, setting out the terms of their engagement, to which Mr. Singleton agreed. They corresponded and exchanged information about the George Estate, including its assets and tax liabilities.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On May 12, 1988 Mr. Dietrich sent Mr. Singleton a detailed listing of the assets and liabilities of the George Estate, which included reference to an investment in a Principal Group company, First Investors Corporation of $55,000, and a notation that the "assets of this company were frozen in June 1987 and a receiver was appointed. The realizable value of this certificate at the date of death is unknown." He tallied the contents of this inventory in court and advised that it was $925,000.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Also bearing the date of May 12, 1988, Mr. Dietrich sent a letter advising Mr. Singleton about investing the assets of the George Estate,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You have asked for our advice as to the investment of the assets of the estate after you receive letters of administration.</w:t>
      </w:r>
      <w:r>
        <w:rPr>
          <w:rFonts w:ascii="arial" w:eastAsia="arial" w:hAnsi="arial" w:cs="arial"/>
          <w:color w:val="000000"/>
          <w:sz w:val="20"/>
          <w:lang w:val="en-US" w:eastAsia="en-US" w:bidi="ar-SA"/>
        </w:rPr>
        <w:t xml:space="preserve"> Our recommendations are as follows:</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Canada Savings Bonds, if redeemed, should be redeemed at the beginning of a month. This is because the Government of Canada will not pay interest for the month in which the bonds are redeemed. The bonds are earning approximately $2,000 interest per month and at 9% represents a very good return and is a very safe investment.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Consideration should be given to the distribution of these assets in kind.</w:t>
      </w:r>
    </w:p>
    <w:p>
      <w:pPr>
        <w:numPr>
          <w:numId w:val="4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guaranteed investment certificates and term instruments are currently paying interest ranging from approximately 7.25% to 9%. Redemption of these certificates prior to maturity often results in a reduced interest rate being paid. A number of these instruments are maturing in late May and early June 1988. Our suggestion would be to let these instruments mature and then instruct the institutions to forward the amounts to Nelson.</w:t>
      </w:r>
    </w:p>
    <w:p>
      <w:pPr>
        <w:numPr>
          <w:numId w:val="4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bank accounts and proceeds from the matured certificates will earn a much better return and will be more liquid if they are invested in a Government of Canada obligation such as treasury bills or bonds, as opposed to term deposits at any of the banks.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u w:val="single"/>
          <w:lang w:val="en-US" w:eastAsia="en-US" w:bidi="ar-SA"/>
        </w:rPr>
        <w:t>An Interest differential of 1% on an estate of this size can mean significantly more income for the beneficiaries. Of course, the safety of the principal is of the utmost importance as you are a steward of these assets. This is why we recommend T-bills or Bonds, as it is generally agreed that the Government of Canada represents the safest of investments.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Your choice of T-Bills or Bonds will be dependant [sic] on the time frame you are looking at prior to a distribution of assets. Generally T-Bills would be preferred if the estate is to be wound up in the near term.</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 call to Midland Doherty May 12, 1988 indicates that T-Bills are currently paying about 8 3/4% and can be cashed in at any time.</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Obviously you will need near cash to pay estate debts and fees as they come due. For this, you should consider putting a sufficient amount in some type of a money market fund, which currently pays approximately 8% (whereas chequing savings accounts will probably pay in the range of 6%). Since the amount invested in this is a much smaller amount, an interest spread of 2% does not amount to a lot of money.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We hope the above information provides some guidance in the safe and profitable investment of the estate's assets.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On June 28, 1988 Mr. Singleton sent a letter to Mr. Dietrich, marked "BY HAND," in which he thanked him for his recommendations and analysis to date regarding the George Estate.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formulated a three-year-income-tax format, due to Canada Bonds holdings.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wish in a review of investments (Trustee Act options), to have a brief sketch, showing the values, making retention of the Bond portfolio recommended: </w:t>
      </w:r>
      <w:r>
        <w:rPr>
          <w:rFonts w:ascii="arial" w:eastAsia="arial" w:hAnsi="arial" w:cs="arial"/>
          <w:color w:val="000000"/>
          <w:sz w:val="20"/>
          <w:u w:val="single"/>
          <w:lang w:val="en-US" w:eastAsia="en-US" w:bidi="ar-SA"/>
        </w:rPr>
        <w:t>i.e., how would a competing investment have to perform annually, to overcome cash-in, and tax, penalties?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On August 2, 1988 Mr. Dietrich wrote to Mr. Singleton outlining the three tax returns that must be filed in relation to the George Estate for 1988, and indicated that once an amendment to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xml:space="preserve"> received Royal Assent he would attend to the filing of the required returns. He asked Mr. Singleton to provide "any information you could provide, that in any way relates to the income tax matters of the estate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On April 13, 1989 Mr. Dietrich wrote that he had contacted Mr. Singleton's office twice previously and was writing to remind him of the April 30 deadline for the filing of 1988 personal income tax returns, in terms of his own personal return and the George Estate return, and seeking information regarding income amounts for the latter in 1988. Mr. Dietrich then prepared a 1988 tax return for the George Estate and sent a copy and his bill to Mr. Singleton. A refund was due.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On June 27, 1989 Mr. Singleton sent a letter delivered "BY HAND" to Mr. Dietrich referring to the accounting engagement for the George Estate in which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There has been increasing difficulty, as I am still in the midst of confirming legacy payouts, and accounts generally, in the George Estate. I can not let the file go, and I cannot connect with your assistant, so I will prepare the Estate Tax Return in this office, to meet the filing deadline. So return any George Estate file as to Revenue Canada and this ends for the time being your work on the George Estate.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also have arranged to have Ms. Moyse C.G.A., prepare this year's Financial Statements; and she advises that she will require your working papers. I will send any further authorizations in this matter.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 you for your past services and I may have the "Form N" again prepared though I understand that it is no longer called "Form 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On the same day, June 27, 1989, Mr. Dietrich sent a letter to Mr. Singleton enclosing a worksheet "which may help in the reporting of incomes on the two returns to be filed." In his letter, delivered by messenger, Mr. Dietrich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In response to your letter of June 27, 1989 I am returning any tax related documents with respect to the George Estate. I find it most unusual that you choose to have the returns prepared elsewhere at this late stage and cannot see how the best interests of the beneficiaries are being served by doing it in this fashion.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prepared the date of death return and have initiated planning to file a Rights and Things return and the T3 trust information return, which is due June 28, 1989. (The Rights and Things return is due 90 days after the mailing of the notice of assessment for the 1988 tax return, so there is still time available).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On June 30, 1989 Mr. Dietrich sent a further account for preliminary work in preparation of filing the trust information return, followed by a letter to Mr. Singleton, dated July 17, 1989, enclosing the refund cheque for $10,725.04, "which represents refunded instalments on our filing of the date of death tax return." He reminded Mr. Singleton that there were filings on behalf of the estate to be completed, and specifically the "right-in-things" tax return was to be filed by October 10, 1989, or penalties would be imposed.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Mr. Dietrich reviewed aspects of the above correspondence in court. He advised that his firm prepared the 1987 return and the 1988 terminal return for Mr. George. Mr. Dietrich recalled that he worked on the rights-and-things return, but his firm's involvement was terminated one day before the first George Estate trust tax return was due to be filed. He was of the view that the inability to determine a market value of one asset should not preclude a distribution of other assets according to the will. He considered Mr. George's investment portfolio at the time of his death to be very conservative, comprised of interest-bearing investments with guarantees, and without any common stock or anything of that nature. When he was asked by Mr. Singleton to prepare an investment strategy for the George Estate prior to distribution he said the guiding principles were conservative, low risk investments, with an eye to a distribution as and when required, and in line with the </w:t>
      </w:r>
      <w:r>
        <w:rPr>
          <w:rFonts w:ascii="arial" w:eastAsia="arial" w:hAnsi="arial" w:cs="arial"/>
          <w:i/>
          <w:color w:val="000000"/>
          <w:sz w:val="20"/>
          <w:lang w:val="en-US" w:eastAsia="en-US" w:bidi="ar-SA"/>
        </w:rPr>
        <w:t>Trustee Act</w:t>
      </w:r>
      <w:r>
        <w:rPr>
          <w:rFonts w:ascii="arial" w:eastAsia="arial" w:hAnsi="arial" w:cs="arial"/>
          <w:color w:val="000000"/>
          <w:sz w:val="20"/>
          <w:lang w:val="en-US" w:eastAsia="en-US" w:bidi="ar-SA"/>
        </w:rPr>
        <w:t>. He understood the primary role of a testamentary trust to be the protection of assets and the effective distribution of the estate within the terms of the will. Mr. Dietrich said he was surprised by Mr. Singleton's assertion that he could not get in touch with staff at his office given the number of staff and how close their office was to Mr. Singleton's.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Mr. Dietrich was asked a number of hypothetical questions about a logging operation, the development of a mountain living community, or rice farming in the area around Nelson. He indicated that a logging operation was not consistent with his recommendations to Mr. Singleton for the estate because it was not conservative, difficult to convert into cash, and capital intensive in terms of the machinery required, which tended to depreciate quickly. A real estate development required a number of years to become financially viable, the economy could change over time, and typically required additional funds and an experienced management team. He also indicated that rice farming would be a risky new venture for many of the same reasons. He indicated that at the beginning of a new venture management is key, and if one is investing one's own money, one must take an active role to protect the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On cross examination Mr. Dietrich was asked a number of questions about the economy of Nelson and area over the years and its "ups and downs." He agreed that logging operations can be "very tricky" small businesses. He also agreed that in making investment recommendations to Mr. Singleton on May 12, 1988, he did not specifically refer to the </w:t>
      </w:r>
      <w:r>
        <w:rPr>
          <w:rFonts w:ascii="arial" w:eastAsia="arial" w:hAnsi="arial" w:cs="arial"/>
          <w:i/>
          <w:color w:val="000000"/>
          <w:sz w:val="20"/>
          <w:lang w:val="en-US" w:eastAsia="en-US" w:bidi="ar-SA"/>
        </w:rPr>
        <w:t>Trustee Act</w:t>
      </w:r>
      <w:r>
        <w:rPr>
          <w:rFonts w:ascii="arial" w:eastAsia="arial" w:hAnsi="arial" w:cs="arial"/>
          <w:color w:val="000000"/>
          <w:sz w:val="20"/>
          <w:lang w:val="en-US" w:eastAsia="en-US" w:bidi="ar-SA"/>
        </w:rPr>
        <w:t>. When asked about rice farming, Mr. Dietrich said that he considered it to be "a pretty exotic and unproven investment in these parts."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Ms. Karen Shacher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Ms. Shacher worked as a legal assistant for Mr. Singleton from about 1985 to 1988. Ms. Shacher took this employment right after legal secretary training. Prior to working for Mr. Singleton, she worked for another lawyer in the same office, Mr. Layfield. Ms. Shacher recalled other secretaries, including Ms. Kettlewell, who came and went. For a time, she, Mr. Singleton, and an articling student were the only people in the office. Then another secretary named Sue Dehen was hired and later left. (Ms. Dehen witnessed the original George will and all three codicils.) When Ms. Shacher left she recalled that another secretary had been hired to take her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Ms. Shacher said that by the end of her employment she did all the general office secretarial duties, including the book keeping and banking, and the filing of documents at the court house. Although she had no formal training as a book keeper, she said she was carefully trained by Ms. Kettlewell and that she would ask Mr. Singleton's accountant for help. When she prepared invoices for billing clients, she recalled that Mr. Singleton would have filled in time slips and she would tally those up, or he would give her a summary of the work done and she would type up an invoice. She could not recall if she saw any time slips in the office relating to the George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Ms. Shacher recognized the invoice dated July 5, 1988, addressed to "Mr. John A. George, Deceased c/o Marvin K. Singleton Personal Representative and Trustee of the Estate of John A. George, Deceased," listing a variety of professional services rendered for a lump sum fee of $52,520.13 and signed by Mr. Singleton. She told the Court that she believed this was the invoice that she spoke to him about as she found it odd that it was for such a large amount. She said she was usually the kind of secretary who just did as she was told, but when she inquired about this invoice, he did not answer her question very well. He pulled some books off the shelf and she did not know what he was trying to say as "he often spoke over my head." Ms. Shacher said at that time she was working alone in the office and she felt uncertain and scared. She took steps to leave as she was not comfortable working there with her name all over the books. She said she left within a few months, perhaps November of that year. She also recognized her handwriting on a receipt recognizing payment of that invoice.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Ms. Shacher also recognized her writing on a further invoice rendered to the George Estate by Mr. Singleton for $12,000 in fees, dated November 26, 1988. This account was "RE: INTERIM LITIGATION/TRUSTEE FEE ACCOUNT*" and included the reference "To review and all briefing of principal trust investment proceedings; ..." The "*" is stated at the bottom of the page to mean "Subject to taxation." A receipt for $12,000, dated November 25, 1988, was associated with this invoice acknowledging payment from the Estate Account into the Trust Account, as was a second receipt bearing the same date reflecting a transfer of $12,000 from the Trust Account to Mr. Singleton's general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Ms. Shacher also recognized her entries on the George Estate ledger card, which recorded the monies coming in and going out, with her last entry being dated November 25, 1988.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Ms. Shacher recognized one Royal Bank draft payable "In Trust M. K. Singleton," dated June 27, 1988 for $16,000 and marked "Re Estate of John A. George", shown as trust funds received on the George Estate ledger card. She also reviewed the same ledger card and indicated that there were no entries indicating that funds had been received into the Trust Account for three further Royal Bank drafts payable to M. K. Singleton In Trust: one for $20,000 dated November 1, 1988; one for $70,000 without a date on the front but shown to be deposited to the CIBC in Nelson on September 13, 1988; and one dated September 29, 1988, for $40,000. Ms. Shacher said that had she known about these receipts of funds she would have recorded them in the George Estate ledger. (These amounts correspond to the amounts of the first three unregistered draft mortgages prepared by Mr. Singleton, said to reflect the George Estate's investment in the District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She recognized the name "433 Winchester" as one of Mr. Singleton's files, possibly a logging company that she had very little to do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On cross-examination Ms. Shacher agreed that at the end of each month she would have had to reconcile the trust ledgers, and so she "guessed" that if money was deposited into the bank account it would have to be reconciled at the end of the month, but she also agreed this was all a long time ago. In relation to the large bill ($52,520.15) Mr. Singleton rendered to the George Estate, Ms. Shacher agreed that the other secretary in the office worked on that file and that there were actual efforts undertaken by Mr. Singleton in relation to that estate. She also agreed that the ledger card shows an entry on August 9, 1989, that appears to be a payment of $50,000 to the Salvation Army. When it was put to her that her recollection of events had been coloured by the negative articles about Mr. Singleton that had appeared in the local press, Ms. Shacher said she rarely looked at the Nelson Daily News, but someone must have mentioned the articles about Mr. Singleton to her. She said she knew a few people who knew him but she really had very minimal knowledge about the allegations against him. In terms of her work relationship with Mr. Singleton, she said they were both in the office every day, and their conversations were minimal. She did the work she was instructed to do by him and she only remembered the conversation about the $52,000 bill because that was the day she decided that she could not stay there. When asked if she remembered 433 Winchester purchasing lands with funds from the George Estate, Ms. Shacher recalled some "strange activity" with the funds of the George Estate, and believed she remembered the purchase of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Found by Mr. Singleton over the winter break during the trial after Ms. Shacher had testified was her letter to him resigning from her position effective November 28, 1988. In the letter she thanked him for the "great learning experience" working with him over the previous two and a half year and for the "unique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Ms. Charlene Bonderoff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Ms. Bonderoff, who used to have Carson as her surname, started working for Mr. Singleton as a legal secretary in his law office in September 1988 when she was 19 years old. She said she was the main secretary and "we did family, estate, civil litigation, land transfers, and mobile home transfers." She did typing and bookkeeping. Although she had no formal training as a book keeper, Ms. Shacher showed her what to do and Mr. Singleton showed her if she had questions. She recalled that during the time she was there, there were number of other secretaries, including a Laura Mooney, who married Jay Mooney. She recalled that Mr. Mooney was the supervisor of the logging company 433 Winchester. Ms. Bonderoff did the payroll for 433 Winchester at the direction of Mr. Mooney or Mr. Singleton, and recalled writing cheques for the purchase of equipment. She also did the book keeping for the George Estate. She recognized a bill to the "J.A. George Estate," dated April 25, 1990, for $2,500 in fees, rendered by Mr. Singleton. This bill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PROFESSIONAL SERVICES RENDERED SUBSEQUENT TO February 28, 1990, AND ANCILLARY TO THE FOLLOWING: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Review of investments, including real estate (Aspen high estate concept) marketing research; all attendances re: D.L. 11734 and review of Clients equity in light of development; to review of Principal Investments legal proceedings case research re: Cormie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Ms. Bonderoff said that her instructions from Mr. Singleton regarding billing were quite often written on a piece of paper that listed various activities, and she did not recall seeing time slips when she worked for Mr. Singleton.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Ms. Bonderoff recognized another invoice to the George Estate dated July 1, 1989, for $5,500 in fees and $76.09 in disbursements, signed by Mr. Singleton in which the services described were: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Review of Principal Group litigation (insolvency and investigative) proceedings; to all attendances and review of investments; to preparing tax (1989 and filing return; to review of file with accountant; to all attendances in repeat of legacies, including correspondence reporting, and payment out; to drawing of receipts and acknowledgments; to sale of chattels (mobile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Ms. Bonderoff recognized her writing in entries on the George Estate ledger cards during the period from December 2, 1988 to the last entry on October 2, 1990, except for several entries in 1989.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Ms. Bonderoff also recognized her signature as witness to Mr. Singleton's signature as "transferor" on the 433 Winchester share certificate issued by Mr. Singleton, dated April 3,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On cross-examination, Ms. Bonderoff recognized her entry in the George Estate ledger on August 9, 1989 regarding payment to the Salvation Army of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Ms. Bonderoff also admitted that she had since worked for other lawyers who sometimes gave her time slips when preparing bills and sometimes not. She also agreed that it was easy to get mixed up with trust accounting and that everyone has to work to straighten things up and that each year there had to be an audit. She agreed that when she worked for Mr. Singleton and then for other lawyers an auditor would be brought in to prepare a trust report to be sent to the Law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When it was put to her that she might have seen inflammatory press about Mr. Singleton she said she was not aware of matters that had occurred in 1994, as she has always lived in Salmo and she was preoccupied with her family. She also agreed that Salmo was higher, snowier, and colder than Nelson and 1,200 people live there, in comparison with the District Lot as a potential mountain living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On re-examination, Ms. Bonderoff said that while she may have written out the cheque to the Salvation Army, Mr. Singleton had the signing authority on that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The Purchase of the District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By way of a land transfer executed on September 8, 1988, and registered on September 12, 1988, "433 Winchester Management Corporation" purchased the District Lot for $55,000. The transfer document was presented by Mr. Singleton, Barrister and Solicitor, and signed by Ms. Shacher as his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Mr. Jay Mooney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Mr. Mooney, born in 1945 in New Brunswick, had experience as a logger, a welder, and a boiler maker. He met Mr. Singleton in 1982 or 1983 when they were both involved in litigation pertaining to an unrelated estate (the Adams estate). Mr. Mooney also did some accounting-type work and prepared Mr. Singleton's incomes taxes for approximately 1981 and 1982. He said he and Mr. Singleton were very good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During conversations Mr. Mooney had with Mr. Singleton, Mr. Singleton indicated he had a property that he was interested in having logged and wanted Mr. Mooney to have a look at it. At that time, Mr. Mooney understood that the property, the District Lot, belonged to him or his company. Mr. Mooney became the superintendent in charge of logging the District Lot and did whatever Mr. Singleton asked him to do with the land. He started to work on the District Lot in the fall of 1988 and finished at the end of October 1991. Mr. Mooney indicated that he was to be paid $1000 per month for his services, but said he did not get that every month as sometimes, "it just didn't happen." Mr. Mooney said the District Lot was past to Blewett and about a 20 minute drive from Nelson if there was no snow.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Mr. Mooney lived on the property from October 1988 to October 1991. He said the District Lot is at an altitude of slightly under 4000 ft. and that Nelson is at 1500 ft. Mr. Mooney said that the snow would start at the District Lot at the end of October and disappear at the end of May or the beginning of June, and that they usually had 14 to 16 ft. of snow.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Mr. Mooney described the rural road into the District Lot and the logging operation they had done by a logging contractor, commencing October 1988 and completed by June 1989. He said Mr. Singleton had a D6 cat that was used for logging, for building some trails and roads, and some skidding. In June 1990 Mr. Singleton bought a D8 cat tractor that was purchased in Spokane and brought back to Nelson. It was used for road work, to clear stumps, and in the winter to keep the road open. Mr. Mooney described how they built a cabin, a barn, and storage shed on the District Lot, and then how they put a second story on the cabin. He said Mr. Singleton paid for supplies and he paid for some as well. Mr. Mooney recalled that at one time he filed a claim against the District Lot for his labour and the materials he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Mr. Mooney said that with the machinery and the horses he was actively looking for work and he tried unsuccessfully to bid on several properties but lost them. He also recalled that they had the equipment listed with the Ministry of Forests for any work they might have, but Mr. Mooney did not recall any calls or contracts. Except for a rental of some logging equipment to a company logging in Crawford Bay, Mr. Mooney said that they did not get much work. He did other jobs and ultimately went to work for another company from the end of December 1990 to the spring of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Mr. Mooney recalled that Mr. Singleton insisted that the landings they used to skid logs be made to look like building sites. Mr. Mooney put in top soil in so the landings looked attractive. He said that the road permitted a car to drive up there. Mr. Singleton was seeding the District Lot with clover and other grasses and talked about planting grape vines. Mr. Mooney said he grew a garden beside the cabin. Mr. Mooney did not recall details from Mr. Singleton about a residential community on the District Lot, but once he found out how expensive it would be to run electricity up to the property Mr. Singleton showed Mr. Mooney how they could get a small power unit for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Mr. Mooney said he was interested in living at the District Lot at one time, but then once he had a wife and a child his wife became less eager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During his time working for Mr. Singleton Mr. Mooney received several handwritten letters with instructions. The letters are in evidence. On June 27, 1990 Mr. Singleton sent him detailed instructions about planned planting and landscaping work at the District Lot, which, if "the dirt's in place," involved the planting of grapes, kiwi, apple trees, and shrubs. Mr. Singleton was to be seeding. In that letter Mr. Singleton also proposed an hourly wage rate for "Tara" to work on the District Lot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next letter to Mr. Mooney from Mr. Singleton is dated January 29, 1991. It is evident that the development of the District Lot had encountered financial problems. Mr. Singleton makes reference to there being insufficient funds to pay someone for two days carpentry, but that he knows him well enough to ask him to wait. Mr. Singleton writes:</w:t>
      </w:r>
      <w:r>
        <w:rPr>
          <w:rFonts w:ascii="arial" w:eastAsia="arial" w:hAnsi="arial" w:cs="arial"/>
          <w:sz w:val="20"/>
          <w:lang w:val="en-US" w:eastAsia="en-US" w:bidi="ar-SA"/>
        </w:rPr>
        <w:cr/>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433 cheques were cleared belatedly, somehow causing the account to be overdrawn both Friday and Monday. Noreen Lynas is now getting upset, just when I have to break the news to her of the "only-60-loads" problem. The 60-day loan will be in default, which screws up my last financial source. If only I could pay $10,000 on the loan, she would extend, I believe, another 60 days, which would (if we can produce contracts) enable the new SPP work to "take hold".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Mr. Singleton then asks about when "SPP" completes work in Crawford Bay if $10,000 will be netted, and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Or have wages/costs eaten it all up? (I ask this because the rate of pay for any new contract needs to be reviewed to ensure 433 [Winchester] can service its debt.)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Mr. Singleton then discusses how "short term considerations" compel the sale of the horses used in logging and their harness, the mobile home being brought down for inspection and sale, and the sale of the welder at a loss. He then asks to know Mr. Mooney's plans given "the unfortunate Adams Estate result," and discusses ways to make money with the D-8 Cat, which he describes as being "quite separate from 433" (i.e., associated with Silvertip and the Copp Estate). Mr. Singleton suggests, "The D-8, possibly after b) or c) be sold, and the money re-invested." Mr. Singleton acknowledges that for Mr. Mooney and his family to live up at the District Lot may be "an isolated setting" despite efforts to create "a more tolerable living situation" until the snows go and various outdoor activities were possible. He mentioned the gardening and reclamation efforts of the previous year turned out to be "too late" and he was going to set about seeding again. This letter concludes with a sketch of a water pump-culvert scenario to provide enhanced watering and water storage.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Mr. Mooney believed that the "60 loads problem" referred to fewer loads of logs than they anticipated from a logging project in Crawford Bay, and that Noreen Lynas was a loans officer at the Bank of Montreal.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Mr. Mooney said that later in the spring of 1991 that his communications with Mr. Singleton broke down and Mr. Singleton told him to move off the District Lot. Mr. Mooney said that he felt badly about this as Mr. Singleton was a very good friend. He said he found Mr. Singleton to be a great inspiration and that he learned many things from him, including about writing and understanding complex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Mr. Mooney recalled hiring Mr. Goody in relation to the work and materials he had expended at the District Lot. On July 9, 1991 Mr. Goody filed a builders' lien on his behalf. On September 13, 1991 Mr. Goody commenced an action on Mr. Mooney's behalf against 433 Winchester for a declaration that Mr. Mooney was entitled to $40,280 in relation to improvements to the District Lot, "for supply of labour and materials to construct a residence on the lands, and for logging and improvements thereto." Mr. Mooney recognized Mr. Singleton's handwriting in a letter dated September 25, 1991 to Mr. Goody about Mr. Singleton's attendance at a residential tenancy hearing and his position on behalf of 433 Winchester that there was no agreement with Mr. Mooney that he could purchase the District Lot. In that letter Mr. Singleton wrote, "If your clients have any offer to purchase this will be received to October 1, 1991, after which the property will be listed, and there will be entry into the premises to care for the horses, complete the building, and to repair, as well as to maintain access."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Mr. Mooney moved off the District Lot at the end of October 1991 and did not receive any funds in relation to the labour and materials represented by his claim of lien. When he left the property he said a cabin, a barn, and a storage shed had been built. The District Lot had gravity-fed water and required propane. There were no community utilities. It did not have electricity. Mr. Mooney considered Blewett, the very small community near the District Lot, to be in a snow belt where in the winter it could snow non-stop for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On cross-examination, Mr. Mooney was questioned about the positive attributes of the District Lot. Mr. Mooney thought the District Lot was at a slightly lower altitude than Rossland. He also agreed that there are many places built at this altitude or higher in the Kootenays. He reviewed photographs and recognized the ponds created on the District Lot in which Mr. Singleton planted or intended to plant wild rice. Given the activities on the District Lot, Mr. Mooney came to understand that Mr. Singleton had plans for housing sites. One idea was to open a lodge for snow mobile riders, another was a lodge for back packers, ATV users, or hunters. Mr. Mooney said of Mr. Singleton that, "he had ideas that sometimes you would have to think into... because it would not add up to me...you would have to think into it with effort, as he was not the easiest person to understand sometimes, and I don't mean that in a derogatory way." Mr. Mooney recalled that Mr. Singleton was owed for several years of legal work for which he was not paid by Mark Adams, related to the Adams estate litigation, in which Mr. Mooney was also involved. Finally, Mr. Mooney agreed that he was the person who personally served Mr. Singleton at 12:20 a.m. on February 4, 1993 at the office on Baker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Mr. Singleton's Withdrawal from the Practice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Mr. Singleton voluntarily withdrew from the practice of law on October 23, 1990. He notified the Law Society in writing of his intention to do so effective immediately. His notice to that effect came the day before a panel of three lawyers were due to come to Nelson and review his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Philip M. Goody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Mr. Goody is a retired lawyer who practiced law in Nelson for 23 years before retiring in 2003. He acted for the Hospital in its petition filed on January 26, 1993 against Mr. Singleton, in his capacity as the executor and trustee of the George estate (File No. 2948, Nelson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On behalf of the Hospital, Mr. Goody initially sought to have Mr. Singleton, as executor and trustee, show cause why the estate accounts had not been passed, and in this context either Mr. Goody or Mr. Jack Miller, the Hospital administrator, received several letters from Mr. Singleton explaining the delays in making the final distribution of funds from the George Estate and passing his final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Mr. Singleton's letters, dated August 13, 1990, October 22, 1991, and November 15, 1991, explained delays in distributing the remaining funds in the George Estate, and indicated that he planned to pass accounts on the estate in February 1992. Attached to his letter of November 15, 1991 was a memorandum of "Interim Accounting," that indicated a proposed amount of $396,202.63 available for distribution.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These letters, and the November 1991 "Interim Accounting" written by Mr. Singleton, are important given the charges before the Court and I will set them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Mr. Singleton's letter to Mr. Jack Miller dated August 13, 1990, on the letter head of his law firm delivered "BY HAND," (previously referred to but not quoted)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RE: Residuary - Estate of J. H. George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Thank you for your further inquiry as to the status of the residual distribution. </w:t>
      </w:r>
      <w:r>
        <w:rPr>
          <w:rFonts w:ascii="arial" w:eastAsia="arial" w:hAnsi="arial" w:cs="arial"/>
          <w:color w:val="000000"/>
          <w:sz w:val="20"/>
          <w:u w:val="single"/>
          <w:lang w:val="en-US" w:eastAsia="en-US" w:bidi="ar-SA"/>
        </w:rPr>
        <w:t>Your first letter was followed by efforts to obtain progress from the legal counsel serving as Agent of the Estate to obtain final resolution of the Estate's final payment from the Principal Group whose collapse in Alberta continues to be the subject matter of many inquiries. This resolution may be settled by litigation; or in terms of the Province of Alberta settlement, if that is advised.</w:t>
      </w:r>
      <w:r>
        <w:rPr>
          <w:rFonts w:ascii="arial" w:eastAsia="arial" w:hAnsi="arial" w:cs="arial"/>
          <w:color w:val="000000"/>
          <w:sz w:val="20"/>
          <w:lang w:val="en-US" w:eastAsia="en-US" w:bidi="ar-SA"/>
        </w:rPr>
        <w:t xml:space="preserve"> (There have been turbulent developments in this area, and my instructions now are to settle in the quickest way possible, and, if I must obtain "consents" from the residuaries to protect my position, I anticipate they will be forthcoming.)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 am anxious myself to pass and if necessary tax my accounts, as you might imagine. The only other aspect is to render on a timely basis all assets liquid and that is not going to create any difficulty.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note that, in your Hospital's annual report, you received last year about $300,000 in contributions. I am pleased that the George Estate was able to participate in that total, noting that the concept of distribution at the residuary level, compels caution at this stage.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 anticipate at this time that the residue may be available by November, 1990, noting with regret the delay was greater than I anticipated, and I will report further.</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On March 18, 1991 Mr. Miller again inquired by letter on behalf of the Hospital as to "the progress being made to bring the distribution of this Estate to a close." Receiving no response, Mr. Miller retained Mr. Goody to pursue the matter of the Hospital's share of the residue. Mr. Goody wrote to Mr. Singleton on September 21, 1991, requesting that Mr. Singleton attend to the approval and passing of his accounts, and that he was being provided with notice pursuant to s. 101 of the </w:t>
      </w:r>
      <w:r>
        <w:rPr>
          <w:rFonts w:ascii="arial" w:eastAsia="arial" w:hAnsi="arial" w:cs="arial"/>
          <w:i/>
          <w:color w:val="000000"/>
          <w:sz w:val="20"/>
          <w:lang w:val="en-US" w:eastAsia="en-US" w:bidi="ar-SA"/>
        </w:rPr>
        <w:t>Trustee Act</w:t>
      </w:r>
      <w:r>
        <w:rPr>
          <w:rFonts w:ascii="arial" w:eastAsia="arial" w:hAnsi="arial" w:cs="arial"/>
          <w:color w:val="000000"/>
          <w:sz w:val="20"/>
          <w:lang w:val="en-US" w:eastAsia="en-US" w:bidi="ar-SA"/>
        </w:rPr>
        <w:t>, R.S.B.C. 1979, c. 414. Mr. Goody wrote that if he had not heard from Mr. Singleton within 30 days he would proceed with an application for the appropriate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Mr. Singleton, no longer practicing law, responded by letter dated October 22, 1991, on the letterhead of "M.K. SINGLETON, Ph.D. Agency - Editorial Services,"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RE: Estate of John A. George - Accounts - Kootenay Lake District Hospital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In reply to your inquiry of September, 1991, I had anticipated having an interim accounting by this time, and within the requested time. My accountant has been requested to locate certain papers to allow the conclusion of my interim report, and I believe it will be available by the second week in November.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 am also planning the final passing of my accounts for February, 1992, as the passing my accounts as Executor, including taxation of fee [sic] and disbursements, is required before the final distribution of the residue.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delay over the Principal Fund complications (still being sorted out in 3 jurisdictions), required agency counsel in Alberta, and drew out the distribution.</w:t>
      </w:r>
      <w:r>
        <w:rPr>
          <w:rFonts w:ascii="arial" w:eastAsia="arial" w:hAnsi="arial" w:cs="arial"/>
          <w:color w:val="000000"/>
          <w:sz w:val="20"/>
          <w:lang w:val="en-US" w:eastAsia="en-US" w:bidi="ar-SA"/>
        </w:rPr>
        <w:t xml:space="preserve"> If, for any reason the final distribution can not be effected in accordance with the above, I will facilitate the naming of the Public Trustee, as can be ascertained in February.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On November 15, 1991 Mr. Singleton wrote the following letter to Mr. Goody's attention on his "Agency -Editorial Services" letterhead, enclosing "Memorandum (Interim) Account":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RE: Estate of John Alexander George - Interim Account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Further to your request of October, 1991, enclosed is the Memorandum (Interim) Account of the above-captioned Estate. I am reserving a day in February, 1992, for final Passing of accounts; and prior to that, all formal accounts as presented will be delivered, as confirmed by a Chartered Accountant. The taxation of my Executor's accounts (as per the Will, including Disbursements claimed as Necessary and Proper), will be completed at the first part of the Appointment.</w:t>
      </w:r>
      <w:r>
        <w:rPr>
          <w:rFonts w:ascii="arial" w:eastAsia="arial" w:hAnsi="arial" w:cs="arial"/>
          <w:color w:val="000000"/>
          <w:sz w:val="20"/>
          <w:lang w:val="en-US" w:eastAsia="en-US" w:bidi="ar-SA"/>
        </w:rPr>
        <w:t xml:space="preserve"> You will, on your client's instructions, doubtless wish to attend and be given full Notice, opportunity to cross-examine, and confirm your clients' distributive residuary share.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Memorandum, are prepared by myself from materials supplied by earlier accountants and there must to the last be noted irreducible "subject to" final Revenue Canada, Legal accounts taxation, </w:t>
      </w:r>
      <w:r>
        <w:rPr>
          <w:rFonts w:ascii="arial" w:eastAsia="arial" w:hAnsi="arial" w:cs="arial"/>
          <w:color w:val="000000"/>
          <w:sz w:val="20"/>
          <w:u w:val="single"/>
          <w:lang w:val="en-US" w:eastAsia="en-US" w:bidi="ar-SA"/>
        </w:rPr>
        <w:t>and possibly (though I have determined not probably and not cost-effectively to pursue) some further development in the main delay factor: The Principal Group problem.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Despite these inherent difficulties, the enclosed Account has been possible to prepare well in accord with the Court of Appeal's practical direction in your client Mooney's own successful Interim Accounts Appeal. I thus anticipate avoidance of any litigation costs as would erode the Residuary, any need for an Application for Directions and/or Appeals, should you be for what ever reason in effect be seeking to compel a final passing/distribution at this time: that is not what is or was possible to any Trustee. No prudent Trustee could accelerate the Principal Group sorting out; and I believe that my ultimate decision not to participate in Principal Group litigation, may be approved as a reasonable choice under the circumstances, by Madame Registrar, as it allowed the earliest possible residuary payout.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Mr. Singleton's "Memorandum (Interim) Accounting," dated November 15, 1991, refers to total assets for the Estate of $957,927.54; and total liabilities of $701,215.30, which included "Legacy Distribution: per Schedule" of $675,000.00 and one amount of "Legal Fees and Disbursements to Estate (subject to taxation) of $18,600.00.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Under "Estate Income," Mr. Singleton referred to a total of $139,490.39, comprised of $18,530.15 as "Chattels disposition and Death Benefit ..." and "Accrued Investment (Interest) income" of $118,960.24. He advised that the "Net available for distribution from A less B as above page 1" was $256,712.24, and stated that the "Proposed as available for 1992 Residuary Distribution (subject to legal accounts passing in, Revenue Canada concurrence with final Estate return, and sale of few chattels remaining)" was $396,202.63.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Mr. Goody did not receive an accounting from Mr. Singleton and he set the matter down for hearing in the Supreme Court of British Columbia on February 15, 1993. The petition and the material filed in support (File No. 2948, Nelson Registry), with the notice of hearing, were served upon Mr. Singleton at 12:20 a.m. on February 4, 1993, by Mr. Mooney in the incident as described by Mr. Markin.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Mr. Singleton, represented by Mr. Perrin and still the trustee of the George Estate, swore an affidavit on February 11, 1993, that was filed the next day in relation to Mr. Goody's application for an accounting. This affidavit, and a subsequent one sworn and filed on March 12, 1993, to which I will refer briefly, were part of the statement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I ruled that both were admissible at trial. Mr. Goody recognized both affidavits.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The entire contents of the affidavit sworn by Mr. Singleton on February 11, 1993,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name is Marvin Kenneth Singleton. My address is 318 Union Street, Nelson, British Columbia. I work as a retired lawyer and author. I swear that the statements in this affidavit are true.</w:t>
      </w:r>
    </w:p>
    <w:p>
      <w:pPr>
        <w:numPr>
          <w:numId w:val="4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am the respondent in this matter. As such, I have personal knowledge of the facts in this affidavit except where I say they are based on information provided to me by another source in which case I believe them to be true.</w:t>
      </w:r>
    </w:p>
    <w:p>
      <w:pPr>
        <w:numPr>
          <w:numId w:val="4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read the petition of the petitioner. I have also read the affidavit of Jack Miller in this matter, sworn January 23, 1993.</w:t>
      </w:r>
    </w:p>
    <w:p>
      <w:pPr>
        <w:numPr>
          <w:numId w:val="4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agree with facts 1 and 3 as set out in the petition.</w:t>
      </w:r>
    </w:p>
    <w:p>
      <w:pPr>
        <w:numPr>
          <w:numId w:val="4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Regarding fact 2, in November 1991, I provided an accounting to the Petitioner as requested. See exhibit E to the affidavit of Jack Miller.</w:t>
      </w:r>
    </w:p>
    <w:p>
      <w:pPr>
        <w:numPr>
          <w:numId w:val="4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received no objection to the form or content of the accounting and no request for further information since that date.</w:t>
      </w:r>
    </w:p>
    <w:p>
      <w:pPr>
        <w:numPr>
          <w:numId w:val="4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Regarding fact 4 in the petition, I have received no requests from the Petitioner for any further or other accounting in any form.</w:t>
      </w:r>
    </w:p>
    <w:p>
      <w:pPr>
        <w:numPr>
          <w:numId w:val="4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 hope to be able to wind up the estate and provide a final distribution by June 30, 1993. There is still one fixed asset remaining to be sold.</w:t>
      </w:r>
    </w:p>
    <w:p>
      <w:pPr>
        <w:numPr>
          <w:numId w:val="4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 am also happy to report that the Principal Group litigation did result in another payment to the estate. This money will, of course, also be available for distribution.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On March 2, 1993 Mr. Singleton was ordered to have the George Estate accounts "audited, taken and passed" before the District Registrar in not later than 30 days, and to serve a copy of his accounts on all interested parties and counsel for the hospital not less than 14 days before the date set for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Mr. Goody filed an affidavit on March 10, 1993, in the same proceeding, attaching the pleadings of the earlier action commenced by Mr. Donald Skogstad on behalf of the Copp Estate against Mr. Singleton and 433 Winchester and Silvertip (File No. 2458, Nelson Registry). In his affidavit, Mr. Goody made reference to learning that, as of January 1993, Mr. Singleton, originally a citizen of the United States, planned to relocate to the United States. The action on behalf of the Copp Estate had been commenced by Mr. Skogstad, and claimed, amongst the other relief sought, general damages for conversion,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breach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Mr. Singleton filed an affidavit in response, sworn and filed on March 12, 1993, in which he took issue with many aspects of what others said about his involvement with Ms. Copp and her estate, and with Mr. Goody's statement that Mr. Singleton had advised another of his intention to relocate to the United States. At paragraph four Mr. Singleton further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have no "green card" or any immigration application pending for any move to any other jurisdiction nor ever had any such intention. I believe Mr. Goody is well aware, at the time of my call to the bar of British Columbia in 1978, Canadian citizenship was required of all lawyers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At paragraph six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clearly-implied hysteria in Mr. Goody's affidavit is deeply offensive. I returned and have participated in all legal proceedings regarding the Copp estate. Further travel will depend on my parents health, and I will, as I did in 1992, retain counsel to attend to any legal proceedings until I can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At paragraph nine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instructed my counsel to appeal the Order made by the Honourable Court on March 2, 1993, and I have instructed counsel to fully implement all steps even as I seek to do the best as I can to hasten an accounting.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On March 15, 1993 the Court issued an order freezing the assets of the George Estate. On May 31, 1993, upon further application on behalf of the Hospital, the Court ordered Mr. Singleton removed as trustee of the George Estate, and Mr. Miller, the Hospital's administrator, appointed in his place. On the same day, Mr. Perrin withdrew as Mr. Singleton's solicitor of record in the action against Mr. Singleton and 433 Winchester and Silvertip, brought by the executor of the Copp Estate (File No. 2458, Nelson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Once Mr. Miller was the trustee of the George Estate, Mr. Goody advised that he searched for estate bank accounts and found one at the Royal Bank of Canada in Nelson. When he obtained a full summary of the account it showed that there was an amount of under $10 remaining. Documents in the account summary showed a series of drafts from the Estate Account at the Royal Bank to the Bank of Montreal as payee. Because the Bank of Montreal was not a beneficiary or known creditor of the George Estate, Mr. Goody and Mr. Miller became interested in an account at the Bank of Montreal (which was the Winchester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When it was determined that the residue of the George Estate was unavailable to be paid to the beneficiaries to satisfy the remaining bequests and residual payments, Mr. Goody commenced an action filed on February 8, 1994, on behalf of Mr. Jack Miller, the administrator of the George Estate, and the deceased and his estate, against Mr. Singleton (File No. 3827, Nelson Registry), in which he sought an account of the property subject to the trusts of the estate, an account of the income of the estate, an inquiry as to whether any trust property of the estate was transferred to Mr. Singleton or into the name of any other person, an inquiry into what property of the estate may have been lost or misappropriated by Mr. Singleton, payment of the amount found to be due to the estate, and damages for breach of trust, breach of fiduciary duty, conversion,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writ also states that the plaintiff's claim arose between 1985 and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By this time Mr. Singleton was no longer in Nelson (having left in August 1993 and except for a brief period over Christmas 1993 not to return until 2006). Mr. Goody attempted unsuccessfully to have Mr. Singleton served in Texas. Mr. Goody then obtained an order for substituted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In the statement of claim Mr. Goody set out the details of the claim as he had determined them to be at that time. These details include that Mr. Singleton opened the Estate Account at the Royal Bank on April 19, 1988; that the total deposits credited to that account throughout the time that Mr. Singleton remained executor and trustee were $758,020.37; that Mr. Singleton cashed Canada Savings Bonds in July 1988 for a total redemption value of $273,189.95, and these monies were not deposited to the Estate Account; that by December 31, 1990, the balance of the Estate Account was $9.83; that no other bank accounts were known to exist in relation to the George Estate; that Mr. Singleton paid a total of $166,000 into his Trust Account at the CIBC in Nelson; and that he paid a total sum of $177,712.21 from the Estate Account to or to the credit of 433 Winchester.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Mr. Goody said Mr. Singleton never responded to this action and did not enter an appearance or a statement of defence. Mr. Goody obtained an interlocutory judgment against Mr. Singleton on September 6, 1994, with damages to be assessed and costs to be taxed. The matter was then set down for an assessment of damages. Mr. Goody recalled that various beneficiaries made claims to the Law Society's Special Compensation Fund and they "were taken under the wing of the estate." The Law Society did an investigation of its own ("the Hersh Report"). On behalf of his client, Mr. Goody obtained a judgment against Mr. Singleton, which was then assigned to the Law Society. Damages were assessed at $530,725.25 plus interest, and punitive damages were ordered against Mr. Singleton in the amount of $100,000. Mr. Goody recalls that the Law Society did not pay interest or the punitive damages award. Mr. Goody did not recall in his dealings with Mr. Singleton anything about a share certificate, and in terms of why he did not include 433 Winchester in the law suit, he indicated that he did not recall thinking that the George Estate had a direct claim against property owned by 433 Winchester (i.e., the District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Mr. Goody did not recall a dispute over property between Mr. Singleton and Mr. Mooney in which Mr. Mooney claimed that Mr. Singleton owed him money. Upon being shown a copy of a claim for builder's lien with his initials on it in relation to Mr. Mooney's claim against the District Lot, Mr. Goody recognized it, but said he had no independent recollection about it. He said he had done hundreds of liens over the years for various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To substantiate his claim for damages at the assessment hearing, Mr. Goody obtained an affidavit of Ms. Sweet from the Royal Bank in Nelson, sworn September 21, 1994, that appended the Estate Account records, including deposits and withdrawals by Mr. Singleton, and copies of numerous bank drafts payable to Mr. Singleton in trust and to the Bank of Montreal, which he identified in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Inquiries Mr. Goody made to the Bank of Montreal in relation to six Royal Bank drafts from the Estate Account payable to the Bank of Montreal indicated that the Bank of Montreal was not the beneficiary of the funds, but rather they went into a customer's bank account over which the Bank of Montreal had no interest or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Mr. Goody advised that the Law Society, through its Special Compensation Fund, repaid the beneficiaries their lost funds in a total amount of $559,878.70, and then commenced its own action against Mr. Singleton (File No. S045593, Vancouver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On cross-examination, Mr. Goody was asked questions on a wide range of topics including comments attributed to him by the press in an article that eventually was appended as an exhibit to the Burns affidavit in the extradition proceedings. With regards his comment as reported by John Betts in the Nelson Daily News on October 7, 1994, in relation to stating that with respect to the George Estate, "It's just gone," Mr. Goody doubted that anyone would just stand there and say that, but that he would accept the various quotes in the article to be accurate in any event. In relation to another article in the British Columbia Report, dated November 14, 1994 and entitled, "Charity ended at the lawyer's office", in which certain comments were attributed to him, Mr. Goody said that the words chosen did not sound like him and he did not recall talking to any reporter, but he could not remember given that it was so long ago. Mr. Goody advised that he became aware of the Copp Estate litigation shortly before he brought the court application to have the assets of the George Estate frozen.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Mr. Goody also said that he suspected bank drafts from the Estate Account to the Bank of Montreal went into the Winchester Account, but that the bank did not divulge information other that it did not have an interest in the funds moved by the drafts. Mr. Goody indicated that once he obtained judgment against Mr. Singleton he had hoped to examine him in aid of execution and extract further information about where the funds of the George Estate went, ybut as it turned out the beneficiaries were able to collect from the Special Fund or they would have been left "high and dry."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Mr. Goody had no recollection of hiring Mr. Mooney to serve the petition on Mr. Singleton, but agreed it might well be true (and indeed it was given the affidavit of service of Mr. Mooney sworn before Mr. Goody on February 9,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In July 1991, when Mr. Goody acted for Mr. Mooney in relation to Mr. Mooney's builders' lien claim against the District Lot owned by 433 Winchester, he did not appreciate the connection between 433 Winchester, the District Lot, and the George Estate. Mr. Goody said he came to know later that 433 Winchester was really Mr. Singleton's company through his dealings with the George Estate and by finding out more about the Copp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Mr. Goody did not recall meeting with Ms. Hersh when she came on behalf of the Law Society to do the spot-audit in relation to Mr. Singleton. He did recall that as a consequence of the Law Society's Special Fund having to reimburse the George and Copp beneficiaries that the annual fee assessment for lawyers around the province increased, and the claims generated by Mr. Singleton may have been the largest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On re-examination Mr. Goody was shown and recognized letters that he had sent to the other beneficiaries of the Will, including a letter to the Salvation Army that confirms them receiving further payment for a $50,000 bequest (that represents a double payment as the evidence shows that bequest being paid by Mr. Singleton) in addition to their shares of the residuary.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xml:space="preserve">  After Mr. Singleton produced new documents over the winter break, including the three draft mortgages relating to the District Lot, as opposed to recalling Mr. Goody, it was admitted pursuant to s. 655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that Mr. Goody had never seen those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The Share Transfer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On April 3, 1990 Mr. Singleton, in his capacity as sole officer, director, and shareholder of 433 Winchester, completed a share certificate in which he purported to transfer ten shares in 433 Winchester to himself as the executor of the George Estate for consideration of $1. His signature as transferor was witnessed by Ms. Carson (Bonderoff). This share certificate was not previously disclosed to the beneficiaries or their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Mr. Singleton's Appeal of his Removal as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Mr. Singleton appealed the order of Cooper J. made on May 31, 1993, removing him as trustee of the George Estate and appointing Mr. Miller, by notice of appeal filed June 25, 1993. The appeal did not proceed. It was dismissed as abandoned by the Court of Appeal on December 20,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Mr. James Carphin,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Mr. Carphin is a highly qualified legal expert in relation to wills and estate matters in British Columbia. His qualifications were before the Court and considered in relation to whether he would be permitted to provide expert opinion evidence on behalf of the Crown in relation to Mr. Singleton's handling of the George Estate. In that regard, he had reviewed documents entered as exhibits in this trial and considered Mr. Singleton's conduct as executor and trustee of the George Estate. He testified at the preliminary inquiry and also prepared a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Defence counsel was opposed to Mr. Carphin providing expert opinion evidence as to what the law in British Columbia requires regarding the proper handling of wills and estate matters, as he submitted that was the business of this Court and such legal expertise was neither relevant nor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In an oral ruling on November 18, 2009, I noted that while this Court is involved in matters pertaining to wills and estates on a regular basis, that jurisdiction and properly-assumed knowledge and judicial fact-finding ability, do not preclude a party from calling an expert on specialized aspects of the law of wills and estates, where in the circumstances of a particular case, a special expertise is likely to assist the trier of fact. I concluded that it was appropriate to permit Mr. Carphin to provide his expert opinion on the nature of the Will; its degree of complexity; what was required by a competent solicitor to collect and distribute its assets to the beneficiaries within the roles of executor and trustee; errors he observed in terms of how the George Estate was handled by Mr. Singleton; fees that could properly have been charged; and where he perceived conflicts of interest to arise. However, I found that it was not appropriate for Mr. Carphin to express his findings and opinions as pertaining to breaches of trust, fraudulent breaches of trust, or acts indicative of a lack of honesty or dishonesty, which go to the ultimate issues to be decided by this Court, and to the extent that his opinion strayed near or into these areas during cross-examination I completely disregard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Mr. Carphin explained the different roles for an executor and trustee of a will. While usually both roles are fulfilled by the same person upon the death of the testator, the executor collects and disposes of the remains, determines the assets and liabilities of the estate, pays the liabilities of the estate, and applies for the grant of probate. At that point the trustee takes over and administers the estate pursuant to the provisions of the will and any trusts.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Based on his review of the correspondence sent by Mr. Dietrich to Mr. Singleton, Mr. Carphin noted that with the exception of a vehicle, a mobile home and some personal property, all the assets of the George Estate were bank accounts and investment certificates, and therefore it was a very straight-forward and easy estate to administer. Mr. Carphin was of the view that there was no need to hold up the distribution of the George Estate for resolution of the Principal Group First Investors Corporation investment, as if it was worth $40,000 it was about 1/25 of the total estate. The George Estate could have been distributed by Mr. Singleton without waiting for resolution of the Principal Group issue by obtaining consent of the beneficiaries to do so, or by passing his accounts in court, so that the only remaining issue would have been the investment in the Principal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xml:space="preserve">  Mr. Carphin was referred to the various letters written by Mr. Singleton to beneficiaries or their counsel in which Mr. Singleton referred to waiting for resolution of the Principal Group investment before distribution, including the letter to Mr. Goody, dated November 15, 1991. It was his opinion that the Principal Group issue ought not to have delayed distribution for three and a half years after the death of Mr. George. In this context Mr. Carphin referred to the obligation contained in s. 101(1) of the </w:t>
      </w:r>
      <w:r>
        <w:rPr>
          <w:rFonts w:ascii="arial" w:eastAsia="arial" w:hAnsi="arial" w:cs="arial"/>
          <w:i/>
          <w:color w:val="000000"/>
          <w:sz w:val="20"/>
          <w:lang w:val="en-US" w:eastAsia="en-US" w:bidi="ar-SA"/>
        </w:rPr>
        <w:t>Trustee Act</w:t>
      </w:r>
      <w:r>
        <w:rPr>
          <w:rFonts w:ascii="arial" w:eastAsia="arial" w:hAnsi="arial" w:cs="arial"/>
          <w:color w:val="000000"/>
          <w:sz w:val="20"/>
          <w:lang w:val="en-US" w:eastAsia="en-US" w:bidi="ar-SA"/>
        </w:rPr>
        <w:t>, R.S.B.C. 1979, Ch. 414, which required a trustee to pass accounts within two years unless all beneficiaries consented, and s. 101(2), which permitted a beneficiary to apply to the Court to accelerate the time for a trustee to pass accounts. Mr. Carphin noted that Mr. Singleton never did pass his accounts as trustee of the George Estate, and that the interim accounting he sent to Mr.Goody with his letter of November 15, 1991, did not constitute a proper accounting.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Mr. Carphin also indicated that Mr. George's sisters had no status to contest the Will, and in his review of the matter he found no evidence of a family trust in Alberta, as referred to by Mr. Singleton as an additional complicating factor in distributing the George Estate (as referred to in Mr. Singleton's letter of February 28, 1989 to Mr. Miller).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Mr. Carphin also noted that in the interim accounting Mr. Singleton referred to legal fees and disbursement for the George Estate being $18,600, when by Mr. Carphin's calculation Mr. Singleton had billed in excess of $115,000, primarily in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Mr. Carphin noted that had proper tax returns been filed for the George Estate, given the charitable donations contained in the Will, the total tax for the years 1987 and 1988, in the amount of $28,651, could have been eliminated and a refund made to the estate. Mr. Carphin saw no indication that had been done. Mr. Carphin also pointed out that the difference between the charity named in the Will as "Mother Theresa's Canadian Food for Children" and the charity Mr. Singleton was to pay the bequest and residual share to, named "Canadian Food for Children," would have required a court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xml:space="preserve">  In terms of the George Estate investing funds in the private company 433 Winchester, Mr. Carphin stated that the Will required the trustee to invest in accordance with the </w:t>
      </w:r>
      <w:r>
        <w:rPr>
          <w:rFonts w:ascii="arial" w:eastAsia="arial" w:hAnsi="arial" w:cs="arial"/>
          <w:i/>
          <w:color w:val="000000"/>
          <w:sz w:val="20"/>
          <w:lang w:val="en-US" w:eastAsia="en-US" w:bidi="ar-SA"/>
        </w:rPr>
        <w:t>Trustee Act</w:t>
      </w:r>
      <w:r>
        <w:rPr>
          <w:rFonts w:ascii="arial" w:eastAsia="arial" w:hAnsi="arial" w:cs="arial"/>
          <w:color w:val="000000"/>
          <w:sz w:val="20"/>
          <w:lang w:val="en-US" w:eastAsia="en-US" w:bidi="ar-SA"/>
        </w:rPr>
        <w:t xml:space="preserve">. 433 Winchester, then very recently incorporated, did not meet any of the requirements contained in the </w:t>
      </w:r>
      <w:r>
        <w:rPr>
          <w:rFonts w:ascii="arial" w:eastAsia="arial" w:hAnsi="arial" w:cs="arial"/>
          <w:i/>
          <w:color w:val="000000"/>
          <w:sz w:val="20"/>
          <w:lang w:val="en-US" w:eastAsia="en-US" w:bidi="ar-SA"/>
        </w:rPr>
        <w:t>Trustee Act</w:t>
      </w:r>
      <w:r>
        <w:rPr>
          <w:rFonts w:ascii="arial" w:eastAsia="arial" w:hAnsi="arial" w:cs="arial"/>
          <w:color w:val="000000"/>
          <w:sz w:val="20"/>
          <w:lang w:val="en-US" w:eastAsia="en-US" w:bidi="ar-SA"/>
        </w:rPr>
        <w:t xml:space="preserve">, including s. 15(l), as the company had not "in each of the 7 years ended less than one year before the date of investment ... paid a dividend on its common shares of at least 4% ...," and its shares were not listed on a recognized stock exchange at the time of investment as required by s. 17(8). He further stated that even if 433 Winchester had met the requirements of the </w:t>
      </w:r>
      <w:r>
        <w:rPr>
          <w:rFonts w:ascii="arial" w:eastAsia="arial" w:hAnsi="arial" w:cs="arial"/>
          <w:i/>
          <w:color w:val="000000"/>
          <w:sz w:val="20"/>
          <w:lang w:val="en-US" w:eastAsia="en-US" w:bidi="ar-SA"/>
        </w:rPr>
        <w:t>Trustee Act</w:t>
      </w:r>
      <w:r>
        <w:rPr>
          <w:rFonts w:ascii="arial" w:eastAsia="arial" w:hAnsi="arial" w:cs="arial"/>
          <w:color w:val="000000"/>
          <w:sz w:val="20"/>
          <w:lang w:val="en-US" w:eastAsia="en-US" w:bidi="ar-SA"/>
        </w:rPr>
        <w:t xml:space="preserve"> as an authorized investment, it could not have been considered a prudent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Mr. Carphin found, in his review of the share certificate transaction on April 3, 1990 in which Mr. Singleton transferred shares from 433 Winchester to himself as executor, that the transaction was not proper in terms of providing security for the investment of George Estate funds in 433 Winchester, given that prior to it being done three transfers of funds from the George Estate totalling $89,000 had been made, and another followed. Mr. Carphin said that a trustee is not permitted to profit from the trust or to comingle his own assets with trust assets, and Mr. Singleton appeared to have done both with the transfers of estate funds into 433 Winchester. Further, the shares in 433 Winchester were owned personally by Mr. Singleton, and in reviewing the matter Mr. Carphin was unable to determine how many shares in 433 Winchester had been issued and were outstanding.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Mr. Carphin indicated that investment in a small logging operation could not be considered a prudent investment for a trustee to make, nor would investments in a residential community or a wild rice farming operation. He stressed that the funds needed to be invested in GICs or convertible to cash in a fairly short period of time in order that they could be paid out promptly once the matters of trustee remuneration and final clearance certificates were concluded.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xml:space="preserve">  In terms of remuneration to a trustee, Mr. Carphin indicated that s. 90 of the </w:t>
      </w:r>
      <w:r>
        <w:rPr>
          <w:rFonts w:ascii="arial" w:eastAsia="arial" w:hAnsi="arial" w:cs="arial"/>
          <w:i/>
          <w:color w:val="000000"/>
          <w:sz w:val="20"/>
          <w:lang w:val="en-US" w:eastAsia="en-US" w:bidi="ar-SA"/>
        </w:rPr>
        <w:t>Trustee Act</w:t>
      </w:r>
      <w:r>
        <w:rPr>
          <w:rFonts w:ascii="arial" w:eastAsia="arial" w:hAnsi="arial" w:cs="arial"/>
          <w:color w:val="000000"/>
          <w:sz w:val="20"/>
          <w:lang w:val="en-US" w:eastAsia="en-US" w:bidi="ar-SA"/>
        </w:rPr>
        <w:t xml:space="preserve"> permitted remuneration not exceeding 5% of the gross aggregate value of the assets of the estate, and given that Mr. Singleton charged approximately $115,000, he charged at a rate of 11.5%. He indicated that the 5% was "a cap, not a target," and that a registrar would review the services provided in relation to the fees charged. He also indicated that it was a breach of trust for a trustee to "pre-take remuneration."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xml:space="preserve">  Looking at the Will itself, Mr. Carphin indicated that he had never seen a clause such as the one contained in the third codicil (and set out previously) that referred to "probate services," but in any event, Mr. Singleton was not permitted to take any benefit under the Will because he witnessed the third codicil (and in fact the prior two codicils as well). However, while that precluded him from charging for services under the Will, it would not have affected his ability to charge as a trustee under the </w:t>
      </w:r>
      <w:r>
        <w:rPr>
          <w:rFonts w:ascii="arial" w:eastAsia="arial" w:hAnsi="arial" w:cs="arial"/>
          <w:i/>
          <w:color w:val="000000"/>
          <w:sz w:val="20"/>
          <w:lang w:val="en-US" w:eastAsia="en-US" w:bidi="ar-SA"/>
        </w:rPr>
        <w:t>Trustee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Putting aside the errors and problems in relation to Mr. Singleton and the George Estate, fees in the range of $35,000 to $40,000, would have been appropriate for his work and as a trustee and executor.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Mr. Carphin summarized the failings he observed in Mr. Singleton's handling of the George Estate: failing to distribute; holding up distribution because of the investment in the Principal Group; issues related to the non-filing of estate income tax returns and the apparent failure to claim a refund due; the amount of the fees he charged; the problem with witnessing the Will and receiving a benefit; his failure to accomplish what is required of a trustee; delaying tactics; misrepresenting the status of the estate to beneficiaries; and failure to account when requested and to pass proper accounts. He concluded his direct examination by saying that he would expect a general practitioner to be familiar with all that was required to meet these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On cross-examination, Mr. Carphin indicated that he had taught Continuing Legal Education courses relating to wills and estates, and one of the reasons for those courses is out of a concern that lawyers may not be keeping up with practice standards and may make mistakes. Mr. Carphin indicated that he personally did not act as executors and trustees for clients, but agreed that it is not uncommon for a friend to assume those responsibilities.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Mr. Carphin further agreed that there was a sufficient amount of original drafting in the Will to take it out of the straightforward category. He agreed that except for the reference to "probate services," the Will was reasonably well drafted by Mr. Singleton. Mr. Carphin agreed that the clause pertaining to "probate services" in the third codicil was unintelligible. He pointed out that a solicitor's bills are taxed, where as a trustee's accounts are passed, and that Mr. Singleton did not seem to appreciate the difference. Mr. Carphin agreed that those who take over from a failed trustee should endeavour to trace the trust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Mr. Carphin agreed that the drafting of the Will raised competency issues, particularly in defining the gift to the Hospital in terms of equipment to be purchased. He also said the manner in which Mr. Singleton handled the George Estate up to the point of obtaining probate was very competent, but after the bequests were paid to the sisters "things went off track."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Defence counsel reviewed Mr. Singleton's failings as a trustee in some detail and Mr. Carphin indicated that in his opinion Mr. Singleton's failure to do what was required could be attributed to his lack of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In reply, Mr. Carphin indicated that despite the issues presented in the George Estate he considered that this estate would have been an easy one to distribute.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The Income Tax Prosecutions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xml:space="preserve">  In three Informations sworn March 11, 1993, 433 Winchester, Silvertip , and Mr. Singleton were charged with failing to file income tax returns contrary to s. 238(1) of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R.S.C. 1952, c. 148, as amended. In the Informations pertaining to 433 Winchester and Silvertip it was alleged that Mr. Singleton, as an officer, director, or agent, failed to file the corporations' annual income tax returns for 1988, 1989, 1990, and 1991. Mr. Singleton was personally charged with failing to file for the years 1988, 1989, 1990, and a statement of net worth as of October 31,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Warrants for arrest were issued on all three Informations on April 20, 1993, and on May 6, 1993 Mr. Singleton entered into undertakings to appear. He made personal appearances on July 5, 1993 and July 26, 1993 and did not appear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On July 26, 1993 a trial date of December 6, 1993 was set. The trial did not proceed on that date and a new date of August 16, 1994 was set, with Mr. Layfield, a local lawyer, appearing as agent for Mr. Singleton.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On August 16, 1994 findings of guilt were entered against Mr. Singleton personally in relation to failing to file for 1989 and 1990, and failing to file the statement of net worth, resulting in a total fine of $6,000 and three months jail concurrent in default. In relation to 433 Winchester, the charges were dismissed. Regarding Silvertip, convictions were entered on all four counts, resulting in a total fine of $8,000 and three months jail concurrent on each count in default, but consecutive to the default time assessed in relation to Mr. Singleton's non-filing of personal returns. Warrants of committal were issued on August 2, 1995 for the non-payment of fines. These warrants remained outstanding until after Mr. Singleton was returned by extradition to British Columbia on September 2,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A recently obtained affidavit from a representative of the Canada Revenue Agency confirms that Mr. Singleton did not file personal income tax returns for the years 1989 through 1991. In 1988 Mr. Singleton's reported gross business income was $137,231 and his processed net and taxable income was $11,727. This affidavit also states that no tax returns were ever filed on behalf of 433 Winchester or Silvertip.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Mr. Daniel Markin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Mr. Markin helped out his father and his uncle from time to time in relation to an office building that they owned at 373 Baker Street, in downtown Nelson, British Columbia in which Mr. Singleton had his law office. Mr. Markin recalled that Mr. Singleton had commenced renting an office in that building in July 1980. He recalled that in the later years Mr. Singleton's wife or partner rented an adjacent office on the same floor of the same building under the name of "Cobweb Press." He recalled that Mr. Singleton's name was on the door of Cobweb Press, but could not be sure if his tenure at the Cobweb Press office overlapped with his tenure in his law office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Mr. Markin related an incident where he spent at least an hour outside of the door of Cobweb Press trying rouse Mr. Singleton because he had been approached by someone who was ostensibly concerned about Mr. Singleton's well being and wanted to check that he was alright. Ultimately, Mr. Markin had to call a locksmith who drilled the lock to the door, and as they were about to enter the Cobweb Press office and opened the door, Mr. Singleton appeared on the other side of the door. At this point the concerned inquirer (identified as Mr. Mooney) served Mr. Singleton with some documents. Mr. Markin said that he was annoyed by this incident and called the lawyer, whose name he did not recall (likely Mr. Goody), to pay the locksmith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Mr. Markin testified about a later occasion when he entered the basement storage area to help his father and uncle store some items, and found, in the storage locker area associated with Mr. Singleton's former law firm, a number of dusty cardboard boxes containing papers and files. Mr. Markin said that he noticed the letterhead of the Singleton law firm and called the local RCMP, as he had heard reports on the news that the RCMP were looking for Mr. Singleton. He provided the RCMP Commercial Crime section with the information about the presence of the files and materials. Mr. Markin was subsequently contacted by Mr. Thomas H. Thompson, the lawyer appointed as the custodian of Mr. Singleton's files, and met him at the office basement. Mr. Thompson picked up the materials from Mr. Singleton's law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Thomas H. Thompson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Mr. Thompson, a long-time practising lawyer in Castlegar and the Kootenays, recalled that he was appointed the custodian of Mr. Singleton's files in October 1996. By that time, Mr. Singleton had not practiced law for six years. His appointment was triggered by the discovery of client files and other materials related to Mr. Singleton's former law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Mr. Thompson testified that he went to the basement of a building off a back alley in Nelson (he identified the rear door to the office premises at 373 Baker Street) and accessed the storage area where he retrieved a substantial pile of documents and files with Mr. Singleton's name on them. He gathered up the files and other materials and then took these items back to his office in Castlegar where he kept them under lock. He made an inventory of these materials and put them in eight boxes that he got from a nearby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Mr. Thompson continued to store these materials and recalled that he received a search warrant executed by Sgt. Quenneville in April 1998 (on April 6, 1998) and in response to the search warrant he sorted through all the materials he had previously obtained from the storage area associated with Mr. Singleton's law office. He put all the items he could find associated with the Copp and George Estates into one box, which bore Craven Menthol markings, which he sealed and initialled. Mr. Thompson testified that he and Cpl. Quenneville drove together with this box, which has come to be referred to as the "Craven box," from Castlegar to Nelson, and turned it over to the Deputy District Registrar at the Nelson court house and received a receipt. He then had no further contact with the box or its contents. Mr. Thompson indicated that he retained the remaining seven boxes of files and materials at his office until February 2008 when Mr. Graeme Keirstead, a lawyer with the Law Society, came and took them. His custodianship of Mr. Singleton's practise ended in September 2007. An affidavit sworn by Mr. Thompson dated September 25, 2007, details the actions he took with regard to his being appointed the custodian of Mr. Singleton's practice on October 9, 1996. It also refers to his taking possession of several cartons of files and documents from Mr. Singleton's practice at 373 Baker Street in Nelson on October 11,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In cross-examination, Mr. Thompson agreed with the suggestion that his memory was not absolutely perfect, given that events had happened 13 years before, but he said he recalled quite clearly those matters that he had described. Mr. Thompson did not recall calling Cpl. Misner on December 30, 1997 to advise him of a storage locker belonging to Mr. Singleton at 12 Mile Storage. Mr. Thompson did recall that the basement where he found the files was damp and the files were strewn all around, and if they had been in boxes the boxes had deteriorated.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The Unregistered Mortgages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Three unregistered mortgages were found over the winter break in these proceedings in 2009 by Mr. Singleton, along with ledger cards for 433 Winchester (similar to the one kept for the George Estate). They were in a file marked "Masloff" in the materials that Mr. Thompson seized as part of the Law Society custodianship in 1996 that were returned to Mr. Singleton in April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The three draft mortgages were between 433 Winchester as mortgagor and "Marvin Kenneth Singleton, Executor of the Estate of John Alexander George" as mortgagee, and they were apparently to be placed on the title of the District Lot by Mr. Singleton, to reflect investment by the George Estate in the District Lot via 433 Winchester. They were dated September 12, 1988 (for $70,000), September 29, 1988 (for $110,000), and November 1, 1988 (for $130,000), respectively, and were never registered or disclosed to the beneficiaries of the George Estate or their counsel, Mr. Goody. The latter two were executed by M.K. Singleton as executor of the George Estate and M.K. Singleton, President of 433 Winchester.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xml:space="preserve">  It was admitted, pursuant to s. 655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that upon searches of records from the Nelson Land Titles Office conducted by Susan Hurteau, owner of Terra Registry Services Ltd., that apart from the transfer document transferring the District Lot from Edward and John Masloff to 433 Winchester Management Corporation on September 12, 1988, no documents were located that related to Marvin Singleton, 433 Winchester Management Corporation, John Alexander George, or the estate of John Alexander George.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Further, Ms. Hurteau was advised by Patricia Keegan, a Land Title Examiner, that at that time the Land Titles Office would not have accepted a "general filing" of documents relating to an estate or trust unless it involved property, and in that case, the practice was to note "In Trust" in the "transferee" part of the Transfer document and to attach necessary documentation. No such notation was made on the transfer referred to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Finally, Ms. Hurteau believed, based on her experience, that the unregistered mortgage dated September 12, 1988 (bearing the red check marks and the word "issuing") was checked by the staff at the Land Titles Office, and the handwritten "2/2" on it suggests an intent to register the document as part of a set of two documents. According to Ms. Hurteau, it is a distinct possibility that this mortgage document may have been submitted with the transfer already referred to, was found to be defective, and was returned unregistered to Mr. Singleton. She further believed upon a careful review of the unregistered mortgage document that it was likely rejected based on the red-circled abbreviation "corp" on the final page. It appeared to her that the full word "corporation" was later added. There were no such notations on the two other unregistered mortgage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Forfeiture of the District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On December 3, 1996, title to the District Lot was forfeit absolutely to the Crown for $4,321.62 in outstanding taxes, with the actually certificate being prepared on June 1, 1998, and mailed 433 Winchester, c/o of Mr. Singleton at a Nocona, Texas address. The notice states the actual value of the land to be $154,000. Property taxes were not paid on it after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Sgt. Haddow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Sgt. Haddow worked in the General Investigations section of the Nelson City Police. He became involved in the investigation into Mr. Singleton on November 14, 1994 when he met with Cpl. Misner of the Nelson RCMP. He regarded Cpl. Misner to be the lead investigator and his involvement was to assist Cpl. Misner.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The records of the Nelson City Police (the notes of Officer Myers admitted pursuant to s. 655) reveal that Mr. Skogstad had made a complaint to them on June 10, 1992 regarding the involvement of Mr. Singleton in an alleged theft and/or fraud regarding the Copp Estate. There was a copy of the Hersh investigation done on behalf of the Law Society in the police file that referenced the George and Copp estates.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Sgt. Haddow recalled that he and Cpl. Misner had interviewed Mr. Goody in relation to the George Estate on November 15, 1994. Mr. Goody had completed a civil suit against Mr. Singleton and had obtained a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On November 16, 1994, when he and Cpl. Misner interviewed Mr. Skogstad, he understood Mr. Skogstad to be involved in a civil action against Mr. Singleton in relation to the Copp Estate. Sgt. Haddow said that he did not hold off pursuing the criminal investigation of Mr. Singleton because of the civil action being conducted by Mr. Skogstad.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On November 17, 1994 Sgt. Haddow contacted the sheriff in Nocona, Texas, and asked him to see if he could locate Mr. Singleton. He also confirmed that Mr. Singleton still had a locker at 12 Mile Storage.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On December 1, 1994 Sgt. Haddow heard, from the wife of the Nocona sheriff, that they had found Mr. Singleton living in a 1978 Ford van with South Dakota licence plates on the bank of a river between Texas and Oklahoma. He had shaved his beard, cut and dyed his hair brown, and had a Texas driver's licence. His father was in a nursing home and he had a sister living in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Sgt. Haddow was with Cpl. Misner when they obtained and executed the search warrants to the CIBC, the Bank of Montreal, and the Nelson and District Credit Union on April 12, 1995. He then worked on sorting and copying the documents seized.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On June 14, 1995 Sgt. Haddow was contacted by the Nocona sheriff, who advised that Mr. Singleton had left the area and his whereabouts were unknown. The sheriff said he would be in contact if Mr. Singleton resurfaced. Sgt. Haddow continued to work on the accounts in relation to the Copp and George estates in order to prepare the Report to Crown Counsel, which was completed on August 17,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On cross-examination, Sgt. Haddow confirmed that the file in relation to Mr. Singleton had been opened by another officer in 1992 based on the complaint by Mr. Skogstad of a possible theft in relation to the Copp Estate. Mr. Skogstad had advised that he wished to proceed with the civil matter first, but it appeared that he wanted to open the file to give the police "a heads-up." There was also a note on the file about a call from Mr. Goody on September 30,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Sgt. Haddow indicated that he knew Mr. Singleton and in 1994 he could not recall if Mr. Singleton was still in Nelson. He said he could not put a year to the last time that he saw Mr. Singleton in Nelson, and he confirmed that Mr. Singleton was not interviewed by the police at any time between 1992 and 1997. He recalled that Cpl. Misner was leery of using the documents provided to him from the civil proceeding and got advice to obtain search warrants and obtain his own documents. Sgt. Haddow recalled that Mr. Goody, in particular, had a lot of information about the whereabouts of Mr. Singleton in Texas, and accounts relating to Mr. Singleton's company, 433 Winchester. He confirmed that he came to know that the two companies, 433 Winchester and Silvertip, were associated with the two estates. Later, Sgt. Haddow said he found out about the property on "49 Creek" (the District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Cpl. Misner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Cpl. Misner was the sole member of the commercial crime section at the Nelson RCMP Detachment from 1992 to 1998. During that time he had other responsibilities and the detachment was responsible for areas in the East and West Kootenays in addition to Nelson.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Initially, Cpl. Misner recalled receiving an inquiry from Mr. Ernie Bryden, an investigator at the Law Society, who wanted the Nelson RCMP to become involved as the investigation conducted by the Nelson City Police did not seem to be progressing.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Cpl. Misner opened the RCMP file in relation to Mr. Singleton and the investigation of allegations of theft and fraud regarding the George and Copp Estates on September 14, 1993. He engaged in discussions within the RCMP as to whether the RCMP should take over the investigation from the Nelson City Police. After a meeting with his superiors on November 3, 1993, it was agreed that Cpl. Misner would conduct the investigation with the assistance of Cpl. Haddow (later promoted to Sgt.). Although he worked cooperatively with Cpl. Haddow, Cpl. Misner indicated that, practically speaking, he was the lead investigator as he was in charge of the exhibits and swore the Informations to Obtain for the search warrants as well as the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The most active phase of the investigation commenced in November 1994. Prior to that he conferred with the RCMP's Commercial Crime section in Vancouver and others about the cost of this investigation, including a forensic accounting. Other duties intervened and although he and Cpl. Haddow had agreed to start the criminal investigation in September 1994, they did not really get started until mid-November 1994 when they met with Mr. Goody and Mr. Skogstad, the lawyers who had been involved in the civil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During his meeting with Mr. Goody, Cpl. Misner learned that Mr. Goody had used a process server in the U.S. to locate Mr. Singleton, and that the address obtained was a specific box and rural route number in Nocona, Texas. He was further advised that Mr. Singleton's father was in a nursing home, Mr. Singleton had left the area and was reportedly heading back to Canada, and that he might be using his father's social insurance number and identity.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Cpl. Misner was advised by Cpl. Haddow on December 1, 1994 of information the latter had received from the wife of the chief of police in Nocona, namely that Mr. Singleton was living in a 1978 light blue Ford van with South Dakota licence plates, and was somewhat of a recluse.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On February 8, 1995 Cpl. Misner and Cpl. Haddow went to Mr. Skogstad's office and met with Mr. Ron Bogusz, who worked with Mr. Skogstad, regarding the Copp Estate. He received some documents provided voluntarily by Mr. Bogusz. Cpl. Misner had previously received some documents from Mr. Goody. Cpl. Misner recorded and catalogued all the documents that he received and spent some time between February and April 1995 assembling an Information to Obtain.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Cpl. Misner swore the Information to Obtain and received three search warrants, which he executed on April 12, 1995 at the CIBC in relation to the Trust Account, the Bank of Montreal regarding the Winchester Account, and the Nelson and District Credit Union where Mr. Singleton also had a trust account. Cpl. Misner advised that at that time he only sought bank account statements as the police were not charged for that service. If further bank documents were required, he could request them in a subsequent search warrant. However, Cpl. Misner advised that he did not need to seek and execute further search warrants because he found sufficient evidence to substantiate the charges based on what he had collected from all 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Cpl. Misner then worked on processing and analyzing the records seized or provided and this continued into May and June 1995. In July 1995 he and Cpl. Haddow conducted interviews and assembled their court brief, which was completed by August 17, 1995 and forwarded to Mr. Scott Bell, Crown counsel. Cpl. Misner advised that is was very common for these types of investigations to take some time to resolve and he was working on other files during this time. This was particularly so when it was necessary to amass, record, and analyze financial information to obtain a search warrant and then to do the same with information obtained in the search.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Cpl. Misner recalled that he next heard about the George Estate almost two and a half years later when he received a letter from Crown counsel, Mr. Kevin Marks, on December 15, 1997, indicating that charges of theft and fraud had been approved. Cpl. Misner was to swear the Information, which he did on December 30, 1997. After the Information was sworn, he said that he would have put a Canada-wide warrant for Mr. Singleton's arrest on the police computer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Cpl. Misner recalled that the gist of the letter from Mr. Marks was that if Mr. Singleton was located and efforts were made to extradite him back to Canada only the charges in relation to the George Estate could be pursued at that time. When he spoke with Cpl. Haddow on December 29, 1997, Cpl. Misner learned that Mr. Singleton had left Nocona and his whereabouts were unknown. Shortly after the Information was sworn, Cpl. Misner was transferred out of the Nelson RCMP commercial crime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Although he was advised by Ms. Cummings at the Law Society on October 14, 1994 that the Special Compensation Fund had paid out $530,000 in relation to the George Estate, Cpl. Misner said he felt under no pressure from the personnel at the Law Society to wait for the conclusion of the civil lawsuits before laying criminal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Cpl. Misner also recalled that in October 1996 he received information from Cpl. Haddow that Mr. Daniel Markin had found documents belonging to Mr. Singleton's law practice. Because of solicitor/client privilege issues, Cpl. Misner contacted Mr. Bryden at the Law Society to make arrangements to secure the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On December 30, 1997 Mr. Thompson, as the custodian of Mr. Singleton's law practice, called Cpl. Misner. Cpl. Misner did not take further steps to secure obtain the materials in the possession of Mr. Thompson because he had sufficient information to prove the charges, and because they were documents from a law practice additional steps would have been required. Cpl. Misner also advised that he was aware that Mr. Singleton had two storage units at 12 Mile Storage containing materials from his law practice, but he did not take steps to seize those materials as he did not need them for his court brief.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On cross-examination, Cpl. Misner said that when he met with Cpl. Haddow on November 17, 1994, after their meetings with Mr. Skogstad and Mr. Goody on the preceding days, it was agreed that Cpl. Haddow was to contact the leads in Texas and find out about 12 Mile Storage. Cpl. Misner was to check into the land and the items obtained from Mr. Goody, as well as make some inquiries about Mr. Singleton's friend, Ms. Brock. The police learned that Mr. Singleton had been back in Nelson in December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Cpl. Misner indicated that, after submitting his court brief on August 17, 1995, his notes reveal that he contacted the Crown in February 1997 and was advised that it was under review. His next note, on December 4, 1997, reveals that he received a call from Mr. Oliver Butterfield at the Crown office that he was reviewing the brief and sending it to Vancouver Commercial Crime. Cpl. Misner indicated that this was a longer time than normal to wait for a response from the Crown. However, he said most matters he dealt with were not of this magnitude, and the Crown would usually respond to smaller investigations in fairly short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Cpl. Misner reiterated on cross-examination that when civil proceedings were ongoing or had occurred in relation to a matter being criminally investigated, although it was "two sides of the same coin," he did not share aspects of the criminal investigation and used care in using materials compelled in the civil proceedings. He said that in relation to the materials pertaining to the George Estate that he received from Mr. Goody, there was no indication of compulsion.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Cpl. Misner also indicated that when he met with Mr. Skogstad on December 16, 1994 he mentioned that someone in his office had done an audit of money from the estate into Mr. Singleton's account. Cpl. Misner was concerned about taking the accounts of Mr. Singleton's companies without a court order so he declined to do so. On February 8, 1995, when Cpl. Misner met with Mr. Bogusz of Mr. Skogstad's office, who had done the audit, he was advised that their office had the original trust ledger cards, other documents, and minute books relating to the companies, which Cpl. Misner noted that he declined to view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When Cpl. Misner was asked whether he felt pressure from the Law Society to pursue this matter and was referred to the July 26, 1993 letter, from their investigator Mr. Bryden, Cpl. Misner said that while people may express an interest in an investigation he did not perceive it as pressure to "pick up his 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When pressed on cross-examination as to why he did not seize the primary deposit documents and cancelled cheques from the CIBC (the Trust Account) or the Bank of Montreal (the Winchester Account) when executing the search warrants, Cpl. Misner advised that the search warrants covered an eight year period and he understood from Ms. Fraser at CIBC that the bank only kept primary deposit documents and cancelled cheques for 6 years, whereas the account statements are generated from primary documents. He said that the police reviewed the account statements to see what more was needed, and he also admitted that he did not go back to the financial institutions for further documents. He agreed that had he done so he would have obtained cancelled cheques that would have shown various payments. For example, Cpl. Misner was not aware that the Salvation Army had initially denied receiving their $50,000 bequest from the George Estate when, in fact, they had received it, and a cancelled cheque would have shown this. Cpl. Misner indicated the charges that were laid were substantiated by documents other than cheques, for example by bank drafts, and the investigation continued in a normal fashion and the police never went back to the banks for further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Cpl. Misner did admit that by June 1995, when Cpl. Haddow started working on the documents, they realized that many of the transactions were not clear on the basis of the documents they obtained. He agreed that Ms. Given at the CIBC told them that the bank was not going to be keeping the documents for much longer, but said the police did not go back with a further warrant. Cpl. Misner also agreed that when he received the telephone call in December 1997 from Mr. Butterfield, who was the new deputy regional Crown counsel, Mr. Butterfield was apologetic about the Crown not getting back to him sooner about the George Estate file. Cpl Misner agreed that it was his practice to collect newspaper articles in relation to matters being investigated and when Mr. Butterfield asked him for newspaper clippings he would have sent copies of what he had in the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Cpl. Paradis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Cpl. Daniel Paradis was the RCMP Liaison Officer at the Canadian Embassy in Washington D.C. from 2000 to 2005. In this role, he attempted to link up Canadian and American law enforcement and other agencies to further investigations. He stressed that as a diplomat he had no enforcement powers in the United States and no access to American records except through connections. With sufficient grounds, however, he indicated he could endeavour to persuade an American agency, such as the one that maintains social security records, to search their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xml:space="preserve">  After 9-11, Cpl. Paradis indicated inquiries to the FBI that did not related to potential national security issues were very low priority. He also said that as some data bases were not up-to-date, the information could be false or unreliable, and it was hard to tell unless one had other information to use as corroboration. For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matters he said it often took a long time to find out which local authority to contact. He also said that the procedure to rent postal boxes varied state to state, and in some states were rented without much personal information being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In terms of his involvement in the RCMP investigation of Mr. Singleton, Cpl. Paradis said that the first date of his involvement was when he received an email from Sgt. Quenneville on October 21, 2002, asking for assistance in locating Mr. Singleton. Cpl. Paradis responded that he would and asked for Sgt. Quenneville to send the information. Apparently, Sgt. Quenneville faxed back with information the same day but for whatever reason - either the fax was not received or was received and lost - Cpl. Paradis did not receive the response. Nothing further happened until April 29, 2003, when Sgt. Quenneville emailed him again asking for an update, and Cpl. Paradis again asked him to send the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On April 30, 2003 Cpl. Paradis located a deputy sheriff in Sumner County in Kansas where the town of Peck was located. There was information that linked Mr. Singleton to PO Box 27 in Peck, Kansas. The same day it was learned that someone named Singleton had opened that box but that he probably lived in Wichita, Kansas. The deputy sheriff also verified a driver's licence in Singleton's name and sent the photograph from the licence to Cpl. Paradis, who in turn forwarded it to Sgt. Quenneville. Sgt. Quenneville responded on the same day that it was a photograph of Mr. Singleton.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Once Cpl. Paradis got back to the deputy sheriff that the person whose photo was on the driver's licence was the person the Canadian police were looking for, the deputy sheriff advised they had checked social security records and learned that Mr. Singleton lived in nearby Butler County. Cpl. Paradis asked him to keep looking for Mr. Singleton. When he sent the deputy sheriff an email to remind him on May 23, 2003, the response was that Mr. Singleton was supposed to be working at a college with several campuses near Wichita, and the deputy sheriff needed to enlist the assistance of the Office of Special Investigation, which he had done. Further inquiries by Cpl. Paradis led to communication with the Butler County sheriff's office, where Mr. Singleton was most likely to be found, and on July 11, 2003 Cpl. Paradis sent a request that they confirm Mr. Singleton's presence without arousing his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On July 17, 2003, Cpl. Paradis received a street address for Mr. Singleton in North Wichita and a phone number under the name of Mona Stockton. He was advised that Mr. Singleton worked part-time in the library at the Rose Hill Campus of Butler Community College and was also teaching English and Literature from June to the end of July. Mr. Singleton was also scheduled to teach in August and a postal address with the same post office box number in Peck, Kansas, was provided. On July 24, 2003, Cpl. Paradis sent the information to Sgt. Quenneville. On the same day, the detective with the Butler County sheriff's department confirmed that they had taken pictures of Mr. Singleton in front of the college and his home, and that they were available to arrest him once the extradition warrant and papers were in order. After that Cpl. Paradis was involved only to pass information back and forth between Sgt. Quenneville and the Butler County sheriff's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On cross-examination Cpl. Paradis agreed that he did not receive an earlier request sent by Sgt. Quenneville in October 2002. He also agreed that once he received the request to assist in trying to locate Mr. Singleton in April 2003, the matter moved quickly and Mr. Singleton was located by the end of July. Cpl. Paradis was asked some questions about hiding people if need be, and he agreed it was preferable to change their names. He agreed that to search for a person under their own name and in their profession would narrow the search but would not necessarily be successful. He indicated that he used the basic search engines, primarily Google, to locate law enforcement agencies, but he did not recall looking for a person on Google. When asked about querying American Social Security information, Cpl. Paradis agreed that was available to American law enforcement agencies and he could have requested such an inquiry be made if he had a basis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Cpl. Paradis indicated Sgt. Quenneville did not tell him that Mr. Singleton was a U.S. citizen, and he had learned that only while testifying. He also agreed that with the assistance of the right agency drivers' licences in Kansas and South Dakota were able to be queried. Cpl. Paradis agreed that if he had known Mr. Singleton was a teacher and known of the book "Who's Who Among America's Teachers" (where Mr. Singleton is listed with a photo and said to be teaching at Butler City Community College as of 1997) he could have checked it to see if Mr. Singleton was listed. As to whether he thought Mr. Singleton was a fugitive from justice, Cpl. Paradis indicated all he knew initially was that Mr. Singleton had a post box in Peck, Kansas, and that he did not live there. While Mr. Singleton was using his own name and teaching a course, Cpl. Paradis said he was still not aware of where Mr. Singleton was living until the final inquiries had been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Sgt. Quenneville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Sgt. Quenneville took over responsibility for the RCMP Commercial Crime unit based in Nelson from Cpl. Misner in January 1998. He did not have an opportunity to look at the files relating to Mr. Singleton and the George and Copp estates until March 1998. He met with Cpl. Misner and they reviewed the files and prioritized the outstanding investigations. The outstanding charges and allegations relating to Mr. Singleton became Sgt. Quenneville's priority. He understood that before extradition could be considered the Copp Estate investigation had to be finished, or new charges could not be laid once Mr. Singleton was returned.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On April 3, 1998, Sgt. Quenneville executed a search warrant on the law office of Mr. Skogstad searching for documents pertaining to the Copp Estate. He seized various documents. On April 6, 1998, Sgt. Quenneville executed a search warrant at the law offices of Mr. Thompson in Castlegar. He had advised Mr. Thompson that he was coming and understood that Mr. Thompson was holding eight boxes of materials recovered from Mr. Singleton's law practice. Sgt. Quenneville waited in the waiting room while Mr. Thompson sorted through the boxes to pull out what was relevant to the terms of the search and placed it in what would come to be described as the Craven box. They each sealed, initialled, and dated the box, and then drove together to the court registry in Nelson, where they turned the box over to registry staff. When it was determined that Mr. Thompson was no longer claiming privilege in relation to the contents of the Craven box, it was picked up for Sgt. Quenneville from the registry by his supervisor, Sgt. Doyland.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On April 15, 1998, Sgt. Quenneville executed a search warrant at the Royal Bank of Canada in Nelson where accounts in relation to the Copp Estate were located.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On May 5, 1998, Sgt. Quenneville prepared his Report to Crown Counsel in relation to Mr. Singleton and the Copp Estate. He also checked CPIC and confirmed that there was still a Canada-wide warrant for Mr. Singleton's arrest in relation to the George Estate charges. He had previously learned that Mr. Singleton was living in his van and there were some indications he might be moving to Mexico. However, as of May 5, 1998, Sgt. Quenneville said that he did not know where Mr. Singleton was, although he thought Mr. Singleton was still in the Nocona area of Texas, based on some police inquiries and the fact that he was receiving mail at an address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On June 23, 1998, Sgt. Quenneville was able to examine the contents of the Craven box. He removed those he considered relevant to his investigation and left the remainder in the Craven box.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On August 5, 1998, Sgt. Quenneville swore the Information charging Mr. Singleton with theft and fraud in relation to the Copp Estate, and a Canada-wide warrant was issued in relation those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Sgt. Quenneville understood that extradition of Mr. Singleton from the U.S. back to Canada to face the charges would be pursued. He contacted the police in Nocona, Texas, and learned on August 20, 1998, that Mr. Singleton was still receiving mail at a post box there. At that time he did not ask the police to make further inquiries because he did not want to tip Mr. Singleton off that the Canadian police were looking for him, such that he might disappear. He further understood that Mr. Singleton might be using someone else's social security number, had changed his appearance, and would be hard to locate and with only a post box address, a Texas driver's licence, and a vehicle with South Dakota plates. He also knew that Mr. Singleton had failed to return to Nelson to deal with some court matters (the income tax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Sgt. Quenneville called the chief of police in Nocona on October 19, 1998 to follow up on a letter. He was told that Mr. Singleton had left the area two years previously and that he had been living in a van, his mail was being delivered to his father in a local nursing home, and further inquiries would be made of his sister. When Sgt. Quenneville followed up on December 8, 1998, he was advised that Mr. Singleton's sister indicated that one day Mr. Singleton just packed up and left town and she had no idea where he had gone.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In terms of taking further steps, Sgt. Quenneville said he considered applying for a search warrant in relation to Mr. Singleton's storage unit at 12 Mile Storage, but concluded that it was unlikely that he had sufficient grounds for the warrant. He also considered getting a Dial Number Recorder for the telephone of Ms. Brock in Nelson, who he understood to be Mr. Singleton's "girlfriend," but did not do so. Thereafter, the Singleton file assumed a low priority as Sgt. Quenneville moved on to a very large fraud investigation in Cranbrook that consumed his time for the next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In October 2002 Sgt. Quenneville was able to return to the Singleton file and he asked the local dispatch to have checks run on the available data bases to see if Mr. Singleton had a driver's licence in the U.S. and Mexico. When they were not able to find anything, Sgt. Quenneville conducted searches on the internet and eventually found Mr. Singleton's daughter practicing law in Washington D.C. He spoke to her on October 17, 2002, and she said she had last received a letter from her father about a year and a half before with an address in Peck, Kansas.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Once Sgt. Quenneville had the post box address in Peck, Box 27, he was able to find a driver's licence in Mr. Singleton's name associated with that address. Prior to this date, he was not aware of any connection to Peck, Kansas. It was at this point that Sgt. Quenneville that contacted Cpl. Paradis in Washington D.C. by email to see if he could assist in locating Mr. Singleton. In an attachment to his email he asked Cpl. Paradis if the local authorities in Peck, Kansas could make discrete inquiries to try to locate Mr. Singleton. By this point, Mr. Singleton had been away from Canada for eight years and Sgt. Quenneville thought that if Mr. Singleton was tipped off he would again make himself scarce. Sgt. Quenneville received no response to this inquiry and inquired again about six months later on April 28, 2003. That inquiry got an immediate response and by May 6, 2003 Sgt. Quenneville had been advised that the Peck post office box did belong to Mr. Singleton, he had a social security record, and was employed at a community college in Butler County. After contacting the Crown to check on the continuing availability of witnesses, Sgt. Quenneville got back to Cpl. Paradis to see if the local authorities could physically confirm Mr. Singleton's presence in the area. On July 21, 2003 the local detectives had confirmed that Mr. Singleton lived at an address in Wichita and was teaching some classes and working part-time in the college library. Sgt. Quenneville received surveillance photos that confirmed Mr. Singleton's identity on July 24,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In October 2003, Sgt. Quenneville took steps to start drafting the affidavit to support the extradition application. He completed a draft that was sworn on December 1, 2003, which then required revisions, swore a subsequent one with an incorrect reference to his location when it was sworn, and swore the final one on June 10, 2004. In relation to the George Estate, Sgt. Quenneville briefed himself from Cpl. Misner's Report to Crown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In his evidence Sgt. Quenneville was taken to several errors in the final extradition affidavit where he overstated the total value of the George Estate and the amount missing, due to higher amounts attributed to the Canada Savings Bonds and withdrawal, but reiterated that this would not have changed his view of the file in terms of pursuing the extradition, or altered his view of Mr. Singleton as a flight risk. Likewise, Sgt. Quenneville would not have changed his view had he known that the Salvation Army had, in fact, received its $50,000 bequest, but not its share of the residue.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Sgt. Quenneville recalled that on August 25, 2004 he received a call from a person with the U.S. District Attorney's office in Wichita inquiring for the judge as to Mr. Singleton's citizenship, to which Sgt. Quenneville replied that he believed Mr. Singleton was an American citizen and in all the circumstances he believed him to be a flight risk. On September 24, 2004 Sgt. Quenneville made an inquiry and learned that Mr. Singleton had both Canadian and American citizenship, having become a Canadian citizen on April 19, 1971.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On August 31, 2004 Sgt. Quenneville was advised that Mr. Singleton had been arrested.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On cross-examination Sgt. Quenneville confirmed the periods of time when the police were waiting to hear back from Crown counsel in relation to the Report to Crown counsel prepared by Cpl. Misner and when the police had other investigative priorities. He reiterated that he understood from Cpl. Misner that the Copp Estate investigation had to be completed and the Information laid before the Crown could proceed with the extradition of Mr. Singleton. In relation to the search warrant that Sgt. Quenneville executed at the law office of Mr. Skogstad on April 3, 1998, he agreed that he had noted that Mr. Skogstad said that he had another box to get ready and turn over to the police when he got it, and that he never received anything further from Mr. Skogstad. Sgt. Quenneville did not recall if he considered going back to get this box. He also agreed that when he executed the search warrant at Mr. Thompson's office, due to the claim of privilege he relied on Mr. Thompson to go through the materials in the boxes and pick out the items caught by the terms of the search.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Sgt. Quenneville was cross-examined about his efforts to find Mr. Singleton after August 1998 when the charges in relation to both estates had been laid and the extradition could proceed. Although he had the matters of 12 Mile Storage and a potential Dial Number Recorder to be put on Ms. Brock's telephone in Nelson on his "to do" list, Sgt. Quenneville admitted that this matter became a low priority because the charges were laid, Canada-wide warrants were in place, and Mr. Singleton's whereabouts were unknown. It remained a low priority with no further attempts being made to locate Mr. Singleton from December 1998 (when the Nocona police chief advised that, according to Mr. Singleton's sister, Mr. Singleton had been living in his van and had just picked up and left two years earlier) to October 10, 2002, when Sgt. Quenneville searched the internet. Although unsuccessful in finding Mr. Singleton via the internet, he did find Mr. Singleton's daughter, with whom he spoke on October 17,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Once Sgt. Quenneville had obtained the post box address in Peck, Kansas from Mr. Singleton's daughter, he commenced his inquiries via Cpl. Paradis. When it was put to Sgt. Quenneville that Mr. Singleton was living in a rather open way in Wichita and teaching under his own name at a community college, and hence could not be said to have been hiding, Sgt. Quenneville agreed that he was not looking for Mr. Singleton during those years between December 1998 and October 2002. However, he adhered to his view that Mr. Singleton was hiding and did not want to be found as he was not back in Canada, and had left Texas two years prior to 1998 according to his sister, who did not know his whereabouts. He also agreed that Mr. Singleton did appear in the "Who's Who of American Teachers," which was inconsistent with his hiding, but stated at the time he swore the affidavit in support of the extradition request he believed Mr. Singleton to be hiding. Sgt. Quenneville also agreed he used the word "stole" many times in an affidavit prepared in relation to Mr. Singleton and the estate funds, because the evidence he had indicated that Mr. Singleton "stole" from the estates.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Sgt. Quenneville was also cross-examined about the various Crown counsel who had been involved with the Singleton matter from the beginning (that numbered eight excluding the trial Crown), and the mistakes and inaccuracies already referred to in his affidavit supporting extradition. When asked why he referred to an amount of $52,520.13 noted to be for fees and disbursements as stolen by Mr. Singleton, Sgt. Quenneville said that "stole" was just the word that he used in relation to all the entries listed. When he was asked why would he not check to see whether that amount represented a legitimate bill, Sgt. Quenneville said that he relied on the documents on file from Cpl. Misner's investigation and he could have checked for a bill and didn't. Sgt. Quenneville agreed that his approximately $700,000 error in his affidavit as to the total value of the George Estate (that arose from his addition of a particular figure to the total amount of the estate as specified in the probate documents, as opposed to its subtraction) was indeed an error but that it did not change his belief when he swore the affidavit, or the course of the extradition.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In re-examination, Sgt. Quenneville indicated that his use of the word "stole" in relation to Mr. Singleton's conduct regarding the George and Copp estates reflected his belief that that was so. When questioned about why he used the word "fled" in a press release by the RCMP dated September 2, 2004, in relation to Mr. Singleton, the criminal charges laid in 1997, and his departure from Nocona, Texas, Sgt. Quenneville stated that he used that word because Mr. Singleton's sister said that he had picked up and left. Sgt. Quenneville maintained his view that Mr. Singleton was a flight risk regarding the criminal charges outstanding in Canada while out of custody in the U.S., and he did not wish him released on bail pending the extradition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Defence's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Mona Singleton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Ms. Hill provided family background and history, including details of how her parents came to live in Nocona, Texas. In about 1991 their mother had a stroke. Both parents required care, which was arranged by having caregivers during the week and their children, including Mr. Singleton, help out for a block of time. Ms. Hill recalled that Mr. Singleton came to Nocona in the fall of 1991 and the fall of 1992. When their mother died in August 1993, Mr. Singleton came to Nocona around August 27, 1993, so that their father was not alone. Mr. Singleton stayed at their family's property until the spring of 1994, at which time he set off to work on the wheat harvest after their father had been placed in a care home. Ms. Hill described the wheat harvest embarked upon by Mr. Singleton as "your great romantic escape in the Central Midwest of the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The next time she recalled seeing Mr. Singleton was at their home in Boulder, Colorado in November 1994. She produced a photograph that had the two of them in it as well as the blue van that Mr. Singleton had been living in. She understood that he went to Kansas after that and heard from him sporadically. In 2002 she saw Mr. Singleton at a family reunion and understood that he was living in Wichita, Kansas at that time, and she thought by then that he was working at Butler College. In 2004 she became aware that he had been arrested and she visited him several times in Sedgewick County Jail.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On cross-examination, Ms. Hill agreed that her brother, Marvin, was a highly intelligent man. She agreed that he had never told her how he was doing financially as a lawyer or a literary agent, or about owning a company or developing a mountain community. She was not aware of him living in South Dakota and did not receive a post box address for him in Claremont, South Dakota. She did recall knowing that Mr. Singleton was living in his blue van in 1994 and 1995. She confirmed that he visited her in 1994 and 1999 when she lived in Boulder, and then in 2004 in Cortes, Colorado. Ms. Hill said that her brother has told her very little about the criminal charges, and has not told her what they are or what they relate to. On re-examination, she indicated that he moved from one apartment to another once he moved to Kansas, and that he lived for a long time in one particular apartment at the end of his stay in Peck.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Ralph Stacey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Mr. Stacey, called to the bar in 1975, opened a private practice in Nelson in 1985 after working for the Crown in Cranbrook, and then as Senior Crown in the West Kootenays from 1980 to 1984. He recalled meeting Mr. Singleton when he articled for a lawyer named Warren Ferguson who practiced in Nelson. Mr. Stacey had several cases where Mr. Singleton was acting for the other party. Mr. Stacey said that he did not enjoy doing trials with Mr. Singleton because his pleadings were verbose and confusing. He made fairly simple cases unnecessarily complex. Mr. Stacey recalled once applying to court to have portion of a claim advanced by Mr. Singleton struck. Mr. Stacey was not aware of the specifics of Mr. Singleton's academic career, but recalled once reading an article he had written and thinking it was well written.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Mr. Stacey recalled that when he learned of the problems with the estates Mr. Singleton had handled he was not particularly surprised that Mr. Singleton got himself into problems because it was his view that Mr. Singleton did things that he did not know how to do. Mr. Stacey also recalled a special assessment by the Law Society to cover the losses caused by Mr. Singleton about which he was not happy.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Mr. Stacey identified a letter he received from Mr. Singleton from Leavenworth Detention Center dated July 1, 2006, in which Mr. Singleton asked if he would consider representing him in "my looming trial over the Copp and George Estate charges," as Mr. Singleton had decided to "accept extradition and deal with the charges ..." Mr. Stacey replied that he would and quoted fees for doing so. He recognized a reported case in which he and Mr. Singleton had represented opposing parties in a construction law suit heard in the British Columbia County Court (</w:t>
      </w:r>
      <w:r>
        <w:rPr>
          <w:rFonts w:ascii="arial" w:eastAsia="arial" w:hAnsi="arial" w:cs="arial"/>
          <w:i/>
          <w:color w:val="000000"/>
          <w:sz w:val="20"/>
          <w:lang w:val="en-US" w:eastAsia="en-US" w:bidi="ar-SA"/>
        </w:rPr>
        <w:t>Maglio Industries Ltd. v. Nelson (City) School District No. 7</w:t>
      </w:r>
      <w:r>
        <w:rPr>
          <w:rFonts w:ascii="arial" w:eastAsia="arial" w:hAnsi="arial" w:cs="arial"/>
          <w:color w:val="000000"/>
          <w:sz w:val="20"/>
          <w:lang w:val="en-US" w:eastAsia="en-US" w:bidi="ar-SA"/>
        </w:rPr>
        <w:t xml:space="preserve"> </w:t>
      </w:r>
      <w:hyperlink r:id="rId720" w:history="1">
        <w:r>
          <w:rPr>
            <w:rFonts w:ascii="arial" w:eastAsia="arial" w:hAnsi="arial" w:cs="arial"/>
            <w:i/>
            <w:color w:val="0077CC"/>
            <w:sz w:val="20"/>
            <w:u w:val="single"/>
            <w:shd w:val="clear" w:color="auto" w:fill="FFFFFF"/>
            <w:lang w:val="en-US" w:eastAsia="en-US" w:bidi="ar-SA"/>
          </w:rPr>
          <w:t>(1990), 41 C.L.R. 115</w:t>
        </w:r>
      </w:hyperlink>
      <w:r>
        <w:rPr>
          <w:rFonts w:ascii="arial" w:eastAsia="arial" w:hAnsi="arial" w:cs="arial"/>
          <w:color w:val="000000"/>
          <w:sz w:val="20"/>
          <w:lang w:val="en-US" w:eastAsia="en-US" w:bidi="ar-SA"/>
        </w:rPr>
        <w:t xml:space="preserve"> (B.C. Co. 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Donald Skogstad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Mr. Skogstad was called to the bar in 1979 and came to Nelson to practice. Initially, he worked for two years for the provincial Crown and then started his own practice in 1982, in the areas of family, criminal, estate, bankruptcy, and libel law. Mr. Skogstad remembered Mr. Singleton practicing law out of his office on Baker Street but could not recall when he became a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Mr. Skogstad initially became involved in the Copp Estate matter when contacted by a lawyer in Vancouver whose mother-in-law was a beneficiary. He recalled having a hearing and receiving some records. Mr. Skogstad said he received lots of material from Mr. Singleton but he cannot say whether he volunteered it or if it was pursuant to a court order. He recalled that in late May or early June 1992 he received instruction to make a complaint to the Nelson City Police as he suspected Mr. Singleton of stealing from the Copp Estate. He recognized the occurrence report made by the Nelson City Police on June 10, 1992 as that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Mr. Skogstad said that he commenced a civil action against Mr. Singleton but did not have to conclude it because the Copp Estate beneficiaries were reimbursed by the Law Society's Special Compensation Fund. Mr. Skogstad was shown and recognized various pieces of correspondence from this time, including a letter sent by Mr. McGreal (who was working as a researcher for him at the time) to Ms. Cummings at the Law Society, dated November 3, 1992. In that letter, Mr. McGreal advised that while going through documents related to the Copp Estate he found a number of financial records relating to the George Estate, which in turn prompted him to check into the documents filed at the court registry relating to the latter. He suggested that the Law Society contact Mr. Goody who had been retained by the Hospital. Mr. Skogstad said that he personally did not remember documents pertaining to the George Estate being delivered with documents related to Copp Estate. Mr. Skogstad said that when the Law Society asked for information or documents he provided them, but when he provided documents to the police it was because they had a warrant. Mr. Skogstad also confirmed that he had an articled student, Mr. Bogusz, who was a Chartered Accountant, who dealt with Ms. Cummings at the Law Society in relation to compensation for the Copp Estate beneficiaries from the Special Compensation 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Mr. Skogstad said that he found that Ms. Copp's money went into the corporation that owned a piece of land. He testified that he personally saw records that supported $20,000 of Ms. Copp's money going into "the companies" (Silvertip and 433 Winchester).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xml:space="preserve">  Mr. Skogstad recognized a letter he wrote to Ms. Cummings at the Law Society dated June 23, 1995, in which he thanked the Law Society for its efforts and for reimbursing his clients, the beneficiaries of the Copp Estate, in the amount of their claim, $77,710, which was the shortfall to the estate after the recoveries he was able to make. He commended to the Law Society that it take proceedings under the </w:t>
      </w:r>
      <w:r>
        <w:rPr>
          <w:rFonts w:ascii="arial" w:eastAsia="arial" w:hAnsi="arial" w:cs="arial"/>
          <w:i/>
          <w:color w:val="000000"/>
          <w:sz w:val="20"/>
          <w:lang w:val="en-US" w:eastAsia="en-US" w:bidi="ar-SA"/>
        </w:rPr>
        <w:t>Escheats Act</w:t>
      </w:r>
      <w:r>
        <w:rPr>
          <w:rFonts w:ascii="arial" w:eastAsia="arial" w:hAnsi="arial" w:cs="arial"/>
          <w:color w:val="000000"/>
          <w:sz w:val="20"/>
          <w:lang w:val="en-US" w:eastAsia="en-US" w:bidi="ar-SA"/>
        </w:rPr>
        <w:t xml:space="preserve"> to attempt to recoup some of the funds it had to pay out to settle the claim. In his letter, Mr. Skogstad described the District Lot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District Lot, now practically clear cut, has a small residence on it. It was listed for sale in Nelson at over one hundred thousand dollars with no offers and maybe [sic] worth sixty or seventy thousand. It has no power and no winter access.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Defence counsel questioned Mr. Skogstad about articles in the local press about the loss to the Copp Estate through the activities of Mr. Singleton. Mr. Skogstad indicated that while he did not specifically recall speaking to Mr. John Betts, who reported for the Nelson Daily News, he knew him, and that because Mr. Betts knew Ms. Copp personally he followed the matter with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Mr. Skogstad was asked about documents relating to the Copp Estate that, according to Mr. McGreal, contained some documents pertaining to the George Estate and came into the possession of his firm. He indicated that they forwarded documents to the Law Society and then received documents back, and that the file was comprised of more than one box. He recalled that when Cpl. Quenneville executed the search warrant on his office (April 3, 1998) he had the documents ready and all the police had to do was come and get them. In relation to him furnishing another box of documents to the police later when it was ready, Mr. Skogstad had no recollection. Whatever was left of the Copp Estate file, Mr. Skogstad provided to his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In cross-examination Mr. Skogstad was referred to the statement of defence filed by Mr. Singleton in relation to the civil action commenced by Mr. Skogstad (File No. 2458, Nelson Registry), in which Mr. Singleton says he provided to Mr. Skogstad "the seal, minute book, and SILVERTIP records" in 1992. Mr. Skogstad said he did not remember that but it could have happened. He also said there came a point when he did not hear any further from Mr. Singleton, but he could not recall when that was. He did recall that the Copp Estate beneficiaries were not put to the additional expense of a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I note that in that same statement of defence, dated February 3, 1993, Mr. Singleton wrote on his behalf and on behalf of 433 Winchester and Silvertip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said Defendant, MARVIN K. SINGLETON, and the Defendant corporations and each of the defendant Corporations, say that the Plaintiff's Interest in lands described 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Lot 11734, Kootenay District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is minimal if at all present; and that the Plaintiff's pro tanto share on the sale of the said lands if any share is found owing is amply covered by the potential sales value of the said lands.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Mary Ann Cummings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Ms. Cummings started working for the Law Society on April 2, 1991. She was the staff lawyer responsible for custodianships and the Special Compensation Fund, which was set up to reimburse members of the public who had their money misappropriated by lawyers. She recalled that Ernie Bryden worked in investigations and she believed Ian Doddington to have been the head of the audit department. Ms. Brenda Hersh was the auditor retained by Mr. Doddington in 1992 to do a report on the Singleton practice. She also became involved with Mr. Singleton in relation to his wrapping up his practice in 1991 and 1992, after which it became a compensation matter. Ms. Cummings noted that she had a telephone conference on April 28, 1992 with an unnamed bencher as to whether a custodian ought to be appointed to wrap up Mr. Singleton's practice because of problems in that regard, and the bencher noted that it would be preferable to avoid the cost of a custodianship. The unnamed bencher was to make efforts to find Mr. Singleton and contact him or of his friends and would get back to her. Ms. Cummings heard back from the bencher but no steps were taken to have a custodian of Mr. Singleton's practice appointed. She believed that Mr. Singleton was still in Nelson in the summer of 1992. Ms. Cummings recalled that much later, in 1996, Mr. Thompson was appointed as custodian of Mr. Singleton's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Ms. Cummings recalled that she was counsel to the committee when the claims regarding Mr. Singleton's practice came forward. She said that it initially appeared that Mr. Singleton was taking steps to wind up his practice properly and that he did respond to communications from the Law Society. Ms. Cummings recalled getting calls from Mr. Skogstad and Mr. Goody about estate problems, with the latter calling on August 4, 1992 and September 2, 1992. On August 7, 1992, the Chair of the Discipline Committee ordered an audit of Mr. Singleton's practice. She recalled that Ms. Hersh, who did the audit, made efforts to contact Mr. Singleton, which were unsuccessful. Ms. Hersh actually did an initial and final report as part of her spot audit following her trip to Nelson in May 1993, and after that the Discipline Committee asked that the matter be referred to the police for investigation as it appeared that there may have been money missing from the estates.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In the balance of her testimony, Ms. Cummings set out the information she received from Mr. Skogstad and Mr. Goody at various times and the correspondence of Mr. Bryden as to his dealings with the Nelson City Police and the RCMP regarding the criminal investigation of Mr. Singleton.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Ms. Cummings recalled the letter to the Law Society from Mr. Skogstad, dated June 23, 1995, after the Copp Estate beneficiaries had been paid out by the Special Compensation Fund, in which he suggested that the Law Society take steps to recover funds from the sale of the District Lot. She said that such recoveries were not top priority at the Law Society and it appeared that it would be extremely difficult to do so in this case, so unfortunately the Law Society did not recover anything.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Ms. Cummings also recalled that Cpl. Misner received a call on October 3, 1996 from Mr. Markin about finding Mr. Singleton's practice papers, and that this led to the Law Society taking steps to have Mr. Thompson appointed as custodian to deal with them by October 8,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Defence counsel reviewed with Ms. Cummings the record of complaints made to the Law Society about Mr. Singleton. There were one or more complaints per year from 1982 to 1990 that were investigated and various steps were taken to address problems with Mr. Singleton's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Ms. Cummings confirmed her understanding and read from the Report to the Special Compensation Fund Committee that Mr. Singleton had acted as the executor of the George Estate from May 1988 to May 1993, had received the money belonging to the George Estate of about $1.07 million, and had only paid out $500,000 in bequests. By May 1993, when Mr. Miller was appointed administrator of the George Estate, there was "virtually nothing left in the Estate account. ($23.30)," and Mr. Singleton's books and records were missing. She said that she did not know that the funds had gone into 433 Winchester or she would have advised the committee of that fact. She agreed that had a custodian been appointed earlier then these things would have been discovered, and that it would have helped to have the cheques from Mr. Singleton's trust account to show where the money went. She did recall that she saw some cheques but a complete record would have been useful.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Ian Doddington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Mr. Doddington is a qualified Chartered Accountant. He worked for the Law Society from 1979 to 1998 when he left to set up his own practice. He had a supervisory role in relation to monitoring lawyers' reports in relation to trust account reporting. He recalled that the old "Form N" that lawyers were required to complete annually changed in 1988 or 1989 to a "Form 47." He described the Form N as an accountant's report about the status of a lawyer's trust account and that it was not an audit. Form M contained the instructions to the accountant and included a direction that the accountant review all monthly trust reconciliations and compare the gross trust liability with the balances in the bank statements. The accountant was also to review the bank statement balances with the balance on the member's cash record and consider the cheques listed by the member and reconcile them with those listed on the bank statements. The accountant was also to ensure that there was a complete listing of all the trust accounts of a lawyer and include them in the overall trust reconciliation.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Mr. Doddington did not recall any problems being referred to him regarding Mr. Singleton and his Form Ns or Form 47s. For example, on Mr. Singleton's Form N for 1988 he listed two trust accounts, one at the CIBC in Nelson and the other at the Edelweiss Credit Union in Surrey, and Mr. Doddington said that he accepted that response until he had information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Mr. Doddington recalled the fraud allegations and assigning Ms. Hersh to do the spot audit of Mr. Singleton's books. He explained there were no parameters to a spot audit and that it was "an open ticket." He recalled that they ran into a roadblock as neither Mr. Singleton nor his records were available. He was aware that the Law Society asked its two investigators (former RCMP officers) to try to locate Mr. Singleton, but he was not aware of what steps they may have taken. Mr. Doddington noted a call from another Nelson lawyer, Mr. Layfield, on May 5, 1993. Mr. Layfield assured Mr. Doddington that Mr. Singleton was coming back, passed on information about Mr. Singleton storing some files and destroying others, said he knew of a house where Mr. Singleton was staying, and if called every two weeks Mr. Layfield would advise as to Mr. Singleton's whereabouts. Mr. Doddington was also aware that years later documents related to Mr. Singleton's practice were found, but had forgotten until recently that a custodian was then appointed.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Mr. Doddington recalled that Ms. Hersh was fully briefed before she went to Nelson to do the spot audit. He agreed that her report to him dated March 24, 1993 contained a number of recommendations that, with the exception of speaking to Mr. Singleton's book keeper, Ms. Shacher, were not followed up upon. They included "reconstruction of accounting records for 433 Winchester Management Corp. and Silver Tip 1000 Enterprises Ltd. to confirm receipt and disbursement of all client funds of Haroldine Copp," a review of Mr. Singleton's involvement with the George Estate, and a review of Mr. Singleton's handling and disposition of other client files. He said the report went to the Discipline Committee and after that his department did not take any further steps. He became aware at some point that the Hersh report was provided to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On cross-examination Mr. Doddington agreed with the suggestion put to him by counsel for the Crown that the filing of Form Ns or later Form 47s was used to monitor a lawyer's compliance with trust fund rules, and if there was a troubling report then the Law Society would investigate further. However, the fact that a lawyer files such a form does not mean that there have been no improprieties as it is based on the lawyer making full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Mr. Doddington advised that a hypothetical scenario with features in common with the present case would be cause for concern, and the Law Society would go immediately to a spot audit rather than giving the lawyer notice of the audit. He also agreed that a greater level of scrutiny attaches to lawyers' trust accounts. If a lawyer does not disclose the existence of a trust account it is not subject to scrutiny. When asked if a lawyer takes $180,000 of trust funds and spends them inappropriately, the scenario where he or she has created a ledger to account for the funds is more likely to leave a trail to be followed in an audit. When there is no client trust card or ledger, the $180,000 would just show as a deficiency. He also knew of situations where transactions had been "dummied up," where no shortage showed, to facilitate the removal of funds and the books would appear to balance. Mr. Doddington said that such a scenario might get past a Form N accountant, but hopefully not a spot audit. He also made reference to a rule that requires a lawyer to keep certain books and accounts for ten years after leaving practice or make a suitable alternate arrangement. He reiterated that the purpose of a lawyer's trust fund is to deal with funds related to clients' files and not to run personal businesses of either the lawyer or the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Graeme Keirstead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Mr. Keirstead, a lawyer, started to work at the Law Society in February, 1999, and when Ms. Cummings retired from the Special Compensation Fund and custodianship department he took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Counsel for Mr. Singleton reviewed with Mr. Keirstead documents in Law Society files relating to the Special Compensation Fund claims regarding the Copp and George estates, Mr. Singleton's complaint history, information about the extradition proceedings in Kansas and updates from Crown counsel regarding the same (including information passed to the Crown counsel from counsel in Kansas representing the Requesting State), and notations of another staff person regarding a call from Crown counsel Teresa Mitchell-Banks on November 2, 2004, regarding the Crown' s filing of a supplemental affidavit and their concern that if released Mr. Singleton would disappear.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Mr. Keirstead reviewed intermittent correspondence and calls between various Crown counsel and Law Society staff while Mr. Singleton was in custody in Kansas during the extradition proceedings. These materials indicated that staff at the Law Society was interested in following the progress of the extradition matter, and serving Mr. Singleton with their civil action for the amount paid out by the Special Compensation Fund to the George Estate beneficiaries. Ultimately, because of difficulties in serving Mr. Singleton in prison in Kansas, the Law Society's counsel decided that they would seek a restitution order in the Canadian criminal proceedings once Mr. Singleton was returned to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In court, Mr. Keirstead said that while the Law Society wouldn't describe themselves as the victim in this case, they do take the stewardship of their members' money fairly seriously, and if they "could bring it back to pay other fees" they would.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Marvin K. Singleton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Mr. Singleton was born on February 4, 1933 in Kansas. He described to the Court his early life, family, and educational background. Details of his arrival in Nelson have already been described.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When Mr. Singleton came to Nelson he and his wife bought a house at Queens Bay, next to the home of Haroldine Copp. Mr. Singleton told the Court a fair bit about Ms. Copp. By the time Notre Dame University closed Mr. Singleton's daughter was in college. He wanted to continue to support her so he decided to use his law degree and article and become a lawyer. He articled with Mr. Warren Ferguson in Nelson and was called to the bar in September 1978. Mr. Singleton took over Mr. Ferguson's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Mr. Singleton explained that he had always followed the writings of Jerome Frank, an American legal philosopher, who was of the view that if one was going to teach law at the level of the humanities, one should spend ten years in practice. With that in mind, Mr. Singleton decided to practice law and then return to his "hobby horse" of "re-balancing equity and the common law." He said that he wanted to get "on the edge of certainly civil litigation, which [he] did with that in mind," and he set about to learn everything he could within that ten years, although he admitted that it turned out to be 12 years. Mr. Singleton said, "I hit it hard." Mr. Singleton indicated that he taught family law at the University of British Columbia, Faculty of Law for a term in 1986. Mr. Singleton then explained to the Court various academic articles he had written that were published. He had an abiding interest in Faulkner and Melville, and equity and the common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Mr. Singleton was aware of complaints made to the Law Society about him as a lawyer and he indicated that he "thought the majority of the complaints were frivolous and none of them as to [his] knowledge ever came to anything." He recalled that in 1985 a peer review was ordered of his practice, which was conducted by Tom Melnick (now and for many years Melnick J. of this Court) from Cranbrook. Mr. Melnick reported to the Law Society about his review and Mr. Singleton identified from the correspondence a number of issues that Mr. Melnick discussed with him including filing and bring-forward systems, desk diaries, and file organization. At that time, Mr. Singleton provided a break-down of his practice to be 5% solicitor's work, 40% family law, 50% litigation, and 5% administrative law. Mr. Singleton recalled that he thought it was an "accurate visit," and he did not remember disagreeing with anything found by Mr. Melnick. Mr. Singleton recalled that Mr. Melnick reviewed a number of his files and noted that he "pleads a lot of evidence in a rambling and most convoluted manner." Mr. Singleton told the Court that he thought it was his literary background that led him to thinking that "bits of evidence made it more eloquent somehow."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Mr. Singleton recalled one particular tort case, as he reported to Mr. Melnick, where he saw his function as plaintiff's counsel, "as someone who cans the actions." Doing this in one case apparently led to a complaint about a matter he had referred to a firm in Vancouver, wherein a young woman had engaged in jello-wrestling and had, according to her mother, ingested some kind of drug, before being involved in a car accident and sustaining serious injuries. Mr. Singleton explained to the Court various things he had done to help the young woman and her mother that would not normally be done by a lawyer, and said he became subject to criticism for not investigating the matter more thoroughly. He recalled that Mr. Melnick reminded him that he was not to become involved in cases that he did not plan to fully investigate and take on. Mr. Singleton regarded that notion as "very Lower Mainland-ish." Mr. Singleton agreed that Mr. Melnick discussed with him that he was taking on files that he should not and in the last part of his report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get the impression that Singleton would really like to get out of the practice of law and back into teaching if he can find the opportunity to do it. It would be an opportunity that he might be well to avail himself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Mr. Singleton was reminded of a complaint review panel conducted by Mr. Tom Melnick and Mr. Michael Bolton in relation to two "major complaints" about his conduct of two files. The hearing was held in Vancouver on March 15 and April 28, 1986. In their report, dated July 30, 1986, Mr. Melnick and Mr. Bolton indicated that upon reviewing the errors and problems evident in Mr. Singleton's conduct of these two matters that he "appears to understand and accept that he made errors in the past, and appears committed not to repeat these errors." They also noted they discussed conflict of interest with Mr. Singleton and "were satisfied that he has a generally good grasp of the concept of conflict of interest, such that we would expect him to recognize conflicts, and he appears to recognise the importance of not acting where there is a conflict." They noted that Mr. Singleton "has a stylistic approach, particularly with regard to correspondence and pleadings that is wordy and somewhat unorthodox." They also observed that he "appeared to have a greater recognition of the need for investigation of facts, clear fee arrangements with clients, and the need to communicate with clients with respect to the costs and difficulties of litigation, and to report and bill on a monthly basis." The panel recommended that Mr. Singleton be encouraged to take as many civil litigation courses as he can conveniently manage from Nelson or wherever he is living a the time and that another peer review be conducted in approximately eight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Mr. Singleton's response in Court to the comment about his style was that the panel members did not like his style as it was "equitably derived" and they were common law lawyers.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Mr. Singleton recalled that Mr. Melnick came back and did a further peer review on April 2, 1987. In his follow-up report, Mr. Melnick indicated that Mr. Singleton indicated to him that he got proper retainer agreements for all civil litigation files and that his writing style - in some instances "obviously wordy" and with "convoluted" language - was not likely to change. Mr. Melnick considered Mr. Singleton's office to be adequately organized, his files and records maintained in good order, and recommended that Mr. Singleton implement a limitation reminder diary system. Mr. Melnick concluded his report with a recommendation that any further action was "probably not practical." Mr. Singleton's response was that Mr. Melnick was right about him not changing his style, saying, "And I think he's right on there. Nobody's going to teach me how to write."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xml:space="preserve">  In late 1987 Mr. Singleton recalled meeting Mr. George and discussing his will. He recalled that Mr. George discussed with him "at some length the legacies and things like that." Mr. Singleton made notes and drafted up the Will, and he thought that he had drafted up Ms. Copp's will before that, but said that these two wills could have been the only wills he prepared. He said that he had not taken a course in wills drafting and was astonished by Mr. Carphin's testimony at the preliminary inquiry. Mr. Singleton said that he studied the </w:t>
      </w:r>
      <w:r>
        <w:rPr>
          <w:rFonts w:ascii="arial" w:eastAsia="arial" w:hAnsi="arial" w:cs="arial"/>
          <w:i/>
          <w:color w:val="000000"/>
          <w:sz w:val="20"/>
          <w:lang w:val="en-US" w:eastAsia="en-US" w:bidi="ar-SA"/>
        </w:rPr>
        <w:t>Trustee Act</w:t>
      </w:r>
      <w:r>
        <w:rPr>
          <w:rFonts w:ascii="arial" w:eastAsia="arial" w:hAnsi="arial" w:cs="arial"/>
          <w:color w:val="000000"/>
          <w:sz w:val="20"/>
          <w:lang w:val="en-US" w:eastAsia="en-US" w:bidi="ar-SA"/>
        </w:rPr>
        <w:t xml:space="preserve"> and a number of books in the law library about wills and estates, but he was not sure whether he did that when he drafted the Will or after Mr. George passed away. However, he said he did recall making a study of these things to his satisfaction. Mr. Singleton said the remuneration provision in the third codicil seemed very clear to him, and said he thought he had the right to do an interim account subject to taxation "and to continue those." In relation to the evidence of Ms. Shacher when she questioned his bill (for $52,520.13), Mr. Singleton said that when she raised it he reached for a book and she wasn't having any of that and left. He said he was reaching for a book because he had relied on it to determine what an appropriate interim account might be. Mr. Singleton said he may still have that book, but he was not sure, as he took one of the older books on the law governing trustees out of the law library: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very old and had in it some advice. I think they were more trusting of trustees in those days and it looked good to me, and I think that's - I made that or it fitted into what I found and that's what I went with. Looking at it now obviously I should have had a second opinion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xml:space="preserve">  Mr. Singleton maintained that he spent a tremendous amount of time working out the purchase of the land (District Lot) that was to be logged by the George Estate and that he made a filing in the Nelson Land Registry office that explained the whole transaction; that he did so as executor of the George Estate; and it set out the estate's interest in it and their security in accordance with the </w:t>
      </w:r>
      <w:r>
        <w:rPr>
          <w:rFonts w:ascii="arial" w:eastAsia="arial" w:hAnsi="arial" w:cs="arial"/>
          <w:i/>
          <w:color w:val="000000"/>
          <w:sz w:val="20"/>
          <w:lang w:val="en-US" w:eastAsia="en-US" w:bidi="ar-SA"/>
        </w:rPr>
        <w:t>Trustee Act</w:t>
      </w:r>
      <w:r>
        <w:rPr>
          <w:rFonts w:ascii="arial" w:eastAsia="arial" w:hAnsi="arial" w:cs="arial"/>
          <w:color w:val="000000"/>
          <w:sz w:val="20"/>
          <w:lang w:val="en-US" w:eastAsia="en-US" w:bidi="ar-SA"/>
        </w:rPr>
        <w:t xml:space="preserve"> based on a professional timber cruise. He said, "to me it was a sure thing, and disclosed publicly in that filing." (In fact, the unregistered draft mortgages Mr. Singleton found during the trial represent this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He said that he had heavy disbursements in relation to the George Estate and "had put a great deal of work into the investment scheme." Based on his reading of the clause in the third codicil, Mr. Singleton interpreted it as permitting him to be paid for his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Mr. Singleton said that after Mr. George died he did not recall sending out copies of the Will out to all the beneficiaries and resented the innuendo in comments that Mr. Goody made to the Nelson Daily News that he had not done so. However, in the documents provided to him by the police, Mr. Singleton said he had seen documents showing that he sent every beneficiary a copy of the Will. He said that this was the first estate he had dealt with. He talked about dealing with Mr. George's debts and his personal property. He said that he used the cheques at the Royal Bank (where the Estate Account was located) to pay the bequests to the sisters because they looked "more impressive."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When Mr. Singleton was asked about engaging Mr. Dietrich to assist him with the George Estate, Mr. Singleton said that he should recall hiring Mr. Dietrich, but he did not, although he recalled some of the evidence presented at the preliminary inquiry to some extent. When Mr. Singleton was asked what he was thinking about when he wrote Mr. Dietrich the June 28, 1988 letter in which he asked, "how would a competing investment have to perform annually, to overcome cash-in, and tax, penalties?,"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had knowledge at that time of what I saw as an absolutely incredible opportunity of a loggable acreage, and I had this - didn't know what to do with it, and I had by this time, I think, conceived that It could well be the kind of mountain community kind of investment that I in fact tried to pursue.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Mr. Singleton said that he was familiar with a number of upscale, mountain living communities like Telluride, Aspen, and Lake Tahoe, and given that there are people who want to live in the mountains and love the snow in various ways, the idea of developing such a community on the District Lot: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came together in my mind and I couldn't see any problems with that at all, and the cost of that property would be very, very [indiscernable] immediately repaid by logging, and the whole rest of it would come into being an asset.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xml:space="preserve">  Mr. Singleton said he bought a book, </w:t>
      </w:r>
      <w:r>
        <w:rPr>
          <w:rFonts w:ascii="arial" w:eastAsia="arial" w:hAnsi="arial" w:cs="arial"/>
          <w:i/>
          <w:color w:val="000000"/>
          <w:sz w:val="20"/>
          <w:lang w:val="en-US" w:eastAsia="en-US" w:bidi="ar-SA"/>
        </w:rPr>
        <w:t>Design for Mountain Communities</w:t>
      </w:r>
      <w:r>
        <w:rPr>
          <w:rFonts w:ascii="arial" w:eastAsia="arial" w:hAnsi="arial" w:cs="arial"/>
          <w:color w:val="000000"/>
          <w:sz w:val="20"/>
          <w:lang w:val="en-US" w:eastAsia="en-US" w:bidi="ar-SA"/>
        </w:rPr>
        <w:t>, "about that time" in Vancouver and he used that book for planning what he would do at the District Lot. This included ponds and impoundments for fire control, and when it was well-watered he planned to grow various crops there. He said he corresponded with a man in Creston about growing wild rice and what strains would do well up there. When Mr. Singleton was asked why he thought something other than holding the George Estate in a liquid form to permit an immediate distribution of the estate as urged by Mr. Dietrich was a proper step for him to take as a trustee, he responded: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Um, in looking and hearing the testimony, it is clear I had a different response from him in respect of how much time I had, and I understood I had about four years time, which indeed I did end up having, because of the - and I take it - there was an investment in Alberta which I knew would take a long time to unravel and I figured that would hold back the residuary distribution.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Mr. Singleton saw his plan for the development of the District Lot as boosting or tripling the charities' residuary shares, which would have been a huge gain. He saw Jay Mooney as a very remarkable, capable person, in whom he had total faith, and he made him site superintendent of the District Lot project. Unfortunately, Mr. Singleton said, "that didn't work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Mr. Singleton saw the development of the District Lot as a "combination opportunity" for both estates. He considered that, "the one company ... was Ms. Copp's pocket (Silvertip) and the company that was the estate's pocket (433 Winchester), both benefited from it." Mr. Singleton considered the purchase of the District Lot through a corporation: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[a]clean way of doing it ... and I've filed papers that made that crystal clear as to whose pockets they were and, from the outset and before the purchase of the land, where the funds came from. I even used purchase money mortgage, equitable mortgage, things of that sort, and wanted those on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Mr. Singleton described purchasing the District Lot for $55,000. In terms of an appraisal, he said he had a professional timber cruise, which was essential to this kind of purchase, that he has been unable to find. He believed that harvesting the timber would pay for the District Lot. He now understood that purchasing their own logging equipment had been a mistake. The conveyance was done in his office. He reiterated that he filed documents of the transfer at the Land Registry Office that provided public notice of the George Estate's investment in the District Lot and that he "would not have done anything if [he] had not done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Mr. Singleton admitted that he had no experience in running a logging operation or in property development. They encountered some difficulties with logging the District Lot. Although initially it looked like they would have the "pre-development" done well on schedule, possibly within two years, "gradually it seemed to come apart." Mr. Singleton said that it was his fault and he had put Mr. Mooney in there and it did not work. At the same time Mr. Singleton said he had retired 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was trying to write and teach, and that actually was where a tremendous amount of my energy and attention went. So this thing of allocating responsibility wasn't working, and I know it bit in on my time that I wanted to be doing something else on to go up there and try to check stuff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Mr. Singleton said that by 1989 the development of the District Lot was "bogging down" and he was putting resources into it that he had not anticipated. By 1990, he said the documents show him still trying to make it work, and that he was slow to see, "what was certainly my fault - the problem of staffing." He said that the situation dragged on into 1991 and clearly broke down when Mr. Mooney filed his builders' lien on the District Lot. Mr. Singleton said that he listed the District Lot for sale in 1992 and had an appraisal done that he believed was for $170,000. By that time the associated costs, "had eaten it all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When asked about the $44,000 received by the George Estate (into the Estate Account) on May 1, 1989 and paid to 433 Winchester (the Winchester Account) the same day, Mr. Singleton said that it made sense to him that payment was made but he did not know what it was for. When asked when money was coming in to the George Estate why was he putting it into 433 Winchester, Mr. Singleton responded, "They were one and the same, as far as I was concerned."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When Mr. Singleton was asked about his Trust Account, he commented: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that's my basic trust account. I used that freely. I - there - there's talk of other trust accounts ... There may have been a trust account at the Royal Bank or Bank of Montreal. I don't recall. Those are all the same trust, basically, conceptually. And I've seen a lot of nonsense about that, including when I paid legacies out of my general trust account and they were not credited by anybody. "Hey, I stole them." I mean, that - there's - I understand trust accounts as a working thing. I never had any problem with my trust accounts for 12 years and I have seen, with respect, a vast amount of blather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Mr. Singleton said that he never had any problems with the Form N filing required by the Law Society. Apart from his general trust account, Mr. Singleton said that he was not sure if he had any interest-bearing special trust accounts, but he believed he might have formulated one for the George Estate, "because at the front end of that there was very large sums of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When Mr. Singleton was asked why he set up the Winchester Account in December 1988 at the Bank of Montreal he said that he had no memory of it and had "no idea." He then asked if it was a trust account, which his counsel advised him it was not. He then said "it would make sense" to have a chequing account. He agreed that although he had a long-standing trust account at the CIBC, he went to the Bank of Montreal and opened the Winchester Account, and offered no further explanation. In terms of the Estate Account at the Royal Bank from which he paid the $50,000 legacies to the sisters, he said he used it "because it looked better," and when asked to clarify, Mr. Singleton said the cheques themselves seemed "nicer somehow that it was labelled the George estate account." Although they were counter cheques, Mr. Singleton thought they looked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Mr. Singleton also said that when cheques were written from the Estate Account to the Bank of Montreal those funds would have been deposited into the Winchester Account. He continued to say that he had "a kind of working sense of accounts that seemed to go along with the Form Ns annual checking of accounts ...," but: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that's as much as I ever knew about accounting ... I reacted against formal accounting. I never had any courses in it. And it was only later in life when I took a course in Wichita State after I was disabled in a welding shop accident in around 1999 ... I got acquainted with what they call - some form of computer - style - not style sheets - it was a kind of bookkeeping format, and I actually came to understand that. So, genetically, I wasn't unable to understand it. I just never really liked them up til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Mr. Singleton understood that the Competency Committee at the Law Society was going to send three lawyers up to do a competency review of his practice, as there were further complaints against him, including several from Nelson lawyers that he regarded to be "frivolous." As he was not interested in having to pay the costs associated with having three lawyers travel from Vancouver to review his practice, he decided it was a good time to retire. He had done the ten years recommended by Jerome Frank and two additional ones. Therefore, he faxed the Law Society on October 23, 1990, advising that he was withdrawing from the practice of law. He did, however, advise the Law Society that he wished to deal with the outstanding complaints as he might wish to return to practice, "in the next year or so." He then had continuing correspondence from Mr. Leask on behalf of the Law Society, dated December 12, 1990, regarding the concerns of the Competency Committee regarding the disposition of his files.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Mr. Singleton advised that his intentions once he had retired were to become a literary agent and to complete a fairly large maritime trilogy he was writing. He was planning to teach a course in Women's Studies in the fall of 1990 for the Nelson University Centre. He moved to office space next to his law office space in the same building on Baker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374</w:t>
      </w:r>
      <w:r>
        <w:rPr>
          <w:rFonts w:ascii="arial" w:eastAsia="arial" w:hAnsi="arial" w:cs="arial"/>
          <w:color w:val="000000"/>
          <w:sz w:val="20"/>
          <w:lang w:val="en-US" w:eastAsia="en-US" w:bidi="ar-SA"/>
        </w:rPr>
        <w:t>  Around the time he retired from the practice of law in October 1990, Mr. Singleton advised that he would have been trying to upgrade the residence on the District Lot so that Mr. Mooney would want to live there with his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375</w:t>
      </w:r>
      <w:r>
        <w:rPr>
          <w:rFonts w:ascii="arial" w:eastAsia="arial" w:hAnsi="arial" w:cs="arial"/>
          <w:color w:val="000000"/>
          <w:sz w:val="20"/>
          <w:lang w:val="en-US" w:eastAsia="en-US" w:bidi="ar-SA"/>
        </w:rPr>
        <w:t xml:space="preserve">  In 1991 Mr. Singleton said he was working intensively on his novel, </w:t>
      </w:r>
      <w:r>
        <w:rPr>
          <w:rFonts w:ascii="arial" w:eastAsia="arial" w:hAnsi="arial" w:cs="arial"/>
          <w:i/>
          <w:color w:val="000000"/>
          <w:sz w:val="20"/>
          <w:lang w:val="en-US" w:eastAsia="en-US" w:bidi="ar-SA"/>
        </w:rPr>
        <w:t>The Cyprian Epic</w:t>
      </w:r>
      <w:r>
        <w:rPr>
          <w:rFonts w:ascii="arial" w:eastAsia="arial" w:hAnsi="arial" w:cs="arial"/>
          <w:color w:val="000000"/>
          <w:sz w:val="20"/>
          <w:lang w:val="en-US" w:eastAsia="en-US" w:bidi="ar-SA"/>
        </w:rPr>
        <w:t>, and participating in the teaching of a Grade 8 Social Studies class at a local school. Ms. Copp passed away. Mr. Singleton was the executor and trustee of her estate and recalled that Mr. Skogstad had him appear before the Registrar in June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376</w:t>
      </w:r>
      <w:r>
        <w:rPr>
          <w:rFonts w:ascii="arial" w:eastAsia="arial" w:hAnsi="arial" w:cs="arial"/>
          <w:color w:val="000000"/>
          <w:sz w:val="20"/>
          <w:lang w:val="en-US" w:eastAsia="en-US" w:bidi="ar-SA"/>
        </w:rPr>
        <w:t>  Also in 1991, when his relationship with Mr. Mooney broke down, Mr. Singleton advised that he had Jim Patience (now deceased and in relation to whom the defence assert prejudice in terms of unreasonable delay) and Larry Miller take over the duties formerly performed by Mr. Mooney at the District Lot. Mr. Singleton was upset by the builders' lien that Mr. Mooney placed on the District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377</w:t>
      </w:r>
      <w:r>
        <w:rPr>
          <w:rFonts w:ascii="arial" w:eastAsia="arial" w:hAnsi="arial" w:cs="arial"/>
          <w:color w:val="000000"/>
          <w:sz w:val="20"/>
          <w:lang w:val="en-US" w:eastAsia="en-US" w:bidi="ar-SA"/>
        </w:rPr>
        <w:t>  In 1992 Mr. Singleton was still receiving correspondence from staff at the Law Society, concerned that he had not properly dealt with his files and seeking a list of them. Mr. Singleton's testimony in response was that he was not concerned with such matters as he was writing his novels at "quite a serious pace" and could have counted the time "in seconds" that he spent on Law Society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378</w:t>
      </w:r>
      <w:r>
        <w:rPr>
          <w:rFonts w:ascii="arial" w:eastAsia="arial" w:hAnsi="arial" w:cs="arial"/>
          <w:color w:val="000000"/>
          <w:sz w:val="20"/>
          <w:lang w:val="en-US" w:eastAsia="en-US" w:bidi="ar-SA"/>
        </w:rPr>
        <w:t>  In March 1993 he had movers move his papers to 12 Mile Storage, but they left behind the bin (eventually found by Mr. Markin) some of which made its way into the Craven box.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379</w:t>
      </w:r>
      <w:r>
        <w:rPr>
          <w:rFonts w:ascii="arial" w:eastAsia="arial" w:hAnsi="arial" w:cs="arial"/>
          <w:color w:val="000000"/>
          <w:sz w:val="20"/>
          <w:lang w:val="en-US" w:eastAsia="en-US" w:bidi="ar-SA"/>
        </w:rPr>
        <w:t>  Mr. Singleton testified that it was the job of Mr. Layfield, who practiced in the same office, to do all the company work associated with 433 Winchester and Silvertip. He said that Mr. Layfield was retained to "make sure the share transfers were allocated properly, that was the April 1990 pattern," and he recalled that because he sought to confirm Mr. Layfield's accounts. Mr. Singleton said it was Mr. Layfield's job to keep the companies in good standing and that he "paid no attention to any of that and never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380</w:t>
      </w:r>
      <w:r>
        <w:rPr>
          <w:rFonts w:ascii="arial" w:eastAsia="arial" w:hAnsi="arial" w:cs="arial"/>
          <w:color w:val="000000"/>
          <w:sz w:val="20"/>
          <w:lang w:val="en-US" w:eastAsia="en-US" w:bidi="ar-SA"/>
        </w:rPr>
        <w:t>  Pursuant to the letter that Mr. Singleton wrote to Mr. Miller on August 13, 1990, wherein he refers to the problem with the Principal Group, Mr. Singleton elaborated that he felt that it gave him four years to do the investment. When asked why he would wait to distribute such a small amount, Mr. Singleton's response was that he did not know it was a small amount and did not want to assume that it was. Furthermore, when he was asked how he could say that he was anxious to pass and if necessary tax his accounts, and "The only other aspect is to render on a timely basis all assets liquid and that is not going to create any difficulty," when he knew that the money was locked up in the District Lot, his response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didn't see it as that locked up, but certainly that would have been what I had in mind for not being an asset and still at this time the intention was to generate out a cash flow to deal with the legacies which I had made progress on and - what is this - tax my accounts means exactly what that says. That would have been that $52,000 and the later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381</w:t>
      </w:r>
      <w:r>
        <w:rPr>
          <w:rFonts w:ascii="arial" w:eastAsia="arial" w:hAnsi="arial" w:cs="arial"/>
          <w:color w:val="000000"/>
          <w:sz w:val="20"/>
          <w:lang w:val="en-US" w:eastAsia="en-US" w:bidi="ar-SA"/>
        </w:rPr>
        <w:t>  When asked about his statement to Mr. Miller in the letter of August 13, 1990, that the residue, "may be available by November 1990, noting with regret the delay was greater than I had anticipated ...," Mr. Singleton responded, "I think that's before I had despaired to any degree of Mr. Mooney, but that seems very optimistic." When asked what steps he took to make it happen, Mr. Singleton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Well, I was being put up there to do stuff and I was doing what I could to combine that. It bit into writing novels I'll tell you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wasn't deleg - wasn't able to delegate the progress I wanted. So, sure, I hung in there and then at that exact point I may not have known how it would slow - slowing down. It could have been between then and November is when some of that might have come - come up along with the fact that things - winter was coming. I may have seen some difficulties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382</w:t>
      </w:r>
      <w:r>
        <w:rPr>
          <w:rFonts w:ascii="arial" w:eastAsia="arial" w:hAnsi="arial" w:cs="arial"/>
          <w:color w:val="000000"/>
          <w:sz w:val="20"/>
          <w:lang w:val="en-US" w:eastAsia="en-US" w:bidi="ar-SA"/>
        </w:rPr>
        <w:t>  When asked about his letter to Mr. Goody, dated October 22, 1991, in which Mr. Singleton indicated that he was, "planning a final passing of his accounts for February, 1992 ...," Mr. Singleton agreed that there was no final passing of accounts and said, "And I may have listed it, I may have been awaiting a sale of the real estate, I don't recall."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383</w:t>
      </w:r>
      <w:r>
        <w:rPr>
          <w:rFonts w:ascii="arial" w:eastAsia="arial" w:hAnsi="arial" w:cs="arial"/>
          <w:color w:val="000000"/>
          <w:sz w:val="20"/>
          <w:lang w:val="en-US" w:eastAsia="en-US" w:bidi="ar-SA"/>
        </w:rPr>
        <w:t>  When Mr. Singleton was asked about the Interim Accounting that he prepared and sent to Mr. Goody with his letter of November 15, 1991, Mr. Singleton said that when he was ready to "pass anything like an account" he would have an accountant work with him. Regarding the Interim Accounting that he prepared, he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had some materials for this November 15th, what I called interim accounting, and those were provided by accountants and they have to be worked on. These - this was not a formal accounting and Mr. Goody I understood knew that. He accepted it for what it was. And eventually several months later he wrote and specified that he did want a formal accounting, so I don't think he was misled by this. And if I look over this accounting, which I have had occasion to see, I remember one thing I have stated several times and that's I have no knowledge of accounting and don't understand the concept of it, whether it - of any sort. But I don't consider this misleading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384</w:t>
      </w:r>
      <w:r>
        <w:rPr>
          <w:rFonts w:ascii="arial" w:eastAsia="arial" w:hAnsi="arial" w:cs="arial"/>
          <w:color w:val="000000"/>
          <w:sz w:val="20"/>
          <w:lang w:val="en-US" w:eastAsia="en-US" w:bidi="ar-SA"/>
        </w:rPr>
        <w:t>  When Mr. Singleton was asked if an accountant helped him prepare the Interim Accounting he responded: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this is me. This is my putting that together, gave him something. At that time he was just a representative of one of the beneficiaries.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385</w:t>
      </w:r>
      <w:r>
        <w:rPr>
          <w:rFonts w:ascii="arial" w:eastAsia="arial" w:hAnsi="arial" w:cs="arial"/>
          <w:color w:val="000000"/>
          <w:sz w:val="20"/>
          <w:lang w:val="en-US" w:eastAsia="en-US" w:bidi="ar-SA"/>
        </w:rPr>
        <w:t>  Mr. Singleton did not know where the totals in the Interim Accounting came from, but said he did "seem to have sources for them." He did not include his interim executor account of about $52,000 because it had been paid before and therefore he did not consider it to be a liability of the George Estate. In relation to the amount of $18,600 that was his only entry regarding legal fees and disbursements charged to the George Estate, Mr. Singleton indicated that he could not really say where that figure came from, but based on the evidence that he has heard he knew various fee amounts had been charged, and he knew: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that happened when I found out how much work was involved to keep that investment moving in the direction that I wanted. And I - I don't really know and you can't tell from this how much I had paid on that. This - it is not the function of this accounting. This was just giving some sense of what remained to be paid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386</w:t>
      </w:r>
      <w:r>
        <w:rPr>
          <w:rFonts w:ascii="arial" w:eastAsia="arial" w:hAnsi="arial" w:cs="arial"/>
          <w:color w:val="000000"/>
          <w:sz w:val="20"/>
          <w:lang w:val="en-US" w:eastAsia="en-US" w:bidi="ar-SA"/>
        </w:rPr>
        <w:t>  When asked to clarify whether the $18,600 referred to as legal fees and disbursements in the Interim Accounting was related to an $18,000 legal bill, Mr. Singleton was not sure and wondered if perhaps he had dropped a "1" out of the total, but said he generally did not make those kinds of mistakes (i.e., Mr. Carphin's total was $115,000).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387</w:t>
      </w:r>
      <w:r>
        <w:rPr>
          <w:rFonts w:ascii="arial" w:eastAsia="arial" w:hAnsi="arial" w:cs="arial"/>
          <w:color w:val="000000"/>
          <w:sz w:val="20"/>
          <w:lang w:val="en-US" w:eastAsia="en-US" w:bidi="ar-SA"/>
        </w:rPr>
        <w:t>  When asked how confident he was that the Interim Accounting was completed correctly or with knowledge of how to do it, Mr. Singleton responded that he was not confident at all, and said that it was, "incomplete, very incomplete, very sketchy." Mr. Singleton confirmed that he did not know where the figure for Estate Income ($139,490.39) came from that he included in the Interim Accounting he sent to Mr. Goody, and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was what I felt told him basically what he needed to know at this time. I - as I say, I didn't foresee him as estate solicitor. I think at this time he was supporting Mr. Mooney's builders' lien on the estate property and a few things like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388</w:t>
      </w:r>
      <w:r>
        <w:rPr>
          <w:rFonts w:ascii="arial" w:eastAsia="arial" w:hAnsi="arial" w:cs="arial"/>
          <w:color w:val="000000"/>
          <w:sz w:val="20"/>
          <w:lang w:val="en-US" w:eastAsia="en-US" w:bidi="ar-SA"/>
        </w:rPr>
        <w:t>  When asked by his counsel if the liabilities of $675,000, as stated in the Interim Accounting, included the legacies that were distributed to the Hospital and Mr. George's sisters, Mr. Singleton responded: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Well, yes, I suppose that could be. I always had trouble I remember with double entry bookkeeping. It never made any sense to me. I tried to understand it historically as to something that the Vatican in particular got out of the Italian bookkeeping and refined that, but I should have studied it better. I just didn't. I reacted against it. I reacted against accounting and income tax things because in my family there were people who were very, very good at that and I just somehow never liked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389</w:t>
      </w:r>
      <w:r>
        <w:rPr>
          <w:rFonts w:ascii="arial" w:eastAsia="arial" w:hAnsi="arial" w:cs="arial"/>
          <w:color w:val="000000"/>
          <w:sz w:val="20"/>
          <w:lang w:val="en-US" w:eastAsia="en-US" w:bidi="ar-SA"/>
        </w:rPr>
        <w:t>  When asked what the money spent at the District Lot was being used for, Mr. Singleton indicated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wasn't being attentive to that and a very large amount of money went into machine repairs, acquisition, the grooming crews, some of the projects and land contouring and ponding ... that's where it went some of it,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390</w:t>
      </w:r>
      <w:r>
        <w:rPr>
          <w:rFonts w:ascii="arial" w:eastAsia="arial" w:hAnsi="arial" w:cs="arial"/>
          <w:color w:val="000000"/>
          <w:sz w:val="20"/>
          <w:lang w:val="en-US" w:eastAsia="en-US" w:bidi="ar-SA"/>
        </w:rPr>
        <w:t>  When asked if the funds he placed in 433 Winchester were sufficient to cover the expenses of the District Lot, Mr. Singleton replied: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the - they were overwhelmed by that. It required a much larger sum of money to do. I think Mr.Dietrich's testimony sounded dead on to me as to what I should have known and attended to, shouldn't have done - it was a calamity really.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391</w:t>
      </w:r>
      <w:r>
        <w:rPr>
          <w:rFonts w:ascii="arial" w:eastAsia="arial" w:hAnsi="arial" w:cs="arial"/>
          <w:color w:val="000000"/>
          <w:sz w:val="20"/>
          <w:lang w:val="en-US" w:eastAsia="en-US" w:bidi="ar-SA"/>
        </w:rPr>
        <w:t>  He elaborated further in terms of his being very slow to get the picture in relation to Mr. Mooney and the cost associated with putting a second story on the cabin on the District Lot to try to entice him to stay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392</w:t>
      </w:r>
      <w:r>
        <w:rPr>
          <w:rFonts w:ascii="arial" w:eastAsia="arial" w:hAnsi="arial" w:cs="arial"/>
          <w:color w:val="000000"/>
          <w:sz w:val="20"/>
          <w:lang w:val="en-US" w:eastAsia="en-US" w:bidi="ar-SA"/>
        </w:rPr>
        <w:t>  Mr. Singleton mused that at the time there was a little mini depression in the Nelson area and, "it didn't quite have the bounce that we had expected." In relation to the District Lot: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136 acres of virtually level, well soiled, roaded (sic) property probably now is worth several million dollars ... I, at the time, thought it would have netted easily a half million dollars more than the residuary could have otherwise expected. This was an error, a bad error of judgment, and I think everything Mr. Dietrich said is correct in regard to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393</w:t>
      </w:r>
      <w:r>
        <w:rPr>
          <w:rFonts w:ascii="arial" w:eastAsia="arial" w:hAnsi="arial" w:cs="arial"/>
          <w:color w:val="000000"/>
          <w:sz w:val="20"/>
          <w:lang w:val="en-US" w:eastAsia="en-US" w:bidi="ar-SA"/>
        </w:rPr>
        <w:t>  He also indicated that he put in about $90,000 of his own money to support the development of the District Lot. He said he wasn't mingling funds, he was just reacting to try to get the investment to work out and when that didn't work he was "overwhelmed."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394</w:t>
      </w:r>
      <w:r>
        <w:rPr>
          <w:rFonts w:ascii="arial" w:eastAsia="arial" w:hAnsi="arial" w:cs="arial"/>
          <w:color w:val="000000"/>
          <w:sz w:val="20"/>
          <w:lang w:val="en-US" w:eastAsia="en-US" w:bidi="ar-SA"/>
        </w:rPr>
        <w:t>  In relation to the property taxes on the District Lot, Mr. Singleton said by the time he went to the U.S. in 1993 and then back to the U.S. in 1994 the taxes were paid. He said he was very proud of that as it was difficult for him to cover them but he knew it was an asset of the George Estate. (In fact the property tax statement indicates that the taxes were paid for 1990 to 1993 inclusive, but not 1994, which with interest was $808.50). He said that the District Lot did not go back to the Province until December 1996. He added that given it was appraised at $170,000 he was surprised that the Law Society did not pursue it as its proceeds would have lowered the amount paid out by the Special Compensation Fund. Mr. Singleton said he did list the District Lot for sale but it was not sold. He believed the realtor was the source of the appraisal at $170,000.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395</w:t>
      </w:r>
      <w:r>
        <w:rPr>
          <w:rFonts w:ascii="arial" w:eastAsia="arial" w:hAnsi="arial" w:cs="arial"/>
          <w:color w:val="000000"/>
          <w:sz w:val="20"/>
          <w:lang w:val="en-US" w:eastAsia="en-US" w:bidi="ar-SA"/>
        </w:rPr>
        <w:t>  Mr. Singleton indicated that by the fall of 1992 he would have had Mr. Jim Patience up at the District Lot to check for uncut timber and slash, and he would have given notice through his lawyer, Mr. Perrin, of a possible claim on his Law Society errors and omissions insurance coverage. (Mr. Singleton asserts Mr. Patience's unavailability to testify in this trial because he is deceased amounts to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396</w:t>
      </w:r>
      <w:r>
        <w:rPr>
          <w:rFonts w:ascii="arial" w:eastAsia="arial" w:hAnsi="arial" w:cs="arial"/>
          <w:color w:val="000000"/>
          <w:sz w:val="20"/>
          <w:lang w:val="en-US" w:eastAsia="en-US" w:bidi="ar-SA"/>
        </w:rPr>
        <w:t>  Mr. Singleton indicated that in 1993 he was busy with his writing. In the proceedings commenced against him by Mr. Goody on behalf of the Hospital Mr. Singleton swore two affidavits on February 11, 1993 and March 12, 1993 (quoted in part in Mr. Goody's evidence). In the February affidavit he deposed that he would be able to wind up the estate and provide a final distribution by June 30, 1993, with "one fixed asset remaining to be sold." He also reported that the Principal Group litigation had resulted in another payment to the George Estate. In the March affidavit Mr. Singleton deposed that he had not told anyone of his intent to relocate to the U.S. and that he had no "green card" or any immigration applications pending to move to any other jurisdiction, "nor ever had any such intention." When asked by his counsel how it came about that he did move that year to the U.S., Mr. Singleton indicated that it was not a "long-range decision," and it came about after his mother's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397</w:t>
      </w:r>
      <w:r>
        <w:rPr>
          <w:rFonts w:ascii="arial" w:eastAsia="arial" w:hAnsi="arial" w:cs="arial"/>
          <w:color w:val="000000"/>
          <w:sz w:val="20"/>
          <w:lang w:val="en-US" w:eastAsia="en-US" w:bidi="ar-SA"/>
        </w:rPr>
        <w:t>  In the spring of 1993 Mr. Singleton travelled to the U.S. to do research at the Library of Congress in Washington D.C.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398</w:t>
      </w:r>
      <w:r>
        <w:rPr>
          <w:rFonts w:ascii="arial" w:eastAsia="arial" w:hAnsi="arial" w:cs="arial"/>
          <w:color w:val="000000"/>
          <w:sz w:val="20"/>
          <w:lang w:val="en-US" w:eastAsia="en-US" w:bidi="ar-SA"/>
        </w:rPr>
        <w:t>  He said he came back to Nelson in August 1993 for what he understood would be a continuation of his "discovery" before Master Bishop, but then went immediately back to Nocona, Texas in late August due to the death of his mother. He stayed in Texas until Christmas time. He returned to Nelson and remained there until early January 1994. He then went back to Nocona to help his father and stayed there until he joined the wheat harvest on May 17,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399</w:t>
      </w:r>
      <w:r>
        <w:rPr>
          <w:rFonts w:ascii="arial" w:eastAsia="arial" w:hAnsi="arial" w:cs="arial"/>
          <w:color w:val="000000"/>
          <w:sz w:val="20"/>
          <w:lang w:val="en-US" w:eastAsia="en-US" w:bidi="ar-SA"/>
        </w:rPr>
        <w:t>  Mr. Singleton explained that he had prior experience as a college student running a combine and he was hired again to do that. He needed employment as he had no money, and although it was subsistence income, driving a combine was something he could do. He said he shaved his beard, which apparently the police found very suspicious, dyed his hair to look a little younger, and got the job. Mr. Singleton explained the natural movement of the wheat harvest through various states including Arizona, Texas, and North Dakota. He bought a blue Ford van and lived in that. While on the wheat harvest Mr. Singleton said that he contacted a lawyer at Eads, Colorado, "to keep me in touch." He had a post box in Cheyenne Wells, Colorado. Mr. Singleton got a South Dakota driver's licence while he was there, which he had in addition to his Texas driver's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400</w:t>
      </w:r>
      <w:r>
        <w:rPr>
          <w:rFonts w:ascii="arial" w:eastAsia="arial" w:hAnsi="arial" w:cs="arial"/>
          <w:color w:val="000000"/>
          <w:sz w:val="20"/>
          <w:lang w:val="en-US" w:eastAsia="en-US" w:bidi="ar-SA"/>
        </w:rPr>
        <w:t xml:space="preserve">  After the wheat harvest Mr. Singleton visited his sister Mona in Colorado and then travelled through Kansas to Texas to visit his younger brother. Then he parked his van on the south bank of the Red River and wrote two novels, one about the wheat harvest and a western called </w:t>
      </w:r>
      <w:r>
        <w:rPr>
          <w:rFonts w:ascii="arial" w:eastAsia="arial" w:hAnsi="arial" w:cs="arial"/>
          <w:i/>
          <w:color w:val="000000"/>
          <w:sz w:val="20"/>
          <w:lang w:val="en-US" w:eastAsia="en-US" w:bidi="ar-SA"/>
        </w:rPr>
        <w:t>The Winchester Man</w:t>
      </w:r>
      <w:r>
        <w:rPr>
          <w:rFonts w:ascii="arial" w:eastAsia="arial" w:hAnsi="arial" w:cs="arial"/>
          <w:color w:val="000000"/>
          <w:sz w:val="20"/>
          <w:lang w:val="en-US" w:eastAsia="en-US" w:bidi="ar-SA"/>
        </w:rPr>
        <w:t>. He said this is when the police reported him living in a van parked under a bridge. Mr. Singleton said that he had permission of the owners of the ranch to park his van on the river bank, and that his presence there certainly was not inconspicuous.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401</w:t>
      </w:r>
      <w:r>
        <w:rPr>
          <w:rFonts w:ascii="arial" w:eastAsia="arial" w:hAnsi="arial" w:cs="arial"/>
          <w:color w:val="000000"/>
          <w:sz w:val="20"/>
          <w:lang w:val="en-US" w:eastAsia="en-US" w:bidi="ar-SA"/>
        </w:rPr>
        <w:t>  Mr. Singleton explained that he kept in touch with his daughter, Solveig, who had become a lawyer, until Sgt. Quenneville contacted her in 2002 and got his Peck, Kansas address from her. Mr. Singleton said he felt betrayed by her for agreeing to withhold from him the fact the Canadian police were making inquiries about his whereabouts. Mr Singleton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have known that they were seeking to activate the extradition and would have just come up here. Because you don't ever want to get extradited, that just puts you permanently essentially as a guilty party and that's the way that went.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402</w:t>
      </w:r>
      <w:r>
        <w:rPr>
          <w:rFonts w:ascii="arial" w:eastAsia="arial" w:hAnsi="arial" w:cs="arial"/>
          <w:color w:val="000000"/>
          <w:sz w:val="20"/>
          <w:lang w:val="en-US" w:eastAsia="en-US" w:bidi="ar-SA"/>
        </w:rPr>
        <w:t>  Mr. Singleton maintained that had Sgt. Quenneville really wanted to find him in the U.S. he could have been found, from 1995 onwards, in the area of Wichita, Kansas, within 30 minutes, by someone using a civilian missing person's locator, because he was using his own social security number and was almost always employed.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this whole charade of not knowing where I was is, I think, frankly ludicrous, absolutely ludicrous.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403</w:t>
      </w:r>
      <w:r>
        <w:rPr>
          <w:rFonts w:ascii="arial" w:eastAsia="arial" w:hAnsi="arial" w:cs="arial"/>
          <w:color w:val="000000"/>
          <w:sz w:val="20"/>
          <w:lang w:val="en-US" w:eastAsia="en-US" w:bidi="ar-SA"/>
        </w:rPr>
        <w:t xml:space="preserve">  In February 1995, at age 62, he started receiving American social security benefits of $292 per month, which helped him financially. Those were lean times for Mr. Singleton, who said he sometimes stayed in homeless shelters, sold his plasma, and did odd jobs out of the hiring hall. In April or May of 1995 he got a job at a welding shop where he worked for about a year and a half until he injured his hand, leading to permanent disability. He did some training at the Wichita State University and prior to that had started part-time work at Butler College in the library. He had rented accommodation at an address on Pattee Street in Wichita. He provided various letters and payslips to corroborate his employment and the injury to his hand, including a 1997 payslip from Butler College. He put into evidence an extract from the book, </w:t>
      </w:r>
      <w:r>
        <w:rPr>
          <w:rFonts w:ascii="arial" w:eastAsia="arial" w:hAnsi="arial" w:cs="arial"/>
          <w:i/>
          <w:color w:val="000000"/>
          <w:sz w:val="20"/>
          <w:lang w:val="en-US" w:eastAsia="en-US" w:bidi="ar-SA"/>
        </w:rPr>
        <w:t>Who's Who among America's Teachers</w:t>
      </w:r>
      <w:r>
        <w:rPr>
          <w:rFonts w:ascii="arial" w:eastAsia="arial" w:hAnsi="arial" w:cs="arial"/>
          <w:color w:val="000000"/>
          <w:sz w:val="20"/>
          <w:lang w:val="en-US" w:eastAsia="en-US" w:bidi="ar-SA"/>
        </w:rPr>
        <w:t>, in which he was listed with a photograph a reference to Butler College in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404</w:t>
      </w:r>
      <w:r>
        <w:rPr>
          <w:rFonts w:ascii="arial" w:eastAsia="arial" w:hAnsi="arial" w:cs="arial"/>
          <w:color w:val="000000"/>
          <w:sz w:val="20"/>
          <w:lang w:val="en-US" w:eastAsia="en-US" w:bidi="ar-SA"/>
        </w:rPr>
        <w:t>  Mr. Singleton said he was listed on the Internet as on staff at Butler College in the Wichita area of Kansas from January 1997 onwards, and he was not charged with the offences relating to the George Estate until December 30, 1997. Mr. Singleton asserts that he was at Butler College and living in the Wichita area from about January 3, 1997 to August 30, 2004, when he was arrested on the extradition warrant.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405</w:t>
      </w:r>
      <w:r>
        <w:rPr>
          <w:rFonts w:ascii="arial" w:eastAsia="arial" w:hAnsi="arial" w:cs="arial"/>
          <w:color w:val="000000"/>
          <w:sz w:val="20"/>
          <w:lang w:val="en-US" w:eastAsia="en-US" w:bidi="ar-SA"/>
        </w:rPr>
        <w:t>  In late spring 1998 Mr. Singleton said he heard there was a problem back in British Columbia, which he had assumed had previously been dealt with by the Law Society's insurance. He had heard rumours that charges had been laid against him in relation to the George Estate. Mr. Singleton contacted, by letter, a lawyer he knew in Invermere, named Barnim Kluge, and asked him to make inquiries. He and Mr. Kluge had a brief correspondence.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406</w:t>
      </w:r>
      <w:r>
        <w:rPr>
          <w:rFonts w:ascii="arial" w:eastAsia="arial" w:hAnsi="arial" w:cs="arial"/>
          <w:color w:val="000000"/>
          <w:sz w:val="20"/>
          <w:lang w:val="en-US" w:eastAsia="en-US" w:bidi="ar-SA"/>
        </w:rPr>
        <w:t xml:space="preserve">  Several portions of Mr. Singleton's correspondence with Mr. Kluge in 1998 are relevant to his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applications. In his letter to Mr. Kluge, dated July 10, 1998, Mr. Singleton wrote that he understood the Law Society had obtained approval for extraditions proceedings. Mr. Singleton indicated that he would "prefer some negotiated return with hearing (if any) parameters defined." He indicated that he did not wish his life in Wichita to be interrupted and any hearings there would preclude further employment. He indicated that he had a personal commitment to "female native" in Nelson but did not want to return until she retired in September 1999. He also indicated that he did not want to be dragged into any debtor proceedings regarding civil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but that may be unavoidable. He did not want to drag his friend into matters that would jeopardize her pension, and "a negotiated confinement would be preferable, including no-practice agreement." Mr. Singleton wrote:</w:t>
      </w:r>
      <w:r>
        <w:rPr>
          <w:rFonts w:ascii="arial" w:eastAsia="arial" w:hAnsi="arial" w:cs="arial"/>
          <w:sz w:val="20"/>
          <w:lang w:val="en-US" w:eastAsia="en-US" w:bidi="ar-SA"/>
        </w:rPr>
        <w:cr/>
      </w:r>
    </w:p>
    <w:p>
      <w:pPr>
        <w:numPr>
          <w:numId w:val="4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need to know if possible the imminence of process and type so as to plan moves. I have given notice at lodgings and will in about 8 days give notice at Comm.Coll. &amp; become greatly more obscure.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407</w:t>
      </w:r>
      <w:r>
        <w:rPr>
          <w:rFonts w:ascii="arial" w:eastAsia="arial" w:hAnsi="arial" w:cs="arial"/>
          <w:color w:val="000000"/>
          <w:sz w:val="20"/>
          <w:lang w:val="en-US" w:eastAsia="en-US" w:bidi="ar-SA"/>
        </w:rPr>
        <w:t>  Mr. Singleton wrote again on July 12, 1998 and touched on the same themes. He wrote, "Still the Society may be focussed on retribution/exemplification instead of reprimand/repayment." He sought to keep teaching until mid-December but assumed that would be unlikely, and advised he would be giving notice in two weeks. He did not want his friend dragged into any of his matters and wrote, "Incarc. - possibly even d -- b-rment (however bitter) might have at the bitter end to be consented to to avoid this." He also makes reference to how Mr. Kluge might contact his friend (Ms. Brock) by writing to her, as opposed to phoning her, as "she sees her own phone as possibly tapped for several years." Mr. Kluge was advised to arrange to have her call him from a phone booth.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408</w:t>
      </w:r>
      <w:r>
        <w:rPr>
          <w:rFonts w:ascii="arial" w:eastAsia="arial" w:hAnsi="arial" w:cs="arial"/>
          <w:color w:val="000000"/>
          <w:sz w:val="20"/>
          <w:lang w:val="en-US" w:eastAsia="en-US" w:bidi="ar-SA"/>
        </w:rPr>
        <w:t>  On July 28, 1998 Mr. Kluge wrote to Mr. Singleton that as he ceased being a member of the Law Society no citation was issued, although the Law Society could still take steps to disbar him. Mr. Kluge sent to Mr. Singleton a copy of the information sworn against him dated December 31, 1997 as well as a warrant for his arrest that Mr. Kluge understood not to be a Canada-wide warrant because it was addressed to peace officers in the Province of British Columbia. However, he advised that it could be made into a Canada-wide warrant in the future. Mr. Kluge wrote that Mr. Singleton may wish to ask himself whether or not he really needed to return and if he wanted to deal with the charges they needed to discuss the matter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409</w:t>
      </w:r>
      <w:r>
        <w:rPr>
          <w:rFonts w:ascii="arial" w:eastAsia="arial" w:hAnsi="arial" w:cs="arial"/>
          <w:color w:val="000000"/>
          <w:sz w:val="20"/>
          <w:lang w:val="en-US" w:eastAsia="en-US" w:bidi="ar-SA"/>
        </w:rPr>
        <w:t>  Mr. Singleton sent a response by fax on August 24, 1998, querying the relationship of the warrant and the rumour of extradition. He wrote, "It looks to me as if there will be a return - presumably voluntary in early Fall, 1999, to deal with the matters described."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410</w:t>
      </w:r>
      <w:r>
        <w:rPr>
          <w:rFonts w:ascii="arial" w:eastAsia="arial" w:hAnsi="arial" w:cs="arial"/>
          <w:color w:val="000000"/>
          <w:sz w:val="20"/>
          <w:lang w:val="en-US" w:eastAsia="en-US" w:bidi="ar-SA"/>
        </w:rPr>
        <w:t xml:space="preserve">  Mr. Kluge responded by letter dated August 25, 1998. He answered several questions Mr. Singleton had about the warrant, enclosed a copy of the </w:t>
      </w:r>
      <w:r>
        <w:rPr>
          <w:rFonts w:ascii="arial" w:eastAsia="arial" w:hAnsi="arial" w:cs="arial"/>
          <w:i/>
          <w:color w:val="000000"/>
          <w:sz w:val="20"/>
          <w:lang w:val="en-US" w:eastAsia="en-US" w:bidi="ar-SA"/>
        </w:rPr>
        <w:t>Extradition Act</w:t>
      </w:r>
      <w:r>
        <w:rPr>
          <w:rFonts w:ascii="arial" w:eastAsia="arial" w:hAnsi="arial" w:cs="arial"/>
          <w:color w:val="000000"/>
          <w:sz w:val="20"/>
          <w:lang w:val="en-US" w:eastAsia="en-US" w:bidi="ar-SA"/>
        </w:rPr>
        <w:t>, and expressed his opinion that extradition proceedings were only done in the most serious of cases because of great cost and the difficult logistics involved. He indicated that if steps to extradite Mr. Singleton had not been taken by that point he doubted very much that they would be taken in the future. Mr. Kluge's bill referred to telephone attendances on Crown Counsel, RCMP, court registries, and the Law Society. In his testimony about the matters raised in this correspondence, Mr. Singleton referred to the rumours that he had heard about the Law Society having obtained approval for extradition proceedings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411</w:t>
      </w:r>
      <w:r>
        <w:rPr>
          <w:rFonts w:ascii="arial" w:eastAsia="arial" w:hAnsi="arial" w:cs="arial"/>
          <w:color w:val="000000"/>
          <w:sz w:val="20"/>
          <w:lang w:val="en-US" w:eastAsia="en-US" w:bidi="ar-SA"/>
        </w:rPr>
        <w:t>  Mr. Singleton indicated that in a telephone conversation he had with Mr. Kluge, the latter advised that he had spoken to Crown Counsel in Nelson who advised that extradition would be too expensive, but if Mr. Singleton came back to Canada they would act on the warrant. Mr. Singleton interpreted this as his being able to stay in the United States, "until further notice and return at [his] own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412</w:t>
      </w:r>
      <w:r>
        <w:rPr>
          <w:rFonts w:ascii="arial" w:eastAsia="arial" w:hAnsi="arial" w:cs="arial"/>
          <w:color w:val="000000"/>
          <w:sz w:val="20"/>
          <w:lang w:val="en-US" w:eastAsia="en-US" w:bidi="ar-SA"/>
        </w:rPr>
        <w:t>  At the time of his arrest on the extradition warrant on August 30, 2004, Mr. Singleton had been renting a basement suite at an address on West 16th Street in Wichita for six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413</w:t>
      </w:r>
      <w:r>
        <w:rPr>
          <w:rFonts w:ascii="arial" w:eastAsia="arial" w:hAnsi="arial" w:cs="arial"/>
          <w:color w:val="000000"/>
          <w:sz w:val="20"/>
          <w:lang w:val="en-US" w:eastAsia="en-US" w:bidi="ar-SA"/>
        </w:rPr>
        <w:t xml:space="preserve">  Mr. Singleton, who was then considered a federal prisoner, was assigned a lawyer named Steven Gradert to represent him in the extradition proceedings. Mr. Gradert was replaced by Mr. Paul McCausland (who testified on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application). The plan was for Mr. Singleton to seek bail pending his extradition hearing in order to return to teaching at Butler College, where he had a contract to teach for the fall semester.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414</w:t>
      </w:r>
      <w:r>
        <w:rPr>
          <w:rFonts w:ascii="arial" w:eastAsia="arial" w:hAnsi="arial" w:cs="arial"/>
          <w:color w:val="000000"/>
          <w:sz w:val="20"/>
          <w:lang w:val="en-US" w:eastAsia="en-US" w:bidi="ar-SA"/>
        </w:rPr>
        <w:t>  On October 20, 2004, when Mr. Singleton was preparing to seek extradition bail, the late-filed Burns affidavit was, at the last minute, put before the judge, Judge Bostwick. Mr. Singleton said that he considered the contents of the Burns affidavit to be so highly prejudicial to his bail application - a grave abuse and a product of Canadian prosecutorial misconduct - that he was compelled to withdraw his application. He understood from Mr. McCausland that he had, "a fine bail application." Although technically not filed, counsel for the requesting state was permitted to withdraw the Burns affidavit. In December 2004 Mr. Singleton discharged Mr. McCausland as his counsel and proceeded to represent himself throughout the extradition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415</w:t>
      </w:r>
      <w:r>
        <w:rPr>
          <w:rFonts w:ascii="arial" w:eastAsia="arial" w:hAnsi="arial" w:cs="arial"/>
          <w:color w:val="000000"/>
          <w:sz w:val="20"/>
          <w:lang w:val="en-US" w:eastAsia="en-US" w:bidi="ar-SA"/>
        </w:rPr>
        <w:t>  Mr. Singleton described his life in the Sedgewick County Jail, where he was held for about the first year. He had health issues and it was a most demanding and difficult time. He was then transferred to Leavenworth Prison, which was demanding and difficult in other ways. He spent time in "the hole" because of a complaint that, "these two black gentlemen, both 20-something maybe," put in a complaint to a guard that Mr. Singleton was threatening to beat them up, which Mr. Singleton said was, "not totally untrue." He said he found the several weeks he spent locked in the basement as a very good place to compose his appeal, and he also wrote some prison poetry entered as an exhibit.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416</w:t>
      </w:r>
      <w:r>
        <w:rPr>
          <w:rFonts w:ascii="arial" w:eastAsia="arial" w:hAnsi="arial" w:cs="arial"/>
          <w:color w:val="000000"/>
          <w:sz w:val="20"/>
          <w:lang w:val="en-US" w:eastAsia="en-US" w:bidi="ar-SA"/>
        </w:rPr>
        <w:t>  While in jail Mr. Singleton was contact by a man named Philip Slayton, who wanted to interview him. After making some inquiries about Mr. Slayton, Mr. Singleton agreed, only to find out after providing an interview that the focus of Mr. Slayton's book was to be "bad lawyers." Ultimately, Mr. Singleton said that he abandoned his appeal of the extradition so as to be returned to Canada and have a better chance of stopping the publication of Mr. Slayton's book. Mr. Singleton recalled that he was released on surety bail on September 8, 2006, and was required to report twice and then once weekly to the Nelson City Police, which he continues to do. He also had to resolve the warrant outstanding for the non-payment of the fines imposed on the income tax offences and pay the $14,000 fine. In relation to the non-filing of tax returns for 433 Winchester and Silvertip, Mr. Singleton indicated the corporations had no income, and that, "it would have been way more than devoured." In terms of his failure to file his own return after 1988, he said, "I just simply was not a person who was going to do that...I am not sure why... I can't answer that." He said that he did not attend the hearing in Nelson regarding the tax offences on August 16, 1994 because he would have been in the middle of wheat harvest. He indicated that he expected Mr. Layfield to look after the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417</w:t>
      </w:r>
      <w:r>
        <w:rPr>
          <w:rFonts w:ascii="arial" w:eastAsia="arial" w:hAnsi="arial" w:cs="arial"/>
          <w:color w:val="000000"/>
          <w:sz w:val="20"/>
          <w:lang w:val="en-US" w:eastAsia="en-US" w:bidi="ar-SA"/>
        </w:rPr>
        <w:t>  Mr. Singleton then described the chronology of events relating to the present charges as they progressed through the court, and the difficulties he encountered finding legal representation and obtaining the necessary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418</w:t>
      </w:r>
      <w:r>
        <w:rPr>
          <w:rFonts w:ascii="arial" w:eastAsia="arial" w:hAnsi="arial" w:cs="arial"/>
          <w:color w:val="000000"/>
          <w:sz w:val="20"/>
          <w:lang w:val="en-US" w:eastAsia="en-US" w:bidi="ar-SA"/>
        </w:rPr>
        <w:t>  In closing his direct examination Mr. Singleton said in relation to the theft charge that he "took nothing and intended to take nothing." As for his accounts he always viewed them as subject to taxation. In relation to the fraud charge he said the he did not deceive anyone and that he know of no misrepresentation that he had made that misled anyone.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419</w:t>
      </w:r>
      <w:r>
        <w:rPr>
          <w:rFonts w:ascii="arial" w:eastAsia="arial" w:hAnsi="arial" w:cs="arial"/>
          <w:color w:val="000000"/>
          <w:sz w:val="20"/>
          <w:lang w:val="en-US" w:eastAsia="en-US" w:bidi="ar-SA"/>
        </w:rPr>
        <w:t xml:space="preserve">  Mr. Singleton was cross-examined for more than four days. He gave evidence pertaining to the substantive offences and aspects of relevance to his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application. I have reviewed all his testimony from transcripts. While the following is not a complete enumeration of all the significant points that emerged during Mr. Singleton's cross examination this provides an inventory of some of the key ones regarding his involvement in activities related to the offences charged and more generally regarding the reliability and credibility of his testimony. Points raised that are specific to aspects of his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applications will be addressed in my Reasons for Judgment - Part 2-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420</w:t>
      </w:r>
      <w:r>
        <w:rPr>
          <w:rFonts w:ascii="arial" w:eastAsia="arial" w:hAnsi="arial" w:cs="arial"/>
          <w:color w:val="000000"/>
          <w:sz w:val="20"/>
          <w:lang w:val="en-US" w:eastAsia="en-US" w:bidi="ar-SA"/>
        </w:rPr>
        <w:t>  I specifically note the following:</w:t>
      </w:r>
      <w:r>
        <w:rPr>
          <w:rFonts w:ascii="arial" w:eastAsia="arial" w:hAnsi="arial" w:cs="arial"/>
          <w:sz w:val="20"/>
          <w:lang w:val="en-US" w:eastAsia="en-US" w:bidi="ar-SA"/>
        </w:rPr>
        <w:cr/>
      </w:r>
    </w:p>
    <w:p>
      <w:pPr>
        <w:numPr>
          <w:numId w:val="4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Singleton considers himself a Renaissance Man. He has had a broad and diverse career studying and teaching in at least three disciplines at four universities where he had tenure, with other interests ranging from welding to combine-operating to wild rice cultivation. After leaving Nelson he learned some accounting in Kansas. Mr. Singleton viewed a period of practicing law as part of this "renaissance career." He did not view law as an end in itself.</w:t>
      </w:r>
    </w:p>
    <w:p>
      <w:pPr>
        <w:numPr>
          <w:numId w:val="4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Singleton took on difficult or even hopeless cases as a lawyer, at least in part, to gather experience for re-entering the academic sphere. Overall, his success in court cases was mixed.</w:t>
      </w:r>
    </w:p>
    <w:p>
      <w:pPr>
        <w:numPr>
          <w:numId w:val="4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a peer review of his practice by the Law Society Mr. Singleton took a course on probate.</w:t>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Singleton disagreed with the comments of the Law Society review panel that he appeared to have a good grasp of conflict of interest, saying, "I don't think I recognize conflicts if they bit me in the leg." Mr. Singleton denied seeing a conflict of interest arise between the George and Copp estates, despite the fact that he was the executor in relation to one estate and had a power of attorney in the other, had placed them both in a "corporate partnership" in relation to the District Lot, owed each a duty of loyalty, and was charging fees to both; however, he did agree that he was "on both sides of the deal." When pressed as to how he failed to appreciate the conflict as between the George and Copp Estates given his experience as a civil litigator, his answer was, "Well, firstly, because I wasn't spending much time on it at all, frankly. That's the answer."</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Singleton felt no obligation to alert Mr. Goody to a conflict of interest regarding the District Lot between two of latter's clients, the Hospital and Mr. Mooney. He said he was just interested to see what price Mr. Mooney might pay for the District Lot.</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indicated that he probably just skimmed the recommendations of the Law Society complaint panel. He agreed that he liked to operate on his own terms and did not like to be told by other lawyers how to do or not do things.</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Singleton said that looking back on it he did not tend to consult with people and was negligent in not getting a second opinion of his investment plan for the District Lot. But if he wanted to research a point he did agree he was a very good legal researcher and would keep going until he was satisfied with the answer. He agreed that he did not have a business plan, but rather, "had something in his mind."</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strongly believed that he would have consulted his book about mountain living communities in relation to the development of the District Lot by 1989, but learned on cross-examination that it was not published until 1990.</w:t>
      </w:r>
    </w:p>
    <w:p>
      <w:pPr>
        <w:numPr>
          <w:numId w:val="5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asked why he retired from the practise of law on October 23, 1990, the day before three lawyers were coming from Vancouver to review his practice, if he regarded the complaints to be without substance and, "silly little comments by Nelson lawyers about [his] requiring filings in accordance with the rules," Mr. Singleton indicated that this was "a minor part" of the overall picture relating to his decision to retire. He said he was by then past 12 years in practice and had pressing contracts in relation to producing novels, but admitted that their impending arrival might have impacted on his decision. He did agree that he had over 30 open files, although he considered many of them to be inactive.</w:t>
      </w:r>
    </w:p>
    <w:p>
      <w:pPr>
        <w:numPr>
          <w:numId w:val="5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Singleton indicated that in October 1990 he considered that his investments in relation to the George Estate were doing "just fine," although he said that he never looked at the bank statements for the Winchester Account when they came in. At first, he told the Court that he never looked at any accounting; after a break in the proceedings he said that he did not recall looking at monthly statements or financial information regarding 433 Winchester. He agreed that his later answer was better for his case. He also agreed that he often moved funds from the Estate Account into the Winchester Account, and that he did not write any cheques that did not clear the Winchester Account, but he could not recall how he would have known there were sufficient funds in the account.</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considered it a waste of time and not relevant to do any monthly analysis of 433 Winchester's finances given that he was just interested in keeping it going and developing the District Lot.</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confirmed that his sense that the investment at the District Lot was not going well was gradual, and he realized, "around 1991," that he would have to take hold of things and improve Mr. Mooney's motivation.</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questioned extensively about the amounts, timing, and descriptions of the legal services he provided to the George Estate. His answers did not help his case. For example, whether his bills to the George Estate after the bill of July 5, 1988, were base on a scale or a percentage, Mr. Singleton responded: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think not. I think they're based on an unforeseen drain on time in respect of the activating and maintaining the development of the - and the logging attendances as it would have been by that time.</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Singleton also admitted that for the beneficiaries to be able to tax his bill they would have to be aware of it from the George Estate ledger card or the "paper trail." He agreed that it was improper to have already withdrawn the funds before he presented any bills to them.</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asked how he planned to realize on the assets in order to pay $396,202.63 to the beneficiaries, as he included in his Interim Accounting sent to Mr. Goody on November 15, 1991, Mr. Singleton said it was, "just a rough figure," dependant on the manner in which the District Lot was sold, and the extent to which it had been developed. He agreed that he failed to mention the sale of the land in that accounting but did refer to the sale of a few chattels, and agreed that was, "a pretty big omission." He also said that at that time Mr. Goody was very involved with Mr. Mooney, who had a claim on the District Lot, and he "did not believe that he [Mr. Goody] might be a good person to enter into all of these things," and that Mr. Mooney's lien, "was a component of it." Later, Mr. Singleton indicated that he did not trust Mr. Goody, as he had been at the center of the false charge that Mr. Singleton had not made the bequest to the Salvation Army. Mr. Singleton also agreed that there was nothing on the Interim Accounting he prepared that disclosed he had billed approximately $115,000 in fees.</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Mr. Singleton was asked about the circumstances giving rise to his discharge of Mr. Dietrich, he confirmed that he could have walked over to his office but he did not, and that it was his decision to make and he made it.</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Singleton asserted that the filings at the Land Title Office at the time the District Lot was purchased disclosed the connection between 433 Winchester and the George Estate. (This was not borne out when he found the unfiled draft mortgages.)</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Singleton's answers to questions about the various misleading statements he made in a number of letters did not advance his case.</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documents were put to Mr. Singleton that clearly showed what he had done in relation to receipt of settlement monies in the amount of $10,873.50, regarding the George Estate's investment in the Principal Group company (First Investors Corporation) on November 22, 1990, which was to deposit it into the Estate Account and then immediately withdraw $10,506.25 and put it into 433 Winchester, Mr. Singleton asked why he did not hold any back to pay to the residual beneficiaries. His response was, "For my purposes, there is no distinction between those ... as far as I was concerned that was money available to put in the direction that I had discretion to put it, and this company [433 Winchester] is the estate company, so that is the estate pocket." In a letter sent April 30, 1991, Mr. Singleton used the issue of the Principal Group settlement to further stall Mr. Miller.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MR. SINGLETON'S MENTAL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421</w:t>
      </w:r>
      <w:r>
        <w:rPr>
          <w:rFonts w:ascii="arial" w:eastAsia="arial" w:hAnsi="arial" w:cs="arial"/>
          <w:color w:val="000000"/>
          <w:sz w:val="20"/>
          <w:lang w:val="en-US" w:eastAsia="en-US" w:bidi="ar-SA"/>
        </w:rPr>
        <w:t xml:space="preserve">  Mr. Singleton submits that evidence pertaining to his mental condition and deterioration over the time since the alleged offences is relevant to the issue of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422</w:t>
      </w:r>
      <w:r>
        <w:rPr>
          <w:rFonts w:ascii="arial" w:eastAsia="arial" w:hAnsi="arial" w:cs="arial"/>
          <w:color w:val="000000"/>
          <w:sz w:val="20"/>
          <w:lang w:val="en-US" w:eastAsia="en-US" w:bidi="ar-SA"/>
        </w:rPr>
        <w:t xml:space="preserve">  The issue of Mr. Singleton's mental deterioration was fully canvassed by his treating psychiatrist, Dr. Magee. Mr. Singleton was also assessed by Dr. Jeanette Smith, a forensic psychiatrist retained by the Crown. Both psychiatrists provided written reports and testified at trial. Their evidence was agreed to be admissible in relation to both the </w:t>
      </w:r>
      <w:r>
        <w:rPr>
          <w:rFonts w:ascii="arial" w:eastAsia="arial" w:hAnsi="arial" w:cs="arial"/>
          <w:i/>
          <w:color w:val="000000"/>
          <w:sz w:val="20"/>
          <w:lang w:val="en-US" w:eastAsia="en-US" w:bidi="ar-SA"/>
        </w:rPr>
        <w:t>Charter voir dire</w:t>
      </w:r>
      <w:r>
        <w:rPr>
          <w:rFonts w:ascii="arial" w:eastAsia="arial" w:hAnsi="arial" w:cs="arial"/>
          <w:color w:val="000000"/>
          <w:sz w:val="20"/>
          <w:lang w:val="en-US" w:eastAsia="en-US" w:bidi="ar-SA"/>
        </w:rPr>
        <w:t xml:space="preserve"> and the substantial issues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Dr. Edward Magee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423</w:t>
      </w:r>
      <w:r>
        <w:rPr>
          <w:rFonts w:ascii="arial" w:eastAsia="arial" w:hAnsi="arial" w:cs="arial"/>
          <w:color w:val="000000"/>
          <w:sz w:val="20"/>
          <w:lang w:val="en-US" w:eastAsia="en-US" w:bidi="ar-SA"/>
        </w:rPr>
        <w:t>  At the time of trial Dr. Magee had seen Mr. Singleton a total of four times: September 2008, November 2008, March 2009, and September 2009. He was qualified at trial to give expert evidence as a psychiatrist, with a particular expertise in geriatric psychiatry, including his experience with Alzheimer's and dementia. He was also qualified to receive a diagnosis of injury to the brain stem and to treat the effects of that injury, based on a CT scan.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424</w:t>
      </w:r>
      <w:r>
        <w:rPr>
          <w:rFonts w:ascii="arial" w:eastAsia="arial" w:hAnsi="arial" w:cs="arial"/>
          <w:color w:val="000000"/>
          <w:sz w:val="20"/>
          <w:lang w:val="en-US" w:eastAsia="en-US" w:bidi="ar-SA"/>
        </w:rPr>
        <w:t>  Dr. Magee's written report consisted of transcriptions of his oral notes from his meetings with Mr. Singleton. In the report dated September 11, 2008, following his first meeting with Mr. Singleton, Dr. Magee described him as "certainly cognitively slow" and stated that his "deficits certainly seem to be legitimate." Dr. Magee noted that he arranged a CT scan of Mr. Singleton and stated that it was likely that there was "an evolving dementia syndrome"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425</w:t>
      </w:r>
      <w:r>
        <w:rPr>
          <w:rFonts w:ascii="arial" w:eastAsia="arial" w:hAnsi="arial" w:cs="arial"/>
          <w:color w:val="000000"/>
          <w:sz w:val="20"/>
          <w:lang w:val="en-US" w:eastAsia="en-US" w:bidi="ar-SA"/>
        </w:rPr>
        <w:t>  At their first meeting, Dr. Magee assessed Mr. Singleton using the Mini-Mental Status Examination ("MMSE"). In his testimony at trial, Dr. Magee explained the MMSE and how it is conducted: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It's widely used in most health authorities by most physicians. It's a test that seems to be understood. It's not considered the greatest test by any standard, but it is a reasonable measure of where they're at cognitively.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It's based as a score out of 30. It includes knowing the date, knowing the location, being able to spell the word world backwards, being able to recall three words, being able to follow a three-stage command, do naming, reading, and simple diagramming, as well as writing a sentence, so it does cover a broad range of functioning.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Compared to a standard population it has some relevance as to when the score starts to decline. You can say, yes, there is evidence of mild impairment. A full score is 30 out of 30. A mild impairment would be 24 out of 30, an intermediate impairment would be 18, a severe impairment would be 12. Its utility in any one individual grades their performance over time, so it's not a diagnostic tool, but if I do it on the first time I see them and then I do them a year later I can see how the progression is occurring.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426</w:t>
      </w:r>
      <w:r>
        <w:rPr>
          <w:rFonts w:ascii="arial" w:eastAsia="arial" w:hAnsi="arial" w:cs="arial"/>
          <w:color w:val="000000"/>
          <w:sz w:val="20"/>
          <w:lang w:val="en-US" w:eastAsia="en-US" w:bidi="ar-SA"/>
        </w:rPr>
        <w:t>  Dr. Magee testified that Mr. Singleton scored 23 out of 30 the first time he was tested and described the general attributes of someone with that score: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Most people at that score are certainly able to sustain themselves independently. Sometimes they start to have what we call difficulties in independent activities of daily living, so that would be such as banking, dealing with the community at large, you know, buying groceries, taking care of bills, those kinds of things can sometimes run into problems. Some people are still main - maintain those skills. There is no definitive line there, but that - at the mild level that is kind of where you would start to see problems, and in fact I think at that point his caregiver was managing his finances.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427</w:t>
      </w:r>
      <w:r>
        <w:rPr>
          <w:rFonts w:ascii="arial" w:eastAsia="arial" w:hAnsi="arial" w:cs="arial"/>
          <w:color w:val="000000"/>
          <w:sz w:val="20"/>
          <w:lang w:val="en-US" w:eastAsia="en-US" w:bidi="ar-SA"/>
        </w:rPr>
        <w:t>  However, in cross-examination, Dr. Magee admitted that the MMSE was not a specific tool and some care should be taken with the particular numbers: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not a definitive scale, by any stretch of the imagination. This is a very crude tool that everybody seems to have some familiarity with and is used very commonly and widely. So getting too focused in on the numbers may be a little bit extreme.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428</w:t>
      </w:r>
      <w:r>
        <w:rPr>
          <w:rFonts w:ascii="arial" w:eastAsia="arial" w:hAnsi="arial" w:cs="arial"/>
          <w:color w:val="000000"/>
          <w:sz w:val="20"/>
          <w:lang w:val="en-US" w:eastAsia="en-US" w:bidi="ar-SA"/>
        </w:rPr>
        <w:t>  Dr. Magee saw Mr. Singleton for a second time in November 2008, following Mr. Singleton's CT scan. In his report from that meeting, Dr. Magee noted there seemed to be "evidence of a previous stroke with some impairment in the basal ganglia," which would suggest that Mr. Singleton was likely dealing with a "mixed pattern likely both a multiinfarct/Alzheimer's type combination of dementia."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429</w:t>
      </w:r>
      <w:r>
        <w:rPr>
          <w:rFonts w:ascii="arial" w:eastAsia="arial" w:hAnsi="arial" w:cs="arial"/>
          <w:color w:val="000000"/>
          <w:sz w:val="20"/>
          <w:lang w:val="en-US" w:eastAsia="en-US" w:bidi="ar-SA"/>
        </w:rPr>
        <w:t>  In his testimony, Dr. Magee further described the results of the CT scan: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perceive that to be a stroke injury. He - he showed evidence of a couple of lesions. I spoke specifically about the brain stem lesion and that is in reference to Mr. Singleton's style of thinking, which is very slow and methodical, which is something that you see with brain stem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430</w:t>
      </w:r>
      <w:r>
        <w:rPr>
          <w:rFonts w:ascii="arial" w:eastAsia="arial" w:hAnsi="arial" w:cs="arial"/>
          <w:color w:val="000000"/>
          <w:sz w:val="20"/>
          <w:lang w:val="en-US" w:eastAsia="en-US" w:bidi="ar-SA"/>
        </w:rPr>
        <w:t>  In his November 2008 report, Dr. Magee also notes that Mr. Singleton "clearly has a dementia syndrome" and states that he gave Mr. Singleton samples of a medication called Aricept.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431</w:t>
      </w:r>
      <w:r>
        <w:rPr>
          <w:rFonts w:ascii="arial" w:eastAsia="arial" w:hAnsi="arial" w:cs="arial"/>
          <w:color w:val="000000"/>
          <w:sz w:val="20"/>
          <w:lang w:val="en-US" w:eastAsia="en-US" w:bidi="ar-SA"/>
        </w:rPr>
        <w:t>  Dr. Magee testified that Aricept is a "purely symptomatic treatment." Dr. Magee went on to explain Aricept in further detail: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Aricept is one of the few pharmacological interventions in mixed-pattern dementia, which is what we were seeing here. It basically interferes with the breakdown of one of the neurotransmitters ... so essentially it does seem to enhance memory and function a little bit.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may slow the process by six months, so it's not profound, but it's considered useful. It may keep people out of institutions a little bit longer. It may keep the home situation functioning a little bit better a little bit longer. It's incremental.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432</w:t>
      </w:r>
      <w:r>
        <w:rPr>
          <w:rFonts w:ascii="arial" w:eastAsia="arial" w:hAnsi="arial" w:cs="arial"/>
          <w:color w:val="000000"/>
          <w:sz w:val="20"/>
          <w:lang w:val="en-US" w:eastAsia="en-US" w:bidi="ar-SA"/>
        </w:rPr>
        <w:t>  Dr. Magee's final report came following an October 9, 2009 meeting with Mr. Singleton. At this meeting, he again gave Mr. Singleton the MMSE, and this time Mr. Singleton scored 20 out of 30. He also made some general comments about Mr. Singleton's thinking and presentation: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Singleton] presents relatively well today although I found his thinking was much slower. There was definitely a component of bradyphrenia. This came out in attentional tasks or any type of factual information. He had to think it through to give the answer correctly.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433</w:t>
      </w:r>
      <w:r>
        <w:rPr>
          <w:rFonts w:ascii="arial" w:eastAsia="arial" w:hAnsi="arial" w:cs="arial"/>
          <w:color w:val="000000"/>
          <w:sz w:val="20"/>
          <w:lang w:val="en-US" w:eastAsia="en-US" w:bidi="ar-SA"/>
        </w:rPr>
        <w:t>  In his testimony, Dr. Magee explained that bradyphrenia meant that the sharpness and quickness of a person's thinking would disappear and that "the answers can be arrived at, but sometimes they are slow and methodical."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434</w:t>
      </w:r>
      <w:r>
        <w:rPr>
          <w:rFonts w:ascii="arial" w:eastAsia="arial" w:hAnsi="arial" w:cs="arial"/>
          <w:color w:val="000000"/>
          <w:sz w:val="20"/>
          <w:lang w:val="en-US" w:eastAsia="en-US" w:bidi="ar-SA"/>
        </w:rPr>
        <w:t>  Dr. Magee also testified about Alzheimer's and dementia generally. He stated that with Alzheimer's, "typically short-term memory is affected profoundly first. Longer-term memory is still maintained for quite some time." He also stated that to be diagnosed with dementia, it is necessary to see evidence of both memory problems and functional decline, not one or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435</w:t>
      </w:r>
      <w:r>
        <w:rPr>
          <w:rFonts w:ascii="arial" w:eastAsia="arial" w:hAnsi="arial" w:cs="arial"/>
          <w:color w:val="000000"/>
          <w:sz w:val="20"/>
          <w:lang w:val="en-US" w:eastAsia="en-US" w:bidi="ar-SA"/>
        </w:rPr>
        <w:t>  Dr. Magee summed up his view of Mr. Singleton, in his testimony,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own view is that Mr. Singleton certainly has a cognitive impairment. It's mild, maybe approaching early moderate phase. I think he's - I think the injury in his brain stem is significant. It slows his thinking. He comes across as a very methodical. He is able - I think because of previous intellect he is able to methodically work through his answers. How often he is fully accurate and how often he is able to fully explain himself I think is questionable ... I think he gets confused in being able to deliver what he wants to say, that it's not clear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436</w:t>
      </w:r>
      <w:r>
        <w:rPr>
          <w:rFonts w:ascii="arial" w:eastAsia="arial" w:hAnsi="arial" w:cs="arial"/>
          <w:color w:val="000000"/>
          <w:sz w:val="20"/>
          <w:lang w:val="en-US" w:eastAsia="en-US" w:bidi="ar-SA"/>
        </w:rPr>
        <w:t>  Dr. Magee was also asked about when he believed that Mr. Singleton's mental problems would have begun. In direct testimony, he testified that because Mr. Singleton was already suffering from dementia in September 2008, and the fact that it is a progressive disease, it had likely started two to five years earlier. When cross-examined and asked about a finding of a different doctor that Mr. Singleton had good functioning in July 2007, Dr. Magee explained that these symptoms are more difficult to recognize in a person of above average intelligence: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refer to what I said before is that somebody who is extremely bright, say has an IQ of 140, they're going to have to drop fairly significantly before it's going to be apparent to most of us. If you've got an IQ of 80 and you start losing a few points, it's going to become apparent much sooner.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437</w:t>
      </w:r>
      <w:r>
        <w:rPr>
          <w:rFonts w:ascii="arial" w:eastAsia="arial" w:hAnsi="arial" w:cs="arial"/>
          <w:color w:val="000000"/>
          <w:sz w:val="20"/>
          <w:lang w:val="en-US" w:eastAsia="en-US" w:bidi="ar-SA"/>
        </w:rPr>
        <w:t>  On his re-examination, Dr. Magee was asked to explain again the manner in which Mr. Singleton's cognitive difficulties would affect his ability to answer questions that were asked of him: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of all, this - the slow - this methodical slowness that he has I think correlates, as best I can understand it, with what I am seeing on his CT scan. He shows some evidence of this lesion in his brain stem where - this is where the processing, where the final sort of relay centre, where information goes through before it's put out to the world, and that's impaired at some level.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he may have access to some of his memory, but it is difficult for him to - or he doesn't have the access to the - to the memory, he has to think different routes to get to what he wants, so at some level he's lost his retrieval system, so if he is given a technique to - to retrieve that then he can - he can methodically think it through. He may be able to come up with the answer at some level. So that's - in terms of what I see in this methodical slowness, in being able to come up with a correct response, I think it relates to that area of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Dr. Jeanette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438</w:t>
      </w:r>
      <w:r>
        <w:rPr>
          <w:rFonts w:ascii="arial" w:eastAsia="arial" w:hAnsi="arial" w:cs="arial"/>
          <w:color w:val="000000"/>
          <w:sz w:val="20"/>
          <w:lang w:val="en-US" w:eastAsia="en-US" w:bidi="ar-SA"/>
        </w:rPr>
        <w:t>  Dr. Smith examined Mr. Singleton in her office in Vancouver on October 20, 2009. The interview was approximately 3.25 hours long. Dr. Smith took a detailed personal history from Mr. Singleton as well as administering several cognitive tests. Dr. Smith also reviewed a number of documents relating to Mr. Singleton, including the clinical notes, records, and reports of Dr. Magee.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439</w:t>
      </w:r>
      <w:r>
        <w:rPr>
          <w:rFonts w:ascii="arial" w:eastAsia="arial" w:hAnsi="arial" w:cs="arial"/>
          <w:color w:val="000000"/>
          <w:sz w:val="20"/>
          <w:lang w:val="en-US" w:eastAsia="en-US" w:bidi="ar-SA"/>
        </w:rPr>
        <w:t>  Dr. Smith conducted the MMSE at the beginning and again near the end of the examination. Dr. Smith did this to check for "deterioration in his cognitive functioning as a result of fatigue developing during a lengthy interview" and to check for consistency of the results between the two tests.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440</w:t>
      </w:r>
      <w:r>
        <w:rPr>
          <w:rFonts w:ascii="arial" w:eastAsia="arial" w:hAnsi="arial" w:cs="arial"/>
          <w:color w:val="000000"/>
          <w:sz w:val="20"/>
          <w:lang w:val="en-US" w:eastAsia="en-US" w:bidi="ar-SA"/>
        </w:rPr>
        <w:t>  On the first attempt, Mr. Singleton scored 25 out of 30, placing him "in the mild range of dementia." He lost marks for, among other things, being unable to recall the date of the week, being unable to draw intersecting pentagons, and making a mistake while spelling "world" backwards. On the second attempt, Mr. Singleton scored 26 out of 30, making similar mistakes as on the first exam. On the second exam he accurately drew intersecting pentagons, but was only able to recall two of three objects after a five minute delay. In Dr. Smith's opinion, the difference in results between the two exams "was not clinically significant and in essence revealed mild impairment of concentration and short-term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441</w:t>
      </w:r>
      <w:r>
        <w:rPr>
          <w:rFonts w:ascii="arial" w:eastAsia="arial" w:hAnsi="arial" w:cs="arial"/>
          <w:color w:val="000000"/>
          <w:sz w:val="20"/>
          <w:lang w:val="en-US" w:eastAsia="en-US" w:bidi="ar-SA"/>
        </w:rPr>
        <w:t>  In direct examination, Dr. Smith was asked about the difference between Mr. Singleton's results on the MMSE conducted by Dr. Smith and the one conducted by Dr. Magee. When asked about that discrepancy, Dr. Smith responded: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mentioned earlier that Mr. Singleton told me that he was aware he was performing better with me and he suggested that that was because I was a woman. That's a possible explanation.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another explanation is that he was aware of the purpose of my assessment and was trying particularly hard. He knew that his credibility as a witness was being doubted and he wanted to prove that he could - he could perform.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I've explained before, he's a proud man and he's particularly proud of his intellect. That's been his defining feature throughout his life. So I - I believe that he was trying harder particularly for that reason with me. Probably with Dr. Magee, his regular interview, didn't have any impact on the legal matters, so he probably didn't take the testing as seriously.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442</w:t>
      </w:r>
      <w:r>
        <w:rPr>
          <w:rFonts w:ascii="arial" w:eastAsia="arial" w:hAnsi="arial" w:cs="arial"/>
          <w:color w:val="000000"/>
          <w:sz w:val="20"/>
          <w:lang w:val="en-US" w:eastAsia="en-US" w:bidi="ar-SA"/>
        </w:rPr>
        <w:t>  Counsel for Mr. Singleton also focused a number of questions on the results of the MMSE. When it was put to Dr. Smith that Mr. Singleton did better on the MMSE with her than Dr. Magee because she conducted the test more slowly, she agreed,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Yes. I think, as I said earlier, I had a lot more time, the interview was probably a lot less rushed and perhaps most importantly, Mr. Singleton wanted to perform at his best. He wanted to be seen to be doing well. It was a - an important interview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443</w:t>
      </w:r>
      <w:r>
        <w:rPr>
          <w:rFonts w:ascii="arial" w:eastAsia="arial" w:hAnsi="arial" w:cs="arial"/>
          <w:color w:val="000000"/>
          <w:sz w:val="20"/>
          <w:lang w:val="en-US" w:eastAsia="en-US" w:bidi="ar-SA"/>
        </w:rPr>
        <w:t>  Dr. Smith also agreed that it was important to perform the MMSE in person, because those personal observations are part of the exam: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Well, part of a mental state examination is an observation of the individual's appearance and behaviour. So their grooming and hygiene, their eye contact, their movements, and those can be relevant in terms of forming a diagnosis, a clinical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444</w:t>
      </w:r>
      <w:r>
        <w:rPr>
          <w:rFonts w:ascii="arial" w:eastAsia="arial" w:hAnsi="arial" w:cs="arial"/>
          <w:color w:val="000000"/>
          <w:sz w:val="20"/>
          <w:lang w:val="en-US" w:eastAsia="en-US" w:bidi="ar-SA"/>
        </w:rPr>
        <w:t>  With regard to the MMSE, Dr. Smith agreed with the suggestion put to her, as stated by Dr. Magee, that it is a "crude tool" to measure dementia: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Yes. I believe I explained earlier it's simply a screening tool and one that's used to monitor change over time. It's by no means a precise, scientifically validated tool.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445</w:t>
      </w:r>
      <w:r>
        <w:rPr>
          <w:rFonts w:ascii="arial" w:eastAsia="arial" w:hAnsi="arial" w:cs="arial"/>
          <w:color w:val="000000"/>
          <w:sz w:val="20"/>
          <w:lang w:val="en-US" w:eastAsia="en-US" w:bidi="ar-SA"/>
        </w:rPr>
        <w:t>  Dr. Smith also asked Mr. Singleton a number of general knowledge questions about current events, spelling, and simple mathematics. Mr. Singleton struggled with some of the general knowledge questions, such as the name of the Prime Minister of Canada and the capital city of England, but when he was told the answer and then asked again three hours later, he was able to answer them successfully. Mr. Singleton also successfully answered the math and spelling questions that were asked of him. However, he was unable to recite the months of the year in reverse; on both attempts he omitted one month. Additionally, he was unable to repeatedly subtract seven from 100, but was able to repeatedly subtract three.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446</w:t>
      </w:r>
      <w:r>
        <w:rPr>
          <w:rFonts w:ascii="arial" w:eastAsia="arial" w:hAnsi="arial" w:cs="arial"/>
          <w:color w:val="000000"/>
          <w:sz w:val="20"/>
          <w:lang w:val="en-US" w:eastAsia="en-US" w:bidi="ar-SA"/>
        </w:rPr>
        <w:t>  As a result of these tests, Dr. Smith reached a number of conclusions. With regard to Mr. Singleton's overall state of mental health, Dr. Smith found that he was suffering from a mild degree of dementia: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dementia is currently manifesting in impairment of recent memory and concentration but long-term memory appears to be intact. Nevertheless the deficits are beyond what would be considered normal aging.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447</w:t>
      </w:r>
      <w:r>
        <w:rPr>
          <w:rFonts w:ascii="arial" w:eastAsia="arial" w:hAnsi="arial" w:cs="arial"/>
          <w:color w:val="000000"/>
          <w:sz w:val="20"/>
          <w:lang w:val="en-US" w:eastAsia="en-US" w:bidi="ar-SA"/>
        </w:rPr>
        <w:t>  Dr. Smith also stated that there is "no evidence to suggest that Mr. Singleton is malingering or exaggerating his cognitive deficits." This was evident to Dr. Smith on the basis that Mr. Singleton's results on the MMSE had actually improved since Dr. Magee had conducted the exam, and he was "clearly making an effort to answer the test questions as best he could."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448</w:t>
      </w:r>
      <w:r>
        <w:rPr>
          <w:rFonts w:ascii="arial" w:eastAsia="arial" w:hAnsi="arial" w:cs="arial"/>
          <w:color w:val="000000"/>
          <w:sz w:val="20"/>
          <w:lang w:val="en-US" w:eastAsia="en-US" w:bidi="ar-SA"/>
        </w:rPr>
        <w:t>  Dr. Smith found no evidence of a mood disorder, such as depression or bipolar disorder, nor any delusional beliefs regarding the legal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449</w:t>
      </w:r>
      <w:r>
        <w:rPr>
          <w:rFonts w:ascii="arial" w:eastAsia="arial" w:hAnsi="arial" w:cs="arial"/>
          <w:color w:val="000000"/>
          <w:sz w:val="20"/>
          <w:lang w:val="en-US" w:eastAsia="en-US" w:bidi="ar-SA"/>
        </w:rPr>
        <w:t>  With regard to the legal proceedings, Dr. Smith found that Mr. Singleton was aware of them and understood what was happening: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appears to retain a good understanding of the nature, purpose and potential outcome of the legal proceedings and in my opinion would easily meet the criteria for Fitness to Stand Trial. Furthermore he is very aware of the adversarial process and the limits of confidentiality.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450</w:t>
      </w:r>
      <w:r>
        <w:rPr>
          <w:rFonts w:ascii="arial" w:eastAsia="arial" w:hAnsi="arial" w:cs="arial"/>
          <w:color w:val="000000"/>
          <w:sz w:val="20"/>
          <w:lang w:val="en-US" w:eastAsia="en-US" w:bidi="ar-SA"/>
        </w:rPr>
        <w:t>  Lastly, Dr. Smith gave a favourable overall opinion of Mr. Singleton and his knowledge of the proceedings: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Singleton speaks eloquently about his case and is clearly an intelligent man whose days are still filled with intellectual pursuits, although I note the decline in his writing described by his caregiver. Obviously I cannot judge the accuracy of his recollections concerning his past behaviour at the time of the alleged offences, but as he pointed out to me he has been rehearsing his case in great depth for the past fifteen years, if not longer and therefore the information remains at the forefront of his mind and well within the limits of his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451</w:t>
      </w:r>
      <w:r>
        <w:rPr>
          <w:rFonts w:ascii="arial" w:eastAsia="arial" w:hAnsi="arial" w:cs="arial"/>
          <w:color w:val="000000"/>
          <w:sz w:val="20"/>
          <w:lang w:val="en-US" w:eastAsia="en-US" w:bidi="ar-SA"/>
        </w:rPr>
        <w:t>  Counsel for Mr. Singleton began cross-examination with a number of questions about memory generally. Dr. Smith agreed that she would not be surprised that people would occasionally lack independent memories of things which occurred in the late 1980s or early 1990s.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452</w:t>
      </w:r>
      <w:r>
        <w:rPr>
          <w:rFonts w:ascii="arial" w:eastAsia="arial" w:hAnsi="arial" w:cs="arial"/>
          <w:color w:val="000000"/>
          <w:sz w:val="20"/>
          <w:lang w:val="en-US" w:eastAsia="en-US" w:bidi="ar-SA"/>
        </w:rPr>
        <w:t>  Dr. Smith agreed with the suggestion that someone with a form of dementia or Alzheimer's would have more difficulty remembering things than someone who did not suffer from either condition,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that's correct, particularly in the early stages of dementia when one's looking at more recent memories, short term memory and the recent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453</w:t>
      </w:r>
      <w:r>
        <w:rPr>
          <w:rFonts w:ascii="arial" w:eastAsia="arial" w:hAnsi="arial" w:cs="arial"/>
          <w:color w:val="000000"/>
          <w:sz w:val="20"/>
          <w:lang w:val="en-US" w:eastAsia="en-US" w:bidi="ar-SA"/>
        </w:rPr>
        <w:t>  Dr. Smith also agreed that the understanding of memory is not complete, and that while some facts in the case that happened 20 years prior could be remembered, others could also be forgotten.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454</w:t>
      </w:r>
      <w:r>
        <w:rPr>
          <w:rFonts w:ascii="arial" w:eastAsia="arial" w:hAnsi="arial" w:cs="arial"/>
          <w:color w:val="000000"/>
          <w:sz w:val="20"/>
          <w:lang w:val="en-US" w:eastAsia="en-US" w:bidi="ar-SA"/>
        </w:rPr>
        <w:t>  More particularly, Dr. Smith agreed that the combination of the fact that the events are in the past, more difficult for anyone to remember, and Mr. Singleton's dementia/Alzheimer's, make it more difficult for him to participate fully in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455</w:t>
      </w:r>
      <w:r>
        <w:rPr>
          <w:rFonts w:ascii="arial" w:eastAsia="arial" w:hAnsi="arial" w:cs="arial"/>
          <w:color w:val="000000"/>
          <w:sz w:val="20"/>
          <w:lang w:val="en-US" w:eastAsia="en-US" w:bidi="ar-SA"/>
        </w:rPr>
        <w:t>  However, Dr. Smith emphasized in cross-examination that while she is unable to testify about Mr. Singleton's abilities as a lawyer, the fact that the case has been in the front of his mind is the reason he has strong memories of the pertinent events: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reason for including that is really concerning memory and the fact that the - the facts of the case, as Mr. Singleton remembered them, have been kept alive in his working memory ... this isn't something that's been asleep in his brain for 20 years ... My point though is that he has kept thinking about this ever since. It's been in the front of his brain and his working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456</w:t>
      </w:r>
      <w:r>
        <w:rPr>
          <w:rFonts w:ascii="arial" w:eastAsia="arial" w:hAnsi="arial" w:cs="arial"/>
          <w:color w:val="000000"/>
          <w:sz w:val="20"/>
          <w:lang w:val="en-US" w:eastAsia="en-US" w:bidi="ar-SA"/>
        </w:rPr>
        <w:t>  Despite this testimony suggesting that Mr. Singleton remembers the important details of the case because he has kept them in his working memory, Dr. Smith agreed with the suggestion that Mr. Singleton obviously would not remember each salient detail about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457</w:t>
      </w:r>
      <w:r>
        <w:rPr>
          <w:rFonts w:ascii="arial" w:eastAsia="arial" w:hAnsi="arial" w:cs="arial"/>
          <w:color w:val="000000"/>
          <w:sz w:val="20"/>
          <w:lang w:val="en-US" w:eastAsia="en-US" w:bidi="ar-SA"/>
        </w:rPr>
        <w:t>  The last significant area of cross-examination was Dr. Smith's use of tapes of Mr. Singleton's testimony to develop her opinion. Dr. Smith was provided with tapes of two different days of testimony and, in her words, "dipped into various different times." Dr. Smith refused repeated suggestions that her opinion would have been aided by video or the ability to observe Mr. Singleton during his testimony. However, she agreed that she only listened to parts of the tape without any context, and she limited her opinion of the testimony to the following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Singleton was attempting to answer the questions that were posed to him. That at times he digressed, as he did in the clinical interview with me, and had to be redirected onto the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458</w:t>
      </w:r>
      <w:r>
        <w:rPr>
          <w:rFonts w:ascii="arial" w:eastAsia="arial" w:hAnsi="arial" w:cs="arial"/>
          <w:color w:val="000000"/>
          <w:sz w:val="20"/>
          <w:lang w:val="en-US" w:eastAsia="en-US" w:bidi="ar-SA"/>
        </w:rPr>
        <w:t>  Counsel for Mr. Singleton also questioned Dr. Smith about her ability to draw conclusions regarding Mr. Singleton's ability to testify at trial based on her interview with him. Dr. Smith testified about what she took from the interview: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believed it represented his functioning over a three hour period when he was trying hard to answer questions and to concentrate.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459</w:t>
      </w:r>
      <w:r>
        <w:rPr>
          <w:rFonts w:ascii="arial" w:eastAsia="arial" w:hAnsi="arial" w:cs="arial"/>
          <w:color w:val="000000"/>
          <w:sz w:val="20"/>
          <w:lang w:val="en-US" w:eastAsia="en-US" w:bidi="ar-SA"/>
        </w:rPr>
        <w:t>  It was suggested to Dr. Smith that it was extremely different to testify than to be examined "in a pleasant doctor's office with a pleasant doctor." Dr. Smith refuted that suggestion: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Some people are extremely nervous and anxious and lots is at stake when they come to an interview. Some people, as I said earlier, have to take breaks. They find it very stressful.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People don't come to me for a nice cozy counselling chat. They're discussing often painful issues that they don't want to discuss. They often don't want me to disclose information. They don't want to see me. As a therapeutic - in my therapeutic role that may be different or may not be but the assessment, no. People can find that very stressful.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460</w:t>
      </w:r>
      <w:r>
        <w:rPr>
          <w:rFonts w:ascii="arial" w:eastAsia="arial" w:hAnsi="arial" w:cs="arial"/>
          <w:color w:val="000000"/>
          <w:sz w:val="20"/>
          <w:lang w:val="en-US" w:eastAsia="en-US" w:bidi="ar-SA"/>
        </w:rPr>
        <w:t>  Dr. Smith also testified with regard to Alzheimer's generally, agreeing with the proposition that someone with a high degree of intellect could potentially conceal a level of degeneration in their function: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That's correct. One can have radiological or pathological evidence of dementia but that doesn't necessarily translate into functional impairment, particularly if an individual can compensate. You know, they have great intellectual reserves and can compensate.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461</w:t>
      </w:r>
      <w:r>
        <w:rPr>
          <w:rFonts w:ascii="arial" w:eastAsia="arial" w:hAnsi="arial" w:cs="arial"/>
          <w:color w:val="000000"/>
          <w:sz w:val="20"/>
          <w:lang w:val="en-US" w:eastAsia="en-US" w:bidi="ar-SA"/>
        </w:rPr>
        <w:t>  Lastly, Dr. Smith agreed that Alzheimer's is a very serious diagnosis as, "it's a progressive illness that ultimately ends in death and there are very few treatment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Findings as to Mr. Singleton's Mental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462</w:t>
      </w:r>
      <w:r>
        <w:rPr>
          <w:rFonts w:ascii="arial" w:eastAsia="arial" w:hAnsi="arial" w:cs="arial"/>
          <w:color w:val="000000"/>
          <w:sz w:val="20"/>
          <w:lang w:val="en-US" w:eastAsia="en-US" w:bidi="ar-SA"/>
        </w:rPr>
        <w:t>  There is no evidence of any mental deterioration or defect in Mr. Singleton's mental state during the years of 1988 to 1990, when the offences are alleged to have been committed.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463</w:t>
      </w:r>
      <w:r>
        <w:rPr>
          <w:rFonts w:ascii="arial" w:eastAsia="arial" w:hAnsi="arial" w:cs="arial"/>
          <w:color w:val="000000"/>
          <w:sz w:val="20"/>
          <w:lang w:val="en-US" w:eastAsia="en-US" w:bidi="ar-SA"/>
        </w:rPr>
        <w:t xml:space="preserve">  I find that during the time period of the alleged offences (between March 30, 1988 (the date of Mr. George's death) and December 31, 1990) the evidence reveals that Mr. Singleton was very much mentally intact. This period pre-dates any suggestion of the onset of Mr. Singleton's dementia/Alzheimer's condition by many years, given that Dr. Magee's opinion was a maximum period for onset of up to five years prior to 2008. There is no merit to the suggestion that Mr. Singleton's declining mental condition played a role in his ability to form the required intent or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for the offences charged. Therefore, I conclude that Mr. Singleton's mental deterioration has no bearing on his ability to form the required mental intent for theft or fraud during the period alleged in the Indictment.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464</w:t>
      </w:r>
      <w:r>
        <w:rPr>
          <w:rFonts w:ascii="arial" w:eastAsia="arial" w:hAnsi="arial" w:cs="arial"/>
          <w:color w:val="000000"/>
          <w:sz w:val="20"/>
          <w:lang w:val="en-US" w:eastAsia="en-US" w:bidi="ar-SA"/>
        </w:rPr>
        <w:t xml:space="preserve">  Having set out the expert evidence relating to Mr. Singleton's present mental condition, I will refer to this evidence in the context of defence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applications in my Reasons for Judgment - Part 2 -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FINDINGS ON THE EVIDENCE IN RELATION TO THE SUBSTANTIVE OFFENCES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465</w:t>
      </w:r>
      <w:r>
        <w:rPr>
          <w:rFonts w:ascii="arial" w:eastAsia="arial" w:hAnsi="arial" w:cs="arial"/>
          <w:color w:val="000000"/>
          <w:sz w:val="20"/>
          <w:lang w:val="en-US" w:eastAsia="en-US" w:bidi="ar-SA"/>
        </w:rPr>
        <w:t>  As discussed, I find that the Crown has proven the actus reus for the offences of theft and fraud beyond a reasonable doubt. George Estate funds of $1,061,648 were received by Mr. Singleton, but only $563,040 was legitimately paid out pursuant to the Will, which after the payment of some modest debts of Mr. George, left $494,633 unaccounted for. Mr. Singleton placed a total of $417,562 into 433 Winchester or directly into the District Lot and its development. This total is comprised of totals of the transactions previously referred to of $180,000, $44,000, and $193,562, of which the latter two amounts went into the Winchester Account. Mr. Singleton paid to himself, primarily as fees, $115,000 from George Estate funds, plus additional amounts totalling $41,288 and $29,200, as shown in the 433 Winchester ledger, and by cheques drawn on the Winchester Account respectively, for a total in excess of $180,000.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466</w:t>
      </w:r>
      <w:r>
        <w:rPr>
          <w:rFonts w:ascii="arial" w:eastAsia="arial" w:hAnsi="arial" w:cs="arial"/>
          <w:color w:val="000000"/>
          <w:sz w:val="20"/>
          <w:lang w:val="en-US" w:eastAsia="en-US" w:bidi="ar-SA"/>
        </w:rPr>
        <w:t xml:space="preserve">  The defence submits that I should find a reasonable doubt as to Mr. Singleton's guilt for the offences of theft and fraud in relation to his conduct regarding the George Estate, arising from lack of proof of his requisite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beyond a reasonable doubt.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467</w:t>
      </w:r>
      <w:r>
        <w:rPr>
          <w:rFonts w:ascii="arial" w:eastAsia="arial" w:hAnsi="arial" w:cs="arial"/>
          <w:color w:val="000000"/>
          <w:sz w:val="20"/>
          <w:lang w:val="en-US" w:eastAsia="en-US" w:bidi="ar-SA"/>
        </w:rPr>
        <w:t xml:space="preserve">  I have engaged in a detailed review of the evidence at trial because the evidence tells the story, a rather long and complicated one, relevant to the issue of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and Mr. Singleton's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application. Mr. Singleton's subjective intent or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is to be determined from the details of these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468</w:t>
      </w:r>
      <w:r>
        <w:rPr>
          <w:rFonts w:ascii="arial" w:eastAsia="arial" w:hAnsi="arial" w:cs="arial"/>
          <w:color w:val="000000"/>
          <w:sz w:val="20"/>
          <w:lang w:val="en-US" w:eastAsia="en-US" w:bidi="ar-SA"/>
        </w:rPr>
        <w:t>  First, I find, with the exception of the evidence of Mr. Singleton, that I accept the evidence of the witnesses in these proceedings and find the facts to be as related by them. I find the witnesses called by both the Crown and the defence to be credible and reliable. Many had little and some no independent recollection of events from so long ago. Others remembered more. Witnesses were not permitted to speculate. However, this is a case where documents told much of the story. Their makers or their recipients provided supplementary testimony. Other witnesses relied on their notes and sometimes their memories in relation to the striking or unusual.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469</w:t>
      </w:r>
      <w:r>
        <w:rPr>
          <w:rFonts w:ascii="arial" w:eastAsia="arial" w:hAnsi="arial" w:cs="arial"/>
          <w:color w:val="000000"/>
          <w:sz w:val="20"/>
          <w:lang w:val="en-US" w:eastAsia="en-US" w:bidi="ar-SA"/>
        </w:rPr>
        <w:t>  The only witnesses whose credibility was called into question were Ms. Shacher and Ms. Bonderoff, in relation to some of their recollections about Mr. Singleton's conduct, particularly the testimony of Ms. Shacher in relation to her interaction with Mr. Singleton over his bill to the George Estate for fees in the amount of $52,520.13. I accept that they both remembered events accurately. However, not much turns on Ms. Shacher's recollection of Mr. Singleton's response or how they may feel now about their employment with him many years ago. This case contains many more pressing facts to consider with regard to Mr. Singleton's intent.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470</w:t>
      </w:r>
      <w:r>
        <w:rPr>
          <w:rFonts w:ascii="arial" w:eastAsia="arial" w:hAnsi="arial" w:cs="arial"/>
          <w:color w:val="000000"/>
          <w:sz w:val="20"/>
          <w:lang w:val="en-US" w:eastAsia="en-US" w:bidi="ar-SA"/>
        </w:rPr>
        <w:t xml:space="preserve">  I briefly note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required for the offences of theft, contrary to s. 322(1), and fraud, contrary to s. 380(1), having set them out previously in some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471</w:t>
      </w:r>
      <w:r>
        <w:rPr>
          <w:rFonts w:ascii="arial" w:eastAsia="arial" w:hAnsi="arial" w:cs="arial"/>
          <w:color w:val="000000"/>
          <w:sz w:val="20"/>
          <w:lang w:val="en-US" w:eastAsia="en-US" w:bidi="ar-SA"/>
        </w:rPr>
        <w:t xml:space="preserve">  First, based on the requirements for the offence of theft, as set out in s. 322(1)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and as interpreted by the case law previously discussed, the requisite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requires proof that the accused, "fraudulently and without colour of right," in the taking or conversion of the subject property, possessed the specific intent to deprive the beneficiaries of the George Estate of their property, or to deal with the funds of the George Estate in such a manner that they could not be restored to the beneficiaries. The authorities conflate "fraudulently" in this context with an intentional taking. As discussed in </w:t>
      </w:r>
      <w:r>
        <w:rPr>
          <w:rFonts w:ascii="arial" w:eastAsia="arial" w:hAnsi="arial" w:cs="arial"/>
          <w:i/>
          <w:color w:val="000000"/>
          <w:sz w:val="20"/>
          <w:lang w:val="en-US" w:eastAsia="en-US" w:bidi="ar-SA"/>
        </w:rPr>
        <w:t>Manuel</w:t>
      </w:r>
      <w:r>
        <w:rPr>
          <w:rFonts w:ascii="arial" w:eastAsia="arial" w:hAnsi="arial" w:cs="arial"/>
          <w:color w:val="000000"/>
          <w:sz w:val="20"/>
          <w:lang w:val="en-US" w:eastAsia="en-US" w:bidi="ar-SA"/>
        </w:rPr>
        <w:t xml:space="preserve">, "colour of right" is defined as, "an honest belief in a state of facts or civil law, which if it existed, would negate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for the offence."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472</w:t>
      </w:r>
      <w:r>
        <w:rPr>
          <w:rFonts w:ascii="arial" w:eastAsia="arial" w:hAnsi="arial" w:cs="arial"/>
          <w:color w:val="000000"/>
          <w:sz w:val="20"/>
          <w:lang w:val="en-US" w:eastAsia="en-US" w:bidi="ar-SA"/>
        </w:rPr>
        <w:t xml:space="preserve">  Second,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for fraud is as set out in </w:t>
      </w:r>
      <w:r>
        <w:rPr>
          <w:rFonts w:ascii="arial" w:eastAsia="arial" w:hAnsi="arial" w:cs="arial"/>
          <w:i/>
          <w:color w:val="000000"/>
          <w:sz w:val="20"/>
          <w:lang w:val="en-US" w:eastAsia="en-US" w:bidi="ar-SA"/>
        </w:rPr>
        <w:t>Théroux</w:t>
      </w:r>
      <w:r>
        <w:rPr>
          <w:rFonts w:ascii="arial" w:eastAsia="arial" w:hAnsi="arial" w:cs="arial"/>
          <w:color w:val="000000"/>
          <w:sz w:val="20"/>
          <w:lang w:val="en-US" w:eastAsia="en-US" w:bidi="ar-SA"/>
        </w:rPr>
        <w:t>, as previously referred to, and may be summarized as proof beyond a reasonable doubt of subjective knowledge of the prohibited act, be it an act of deceit, a falsehood, or some other fraudulent means, and subjective knowledge that the prohibited act could have as its consequence deprivation caused by the prohibited act, which may consist of actual loss or the placing of the victim's pecuniary interests at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473</w:t>
      </w:r>
      <w:r>
        <w:rPr>
          <w:rFonts w:ascii="arial" w:eastAsia="arial" w:hAnsi="arial" w:cs="arial"/>
          <w:color w:val="000000"/>
          <w:sz w:val="20"/>
          <w:lang w:val="en-US" w:eastAsia="en-US" w:bidi="ar-SA"/>
        </w:rPr>
        <w:t>  The defence submits that Mr. Singleton was unlike any other lawyer practising law in British Columbia during the time that he is alleged to have committed these offences. The defence claims that when the Crown asks the Court to note Mr. Singleton's credentials and education the Crown is, in effect, seeking to elevate the standard to which Mr. Singleton should be held to account. The defence submits that it is an error to ascribe to Mr. Singleton the usual and expected characteristics, and fundamental reasonableness, that one would otherwise easily ascribe to a well-educated lawyer practising law in this province. Counsel submits that Mr. Singleton was uniquely ill-suited to the practice of law, as borne out by the many complaints by his clients and other lawyers to the Law Society and the actions taken on behalf of the Law Society to review and remediate his conduct of the practice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474</w:t>
      </w:r>
      <w:r>
        <w:rPr>
          <w:rFonts w:ascii="arial" w:eastAsia="arial" w:hAnsi="arial" w:cs="arial"/>
          <w:color w:val="000000"/>
          <w:sz w:val="20"/>
          <w:lang w:val="en-US" w:eastAsia="en-US" w:bidi="ar-SA"/>
        </w:rPr>
        <w:t>  Therefore, the defence submits that when the Court considers Mr. Singleton, as he is and then was, the Court should not be satisfied beyond a reasonable doubt that Mr. Singleton possessed the requisite criminal intent for the offences charged, or was reckless or wilfully blind, such as could in other cases be much more easily ascribed to a practising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475</w:t>
      </w:r>
      <w:r>
        <w:rPr>
          <w:rFonts w:ascii="arial" w:eastAsia="arial" w:hAnsi="arial" w:cs="arial"/>
          <w:color w:val="000000"/>
          <w:sz w:val="20"/>
          <w:lang w:val="en-US" w:eastAsia="en-US" w:bidi="ar-SA"/>
        </w:rPr>
        <w:t>  With respect, what is at issue here is Mr. Singleton's mental intent as he engaged in all the activities relevant to the offences charged as discussed in the evidence. Being disinterested in practicing law within the standards of the profession, and believing in arrogance that the mechanisms in place to ensure adequate professional standards are only there for others may indeed result in incompetence, but what lies at the heart of this matter is not Mr. Singleton's incompetence. He chose to practice law on his own terms and in his own way, which at times were clearly outside the bounds of accepted practice. Many people may be incompetent in one area or another, but incompetence, whether it be deliberately cultivated, or inadvertently achieved, is not a licence for dishonesty.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476</w:t>
      </w:r>
      <w:r>
        <w:rPr>
          <w:rFonts w:ascii="arial" w:eastAsia="arial" w:hAnsi="arial" w:cs="arial"/>
          <w:color w:val="000000"/>
          <w:sz w:val="20"/>
          <w:lang w:val="en-US" w:eastAsia="en-US" w:bidi="ar-SA"/>
        </w:rPr>
        <w:t>  In this case, some aspects of Mr. Singleton's testimony are simply factual. He told the Court what he did and did not do and it remains for the Court to determine what is to be inferred from acts or omissions in terms of his intent.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477</w:t>
      </w:r>
      <w:r>
        <w:rPr>
          <w:rFonts w:ascii="arial" w:eastAsia="arial" w:hAnsi="arial" w:cs="arial"/>
          <w:color w:val="000000"/>
          <w:sz w:val="20"/>
          <w:lang w:val="en-US" w:eastAsia="en-US" w:bidi="ar-SA"/>
        </w:rPr>
        <w:t>  To the extent that one may infer intent I find it useful to consider what Mr. Singleton did and did not do in relation to the George Estate. Mr. Singleton:</w:t>
      </w:r>
      <w:r>
        <w:rPr>
          <w:rFonts w:ascii="arial" w:eastAsia="arial" w:hAnsi="arial" w:cs="arial"/>
          <w:sz w:val="20"/>
          <w:lang w:val="en-US" w:eastAsia="en-US" w:bidi="ar-SA"/>
        </w:rPr>
        <w:cr/>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did</w:t>
      </w:r>
      <w:r>
        <w:rPr>
          <w:rFonts w:ascii="arial" w:eastAsia="arial" w:hAnsi="arial" w:cs="arial"/>
          <w:color w:val="000000"/>
          <w:sz w:val="20"/>
          <w:lang w:val="en-US" w:eastAsia="en-US" w:bidi="ar-SA"/>
        </w:rPr>
        <w:t xml:space="preserve"> draw up the Will, including the codicils, and accept the appointment of executor and trustee;</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did</w:t>
      </w:r>
      <w:r>
        <w:rPr>
          <w:rFonts w:ascii="arial" w:eastAsia="arial" w:hAnsi="arial" w:cs="arial"/>
          <w:color w:val="000000"/>
          <w:sz w:val="20"/>
          <w:lang w:val="en-US" w:eastAsia="en-US" w:bidi="ar-SA"/>
        </w:rPr>
        <w:t xml:space="preserve"> achieve probate and pay Mr. George's sisters, two local charities, and the Hospital their bequests in a timely way;</w:t>
      </w:r>
    </w:p>
    <w:p>
      <w:pPr>
        <w:numPr>
          <w:numId w:val="6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did</w:t>
      </w:r>
      <w:r>
        <w:rPr>
          <w:rFonts w:ascii="arial" w:eastAsia="arial" w:hAnsi="arial" w:cs="arial"/>
          <w:color w:val="000000"/>
          <w:sz w:val="20"/>
          <w:lang w:val="en-US" w:eastAsia="en-US" w:bidi="ar-SA"/>
        </w:rPr>
        <w:t xml:space="preserve"> pay the sisters' bequests from the Estate Account, a separate bank account in a bank other than where he had his law practice Trust Account;</w:t>
      </w:r>
    </w:p>
    <w:p>
      <w:pPr>
        <w:numPr>
          <w:numId w:val="6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did not</w:t>
      </w:r>
      <w:r>
        <w:rPr>
          <w:rFonts w:ascii="arial" w:eastAsia="arial" w:hAnsi="arial" w:cs="arial"/>
          <w:color w:val="000000"/>
          <w:sz w:val="20"/>
          <w:lang w:val="en-US" w:eastAsia="en-US" w:bidi="ar-SA"/>
        </w:rPr>
        <w:t xml:space="preserve"> disclose the existence of the Estate Account in the Law Society's annual financial reporting document;</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did</w:t>
      </w:r>
      <w:r>
        <w:rPr>
          <w:rFonts w:ascii="arial" w:eastAsia="arial" w:hAnsi="arial" w:cs="arial"/>
          <w:color w:val="000000"/>
          <w:sz w:val="20"/>
          <w:lang w:val="en-US" w:eastAsia="en-US" w:bidi="ar-SA"/>
        </w:rPr>
        <w:t xml:space="preserve"> engage an accountant, Mr. Dietrich, to assist with the George Estate;</w:t>
      </w:r>
    </w:p>
    <w:p>
      <w:pPr>
        <w:numPr>
          <w:numId w:val="7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did,</w:t>
      </w:r>
      <w:r>
        <w:rPr>
          <w:rFonts w:ascii="arial" w:eastAsia="arial" w:hAnsi="arial" w:cs="arial"/>
          <w:color w:val="000000"/>
          <w:sz w:val="20"/>
          <w:lang w:val="en-US" w:eastAsia="en-US" w:bidi="ar-SA"/>
        </w:rPr>
        <w:t xml:space="preserve"> by virtue of filing for probate and enlisting Mr. Dietrich's help, appreciate that the money belonging to the George Estate </w:t>
      </w:r>
      <w:r>
        <w:rPr>
          <w:rFonts w:ascii="arial" w:eastAsia="arial" w:hAnsi="arial" w:cs="arial"/>
          <w:color w:val="000000"/>
          <w:sz w:val="20"/>
          <w:u w:val="single"/>
          <w:lang w:val="en-US" w:eastAsia="en-US" w:bidi="ar-SA"/>
        </w:rPr>
        <w:t>did not</w:t>
      </w:r>
      <w:r>
        <w:rPr>
          <w:rFonts w:ascii="arial" w:eastAsia="arial" w:hAnsi="arial" w:cs="arial"/>
          <w:color w:val="000000"/>
          <w:sz w:val="20"/>
          <w:lang w:val="en-US" w:eastAsia="en-US" w:bidi="ar-SA"/>
        </w:rPr>
        <w:t>, in fact, belong to him, but to the beneficiaries;</w:t>
      </w:r>
    </w:p>
    <w:p>
      <w:pPr>
        <w:numPr>
          <w:numId w:val="7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did not</w:t>
      </w:r>
      <w:r>
        <w:rPr>
          <w:rFonts w:ascii="arial" w:eastAsia="arial" w:hAnsi="arial" w:cs="arial"/>
          <w:color w:val="000000"/>
          <w:sz w:val="20"/>
          <w:lang w:val="en-US" w:eastAsia="en-US" w:bidi="ar-SA"/>
        </w:rPr>
        <w:t xml:space="preserve"> follow Mr. Dietrich's advice and discharged him the day before an estate tax filing was due;</w:t>
      </w:r>
    </w:p>
    <w:p>
      <w:pPr>
        <w:numPr>
          <w:numId w:val="7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did not</w:t>
      </w:r>
      <w:r>
        <w:rPr>
          <w:rFonts w:ascii="arial" w:eastAsia="arial" w:hAnsi="arial" w:cs="arial"/>
          <w:color w:val="000000"/>
          <w:sz w:val="20"/>
          <w:lang w:val="en-US" w:eastAsia="en-US" w:bidi="ar-SA"/>
        </w:rPr>
        <w:t xml:space="preserve"> make the required income tax filings on behalf of the George Estate, which permitted him not to disclose its financial circumstances;</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did not</w:t>
      </w:r>
      <w:r>
        <w:rPr>
          <w:rFonts w:ascii="arial" w:eastAsia="arial" w:hAnsi="arial" w:cs="arial"/>
          <w:color w:val="000000"/>
          <w:sz w:val="20"/>
          <w:lang w:val="en-US" w:eastAsia="en-US" w:bidi="ar-SA"/>
        </w:rPr>
        <w:t xml:space="preserve"> pay the remaining beneficiaries and those entitled to shares in the residue when, prior to investment in the District Lot and 433 Winchester, there were funds available to do so;</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did not</w:t>
      </w:r>
      <w:r>
        <w:rPr>
          <w:rFonts w:ascii="arial" w:eastAsia="arial" w:hAnsi="arial" w:cs="arial"/>
          <w:color w:val="000000"/>
          <w:sz w:val="20"/>
          <w:lang w:val="en-US" w:eastAsia="en-US" w:bidi="ar-SA"/>
        </w:rPr>
        <w:t xml:space="preserve"> seek any advice as to his proposed investment plan for the George Estate funds or "the window of time" he perceived he had to invest the funds of the estate;</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did</w:t>
      </w:r>
      <w:r>
        <w:rPr>
          <w:rFonts w:ascii="arial" w:eastAsia="arial" w:hAnsi="arial" w:cs="arial"/>
          <w:color w:val="000000"/>
          <w:sz w:val="20"/>
          <w:lang w:val="en-US" w:eastAsia="en-US" w:bidi="ar-SA"/>
        </w:rPr>
        <w:t xml:space="preserve"> know that serious questions had been raised in the past about his manner of practicing law, given the rather extensive involvement of the Law Society in his practice;</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did</w:t>
      </w:r>
      <w:r>
        <w:rPr>
          <w:rFonts w:ascii="arial" w:eastAsia="arial" w:hAnsi="arial" w:cs="arial"/>
          <w:color w:val="000000"/>
          <w:sz w:val="20"/>
          <w:lang w:val="en-US" w:eastAsia="en-US" w:bidi="ar-SA"/>
        </w:rPr>
        <w:t xml:space="preserve"> withdraw from the practice of law the day before a competency review was to take place at a time when the George Estate funds were already seriously depleted;</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did</w:t>
      </w:r>
      <w:r>
        <w:rPr>
          <w:rFonts w:ascii="arial" w:eastAsia="arial" w:hAnsi="arial" w:cs="arial"/>
          <w:color w:val="000000"/>
          <w:sz w:val="20"/>
          <w:lang w:val="en-US" w:eastAsia="en-US" w:bidi="ar-SA"/>
        </w:rPr>
        <w:t xml:space="preserve"> use the George Estate funds to purchase the District Lot through 433 Winchester, a private company of which he was the sole officer, director, and shareholder, and over time expend all remaining funds of the George Estate on the District Lot venture;</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did</w:t>
      </w:r>
      <w:r>
        <w:rPr>
          <w:rFonts w:ascii="arial" w:eastAsia="arial" w:hAnsi="arial" w:cs="arial"/>
          <w:color w:val="000000"/>
          <w:sz w:val="20"/>
          <w:lang w:val="en-US" w:eastAsia="en-US" w:bidi="ar-SA"/>
        </w:rPr>
        <w:t>, on the District Lot and in the payment of George Estate funds from the Winchester Account, engage in what can only be described as clearly imprudent activities inconsistent with his role as trustee, given his pursuit of the high risk activities of property development, a small logging venture involving significant capital expenditure on equipment, and wild rice cultivation;</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did</w:t>
      </w:r>
      <w:r>
        <w:rPr>
          <w:rFonts w:ascii="arial" w:eastAsia="arial" w:hAnsi="arial" w:cs="arial"/>
          <w:color w:val="000000"/>
          <w:sz w:val="20"/>
          <w:lang w:val="en-US" w:eastAsia="en-US" w:bidi="ar-SA"/>
        </w:rPr>
        <w:t xml:space="preserve"> open up a bank account for 433 Winchester, the Winchester Account, at a branch of a third bank, not a bank in which he had either his Trust Account or the Estate Account into which George Estate funds were deposited, from which he expended funds;</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did</w:t>
      </w:r>
      <w:r>
        <w:rPr>
          <w:rFonts w:ascii="arial" w:eastAsia="arial" w:hAnsi="arial" w:cs="arial"/>
          <w:color w:val="000000"/>
          <w:sz w:val="20"/>
          <w:lang w:val="en-US" w:eastAsia="en-US" w:bidi="ar-SA"/>
        </w:rPr>
        <w:t xml:space="preserve"> have sole signing authority on matters pertaining to the George Estate, by virtue of being its executor and trustee, and on the Trust Account, the Estate Account, and the Winchester Account;</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did</w:t>
      </w:r>
      <w:r>
        <w:rPr>
          <w:rFonts w:ascii="arial" w:eastAsia="arial" w:hAnsi="arial" w:cs="arial"/>
          <w:color w:val="000000"/>
          <w:sz w:val="20"/>
          <w:lang w:val="en-US" w:eastAsia="en-US" w:bidi="ar-SA"/>
        </w:rPr>
        <w:t xml:space="preserve"> bill approximately $185,000 in fees (with some disbursements) or for services rendered, and paid himself either from the George Estate Account or from the Winchester Account, thus obtaining for himself a substantial personal benefit;</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did not</w:t>
      </w:r>
      <w:r>
        <w:rPr>
          <w:rFonts w:ascii="arial" w:eastAsia="arial" w:hAnsi="arial" w:cs="arial"/>
          <w:color w:val="000000"/>
          <w:sz w:val="20"/>
          <w:lang w:val="en-US" w:eastAsia="en-US" w:bidi="ar-SA"/>
        </w:rPr>
        <w:t xml:space="preserve"> notify the beneficiaries of the George Estate accurately of the fees he had paid himself, by referring to fees in the Interim Accounting sent to Mr. Goody on November 15, 1991, in the amount of $18,600, which represented at the time a significant understatement of amounts charged and paid;</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did</w:t>
      </w:r>
      <w:r>
        <w:rPr>
          <w:rFonts w:ascii="arial" w:eastAsia="arial" w:hAnsi="arial" w:cs="arial"/>
          <w:color w:val="000000"/>
          <w:sz w:val="20"/>
          <w:lang w:val="en-US" w:eastAsia="en-US" w:bidi="ar-SA"/>
        </w:rPr>
        <w:t xml:space="preserve">, it appears, attempt to file a mortgage document with the Land Title Office in Nelson at the time of transfer of the District Lot, conduct that would have disclosed a portion of the George Estate's investment in 433 Winchester, but when that filing was rejected </w:t>
      </w:r>
      <w:r>
        <w:rPr>
          <w:rFonts w:ascii="arial" w:eastAsia="arial" w:hAnsi="arial" w:cs="arial"/>
          <w:color w:val="000000"/>
          <w:sz w:val="20"/>
          <w:u w:val="single"/>
          <w:lang w:val="en-US" w:eastAsia="en-US" w:bidi="ar-SA"/>
        </w:rPr>
        <w:t>did not</w:t>
      </w:r>
      <w:r>
        <w:rPr>
          <w:rFonts w:ascii="arial" w:eastAsia="arial" w:hAnsi="arial" w:cs="arial"/>
          <w:color w:val="000000"/>
          <w:sz w:val="20"/>
          <w:lang w:val="en-US" w:eastAsia="en-US" w:bidi="ar-SA"/>
        </w:rPr>
        <w:t xml:space="preserve"> file anything further;</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did</w:t>
      </w:r>
      <w:r>
        <w:rPr>
          <w:rFonts w:ascii="arial" w:eastAsia="arial" w:hAnsi="arial" w:cs="arial"/>
          <w:color w:val="000000"/>
          <w:sz w:val="20"/>
          <w:lang w:val="en-US" w:eastAsia="en-US" w:bidi="ar-SA"/>
        </w:rPr>
        <w:t xml:space="preserve"> transfer his shares in 433 Winchester to himself as executor of the George Estate on April 11, 1990, long after significant investments of George Estate funds had been paid to 433 Winchester, but </w:t>
      </w:r>
      <w:r>
        <w:rPr>
          <w:rFonts w:ascii="arial" w:eastAsia="arial" w:hAnsi="arial" w:cs="arial"/>
          <w:color w:val="000000"/>
          <w:sz w:val="20"/>
          <w:u w:val="single"/>
          <w:lang w:val="en-US" w:eastAsia="en-US" w:bidi="ar-SA"/>
        </w:rPr>
        <w:t>did not</w:t>
      </w:r>
      <w:r>
        <w:rPr>
          <w:rFonts w:ascii="arial" w:eastAsia="arial" w:hAnsi="arial" w:cs="arial"/>
          <w:color w:val="000000"/>
          <w:sz w:val="20"/>
          <w:lang w:val="en-US" w:eastAsia="en-US" w:bidi="ar-SA"/>
        </w:rPr>
        <w:t xml:space="preserve"> advise beneficiaries or their counsel of this share certificate, or indeed the existence of the District Lot as a George Estate investment;</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did not</w:t>
      </w:r>
      <w:r>
        <w:rPr>
          <w:rFonts w:ascii="arial" w:eastAsia="arial" w:hAnsi="arial" w:cs="arial"/>
          <w:color w:val="000000"/>
          <w:sz w:val="20"/>
          <w:lang w:val="en-US" w:eastAsia="en-US" w:bidi="ar-SA"/>
        </w:rPr>
        <w:t xml:space="preserve"> ever file annual reports for 433 Winchester or Silvertip;</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did not</w:t>
      </w:r>
      <w:r>
        <w:rPr>
          <w:rFonts w:ascii="arial" w:eastAsia="arial" w:hAnsi="arial" w:cs="arial"/>
          <w:color w:val="000000"/>
          <w:sz w:val="20"/>
          <w:lang w:val="en-US" w:eastAsia="en-US" w:bidi="ar-SA"/>
        </w:rPr>
        <w:t xml:space="preserve"> ever file tax returns for 433 Winchester from its incorporation in 1988 onwards;</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did not</w:t>
      </w:r>
      <w:r>
        <w:rPr>
          <w:rFonts w:ascii="arial" w:eastAsia="arial" w:hAnsi="arial" w:cs="arial"/>
          <w:color w:val="000000"/>
          <w:sz w:val="20"/>
          <w:lang w:val="en-US" w:eastAsia="en-US" w:bidi="ar-SA"/>
        </w:rPr>
        <w:t xml:space="preserve"> file his own personal tax return from 1989 onwards;</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did not</w:t>
      </w:r>
      <w:r>
        <w:rPr>
          <w:rFonts w:ascii="arial" w:eastAsia="arial" w:hAnsi="arial" w:cs="arial"/>
          <w:color w:val="000000"/>
          <w:sz w:val="20"/>
          <w:lang w:val="en-US" w:eastAsia="en-US" w:bidi="ar-SA"/>
        </w:rPr>
        <w:t xml:space="preserve"> advise the beneficiaries or their counsel at any relevant time that their bequests were at risk or being depleted;</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did not</w:t>
      </w:r>
      <w:r>
        <w:rPr>
          <w:rFonts w:ascii="arial" w:eastAsia="arial" w:hAnsi="arial" w:cs="arial"/>
          <w:color w:val="000000"/>
          <w:sz w:val="20"/>
          <w:lang w:val="en-US" w:eastAsia="en-US" w:bidi="ar-SA"/>
        </w:rPr>
        <w:t xml:space="preserve"> ever pass his accounts or "tax" his bills, as he thought applied, despite his assurances to Mr. Goody on November 15, 1991 that he would do so;</w:t>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did</w:t>
      </w:r>
      <w:r>
        <w:rPr>
          <w:rFonts w:ascii="arial" w:eastAsia="arial" w:hAnsi="arial" w:cs="arial"/>
          <w:color w:val="000000"/>
          <w:sz w:val="20"/>
          <w:lang w:val="en-US" w:eastAsia="en-US" w:bidi="ar-SA"/>
        </w:rPr>
        <w:t xml:space="preserve"> indicate in response to various inquiries that he would soon be making the residual payments to the beneficiaries and </w:t>
      </w:r>
      <w:r>
        <w:rPr>
          <w:rFonts w:ascii="arial" w:eastAsia="arial" w:hAnsi="arial" w:cs="arial"/>
          <w:color w:val="000000"/>
          <w:sz w:val="20"/>
          <w:u w:val="single"/>
          <w:lang w:val="en-US" w:eastAsia="en-US" w:bidi="ar-SA"/>
        </w:rPr>
        <w:t>did not</w:t>
      </w:r>
      <w:r>
        <w:rPr>
          <w:rFonts w:ascii="arial" w:eastAsia="arial" w:hAnsi="arial" w:cs="arial"/>
          <w:color w:val="000000"/>
          <w:sz w:val="20"/>
          <w:lang w:val="en-US" w:eastAsia="en-US" w:bidi="ar-SA"/>
        </w:rPr>
        <w:t xml:space="preserve"> do so;</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did</w:t>
      </w:r>
      <w:r>
        <w:rPr>
          <w:rFonts w:ascii="arial" w:eastAsia="arial" w:hAnsi="arial" w:cs="arial"/>
          <w:color w:val="000000"/>
          <w:sz w:val="20"/>
          <w:lang w:val="en-US" w:eastAsia="en-US" w:bidi="ar-SA"/>
        </w:rPr>
        <w:t xml:space="preserve"> continue to suggest that there were funds to be paid out when in fact they were expended by early 1991, for example, in the letter to Mr. Goody dated November 15, 1991, and in Mr. Singleton's affidavit filed February 12, 1993, when he deposed that the remainder of the George Estate funds would be distributed by June 30, 1993;</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did</w:t>
      </w:r>
      <w:r>
        <w:rPr>
          <w:rFonts w:ascii="arial" w:eastAsia="arial" w:hAnsi="arial" w:cs="arial"/>
          <w:color w:val="000000"/>
          <w:sz w:val="20"/>
          <w:lang w:val="en-US" w:eastAsia="en-US" w:bidi="ar-SA"/>
        </w:rPr>
        <w:t xml:space="preserve"> use the George Estate's very modest investment in First Investors Corporation, one of the failed Principal Group of companies, as an excuse from virtually the outset of his trusteeship for not distributing the residue, and yet delayed in achieving a settlement regarding it and represented to the beneficiaries and other interested parties that it had yet to be received when it had in fact been received in November 1990 and put by Mr. Singleton into the Winchester Account;</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did not</w:t>
      </w:r>
      <w:r>
        <w:rPr>
          <w:rFonts w:ascii="arial" w:eastAsia="arial" w:hAnsi="arial" w:cs="arial"/>
          <w:color w:val="000000"/>
          <w:sz w:val="20"/>
          <w:lang w:val="en-US" w:eastAsia="en-US" w:bidi="ar-SA"/>
        </w:rPr>
        <w:t xml:space="preserve"> continue to pay the District Lot property taxes after 1993 or advise the beneficiaries or their counsel at any relevant time that the title to the District Lot was at risk of forfeiture for non-payment of property taxes, having provided his family's home address in Nocona, Texas for receipt of property tax documents;</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did not</w:t>
      </w:r>
      <w:r>
        <w:rPr>
          <w:rFonts w:ascii="arial" w:eastAsia="arial" w:hAnsi="arial" w:cs="arial"/>
          <w:color w:val="000000"/>
          <w:sz w:val="20"/>
          <w:lang w:val="en-US" w:eastAsia="en-US" w:bidi="ar-SA"/>
        </w:rPr>
        <w:t xml:space="preserve"> advise Mr. Mooney or his own legal support staff, some of whom did the 433 Winchester payroll, that investments in the District Lot and the activities of 433 Winchester were, in fact, being carried out by George Estate funds as opposed to his own personal funds;</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did not</w:t>
      </w:r>
      <w:r>
        <w:rPr>
          <w:rFonts w:ascii="arial" w:eastAsia="arial" w:hAnsi="arial" w:cs="arial"/>
          <w:color w:val="000000"/>
          <w:sz w:val="20"/>
          <w:lang w:val="en-US" w:eastAsia="en-US" w:bidi="ar-SA"/>
        </w:rPr>
        <w:t xml:space="preserve"> advise Mr. Goody of the George Estate's interest in the District Lot when Mr. Goody filed Mr. Mooney's builders' lien claim against it;</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did</w:t>
      </w:r>
      <w:r>
        <w:rPr>
          <w:rFonts w:ascii="arial" w:eastAsia="arial" w:hAnsi="arial" w:cs="arial"/>
          <w:color w:val="000000"/>
          <w:sz w:val="20"/>
          <w:lang w:val="en-US" w:eastAsia="en-US" w:bidi="ar-SA"/>
        </w:rPr>
        <w:t xml:space="preserve"> co-mingle George Estate funds with his own personal funds in terms of payments to 433 Winchester, the District Lot, and the Winchester Account;</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did not</w:t>
      </w:r>
      <w:r>
        <w:rPr>
          <w:rFonts w:ascii="arial" w:eastAsia="arial" w:hAnsi="arial" w:cs="arial"/>
          <w:color w:val="000000"/>
          <w:sz w:val="20"/>
          <w:lang w:val="en-US" w:eastAsia="en-US" w:bidi="ar-SA"/>
        </w:rPr>
        <w:t xml:space="preserve"> attend court to deal with the income tax charges despite his undertaking to do so, and even though 433 Winchester was charged;</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did not</w:t>
      </w:r>
      <w:r>
        <w:rPr>
          <w:rFonts w:ascii="arial" w:eastAsia="arial" w:hAnsi="arial" w:cs="arial"/>
          <w:color w:val="000000"/>
          <w:sz w:val="20"/>
          <w:lang w:val="en-US" w:eastAsia="en-US" w:bidi="ar-SA"/>
        </w:rPr>
        <w:t xml:space="preserve"> ensure that the records pertaining to the George Estate's investment in 433 Winchester and the District Lot were preserved, but rather left the files and papers in the basement of his former office space that were found almost six years after he left the practice of law;</w:t>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did not</w:t>
      </w:r>
      <w:r>
        <w:rPr>
          <w:rFonts w:ascii="arial" w:eastAsia="arial" w:hAnsi="arial" w:cs="arial"/>
          <w:color w:val="000000"/>
          <w:sz w:val="20"/>
          <w:lang w:val="en-US" w:eastAsia="en-US" w:bidi="ar-SA"/>
        </w:rPr>
        <w:t xml:space="preserve"> make himself or his records available for the spot-audit conducted by Ms. Hersh for the Law Society in the spring of 1993; and</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did not</w:t>
      </w:r>
      <w:r>
        <w:rPr>
          <w:rFonts w:ascii="arial" w:eastAsia="arial" w:hAnsi="arial" w:cs="arial"/>
          <w:color w:val="000000"/>
          <w:sz w:val="20"/>
          <w:lang w:val="en-US" w:eastAsia="en-US" w:bidi="ar-SA"/>
        </w:rPr>
        <w:t xml:space="preserve"> remain in Nelson after August 1993 (and taking into account his brief return over Christmas of that year) despite what he deposed in his affidavit earlier the same year about not leaving the area, and did not make his whereabouts known to the Law Society or the beneficiaries of the George Estate to assist, to the best of his abilities, to remediate the loss he caused to the beneficiaries of the George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478</w:t>
      </w:r>
      <w:r>
        <w:rPr>
          <w:rFonts w:ascii="arial" w:eastAsia="arial" w:hAnsi="arial" w:cs="arial"/>
          <w:color w:val="000000"/>
          <w:sz w:val="20"/>
          <w:lang w:val="en-US" w:eastAsia="en-US" w:bidi="ar-SA"/>
        </w:rPr>
        <w:t>  This Court is asked to accept that this highly intelligent man simply made multiple mistakes by engaging in activities he thought he was permitted to engage in, and that his plan to invest George Estate funds in 433 Winchester and the District Lot was intended to provide beneficiaries with additional significant returns that had the venture been successful he would have accounted for and turned over to them. This is said to be so, despite the fact that even Mr. Singleton admitted the purchase and development of the District Lot with George Estate funds was "just a simple idea" of his, one for which he had no prior experience and sought no advice. In fact on the evidence before me he went to considerable lengths to conceal the source of the funds going into 433 Winchester and the District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479</w:t>
      </w:r>
      <w:r>
        <w:rPr>
          <w:rFonts w:ascii="arial" w:eastAsia="arial" w:hAnsi="arial" w:cs="arial"/>
          <w:color w:val="000000"/>
          <w:sz w:val="20"/>
          <w:lang w:val="en-US" w:eastAsia="en-US" w:bidi="ar-SA"/>
        </w:rPr>
        <w:t>  When I consider the intent of Mr. Singleton in relation to his taking and dealing with the funds of the George Estate beneficiaries as he did, I find the only reasonable conclusion I may draw from his actions is that he did possess a specific intent to deprive them of their property and to deal with the funds in such a manner that they could not be restored.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480</w:t>
      </w:r>
      <w:r>
        <w:rPr>
          <w:rFonts w:ascii="arial" w:eastAsia="arial" w:hAnsi="arial" w:cs="arial"/>
          <w:color w:val="000000"/>
          <w:sz w:val="20"/>
          <w:lang w:val="en-US" w:eastAsia="en-US" w:bidi="ar-SA"/>
        </w:rPr>
        <w:t>  Other aspects of Mr. Singleton's testimony clearly raise issues as to his credibility. I find that when Mr. Singleton found himself dealing with a difficult question on cross-examination he tended to minimize the issue, tried to say whatever was done or not done was someone else's responsibility, or his answers became somewhat "elastic" and obscure. The inclusion of evidence about him not having a "green card" in an affidavit to counter a suggestion that he might leave Canada for the U.S. (which he did not need as he was a U.S. citizen) became the fault of the lawyer drafting the affidavit. It became Mr. Layfield's responsibility to have dealt with the income tax charges on behalf of 433 Winchester and Silvertip, and also to have kept their corporate filings current (neither of which happened). After Mr. Singleton discharged Mr. McCausland as his counsel in the extradition proceedings he alleged that Mr. McCausland acted improperly. However, when Mr. McCausland testified in this trial, called by Mr. Singleton, he denied acting improperly and said if such allegations could be made out they could result in a new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481</w:t>
      </w:r>
      <w:r>
        <w:rPr>
          <w:rFonts w:ascii="arial" w:eastAsia="arial" w:hAnsi="arial" w:cs="arial"/>
          <w:color w:val="000000"/>
          <w:sz w:val="20"/>
          <w:lang w:val="en-US" w:eastAsia="en-US" w:bidi="ar-SA"/>
        </w:rPr>
        <w:t xml:space="preserve">  The odd time Mr. Singleton was caught in an outright lie. For example, he claimed to rely on the </w:t>
      </w:r>
      <w:r>
        <w:rPr>
          <w:rFonts w:ascii="arial" w:eastAsia="arial" w:hAnsi="arial" w:cs="arial"/>
          <w:i/>
          <w:color w:val="000000"/>
          <w:sz w:val="20"/>
          <w:lang w:val="en-US" w:eastAsia="en-US" w:bidi="ar-SA"/>
        </w:rPr>
        <w:t>Design for Mountain Communities</w:t>
      </w:r>
      <w:r>
        <w:rPr>
          <w:rFonts w:ascii="arial" w:eastAsia="arial" w:hAnsi="arial" w:cs="arial"/>
          <w:color w:val="000000"/>
          <w:sz w:val="20"/>
          <w:lang w:val="en-US" w:eastAsia="en-US" w:bidi="ar-SA"/>
        </w:rPr>
        <w:t xml:space="preserve"> book in planning development at the District Lot by 1989 (even though most of the development started in 1988), when, in fact, the book was not published until 1990. He changed a particularly damaging answer with some reflection to one less damaging (not reviewing financial records related to 433 Winchester and the District Lot became not remembering if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482</w:t>
      </w:r>
      <w:r>
        <w:rPr>
          <w:rFonts w:ascii="arial" w:eastAsia="arial" w:hAnsi="arial" w:cs="arial"/>
          <w:color w:val="000000"/>
          <w:sz w:val="20"/>
          <w:lang w:val="en-US" w:eastAsia="en-US" w:bidi="ar-SA"/>
        </w:rPr>
        <w:t xml:space="preserve">  I do not accept Mr. Singleton's evidence regarding: his expressed intentions for the District Lot; the time frame he believed he had in which to invest George Estate funds and why he believed he could do what he did; that he believed his proposed investment came within investments permitted by the </w:t>
      </w:r>
      <w:r>
        <w:rPr>
          <w:rFonts w:ascii="arial" w:eastAsia="arial" w:hAnsi="arial" w:cs="arial"/>
          <w:i/>
          <w:color w:val="000000"/>
          <w:sz w:val="20"/>
          <w:lang w:val="en-US" w:eastAsia="en-US" w:bidi="ar-SA"/>
        </w:rPr>
        <w:t>Trustee Act</w:t>
      </w:r>
      <w:r>
        <w:rPr>
          <w:rFonts w:ascii="arial" w:eastAsia="arial" w:hAnsi="arial" w:cs="arial"/>
          <w:color w:val="000000"/>
          <w:sz w:val="20"/>
          <w:lang w:val="en-US" w:eastAsia="en-US" w:bidi="ar-SA"/>
        </w:rPr>
        <w:t>; why he did not share his investment plan for the District Lot with those who were likely to be the most interested - the remaining George beneficiaries; whether he really did intent to share the proceeds with the beneficiaries had the District Lot been successful; and how it was that he could say repeatedly and over several years that he was going to make the required further distributions to the beneficiaries as he represented to interested persons, when in fact, he knew the development of the District Lot had used up all available funds and none remained to distribute.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483</w:t>
      </w:r>
      <w:r>
        <w:rPr>
          <w:rFonts w:ascii="arial" w:eastAsia="arial" w:hAnsi="arial" w:cs="arial"/>
          <w:color w:val="000000"/>
          <w:sz w:val="20"/>
          <w:lang w:val="en-US" w:eastAsia="en-US" w:bidi="ar-SA"/>
        </w:rPr>
        <w:t xml:space="preserve">  As the issue of credibility arises in the context of Mr. Singleton's evidence, it is appropriate to refer briefly to </w:t>
      </w:r>
      <w:r>
        <w:rPr>
          <w:rFonts w:ascii="arial" w:eastAsia="arial" w:hAnsi="arial" w:cs="arial"/>
          <w:i/>
          <w:color w:val="000000"/>
          <w:sz w:val="20"/>
          <w:lang w:val="en-US" w:eastAsia="en-US" w:bidi="ar-SA"/>
        </w:rPr>
        <w:t>R. v. W. (D.)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[1991] 1 S.C.R. 742</w:t>
      </w:r>
      <w:r>
        <w:rPr>
          <w:rFonts w:ascii="arial" w:eastAsia="arial" w:hAnsi="arial" w:cs="arial"/>
          <w:color w:val="000000"/>
          <w:sz w:val="20"/>
          <w:lang w:val="en-US" w:eastAsia="en-US" w:bidi="ar-SA"/>
        </w:rPr>
        <w:t>, in which Cory J., for the majority at 757-78, stated the oft-quoted instructions on issues of credibility in relation to the evidence of an accused: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if you believe the evidence of the accused, obviously you must acquit. Second, if you do not believe the testimony of the accused but you are left in reasonable doubt by it, you must acquit. Third, even if you are not left in doubt by the evidence of the accused, you must ask yourself whether, on the basis of the evidence which you do accept, you are convinced beyond a reasonable doubt by that evidence of the guilt of the accused.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484</w:t>
      </w:r>
      <w:r>
        <w:rPr>
          <w:rFonts w:ascii="arial" w:eastAsia="arial" w:hAnsi="arial" w:cs="arial"/>
          <w:color w:val="000000"/>
          <w:sz w:val="20"/>
          <w:lang w:val="en-US" w:eastAsia="en-US" w:bidi="ar-SA"/>
        </w:rPr>
        <w:t xml:space="preserve">  The Supreme Court of Canada has commented on </w:t>
      </w:r>
      <w:r>
        <w:rPr>
          <w:rFonts w:ascii="arial" w:eastAsia="arial" w:hAnsi="arial" w:cs="arial"/>
          <w:i/>
          <w:color w:val="000000"/>
          <w:sz w:val="20"/>
          <w:lang w:val="en-US" w:eastAsia="en-US" w:bidi="ar-SA"/>
        </w:rPr>
        <w:t>W.(D.)</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S. (J.H.)</w:t>
      </w:r>
      <w:r>
        <w:rPr>
          <w:rFonts w:ascii="arial" w:eastAsia="arial" w:hAnsi="arial" w:cs="arial"/>
          <w:color w:val="000000"/>
          <w:sz w:val="20"/>
          <w:lang w:val="en-US" w:eastAsia="en-US" w:bidi="ar-SA"/>
        </w:rPr>
        <w:t xml:space="preserve">, </w:t>
      </w:r>
      <w:hyperlink r:id="rId721" w:history="1">
        <w:r>
          <w:rPr>
            <w:rFonts w:ascii="arial" w:eastAsia="arial" w:hAnsi="arial" w:cs="arial"/>
            <w:i/>
            <w:color w:val="0077CC"/>
            <w:sz w:val="20"/>
            <w:u w:val="single"/>
            <w:shd w:val="clear" w:color="auto" w:fill="FFFFFF"/>
            <w:lang w:val="en-US" w:eastAsia="en-US" w:bidi="ar-SA"/>
          </w:rPr>
          <w:t>2008 SCC 30</w:t>
        </w:r>
      </w:hyperlink>
      <w:r>
        <w:rPr>
          <w:rFonts w:ascii="arial" w:eastAsia="arial" w:hAnsi="arial" w:cs="arial"/>
          <w:color w:val="000000"/>
          <w:sz w:val="20"/>
          <w:lang w:val="en-US" w:eastAsia="en-US" w:bidi="ar-SA"/>
        </w:rPr>
        <w:t xml:space="preserve">, in which Binnie J. provided an analysis of the </w:t>
      </w:r>
      <w:r>
        <w:rPr>
          <w:rFonts w:ascii="arial" w:eastAsia="arial" w:hAnsi="arial" w:cs="arial"/>
          <w:i/>
          <w:color w:val="000000"/>
          <w:sz w:val="20"/>
          <w:lang w:val="en-US" w:eastAsia="en-US" w:bidi="ar-SA"/>
        </w:rPr>
        <w:t>W.(D.)</w:t>
      </w:r>
      <w:r>
        <w:rPr>
          <w:rFonts w:ascii="arial" w:eastAsia="arial" w:hAnsi="arial" w:cs="arial"/>
          <w:color w:val="000000"/>
          <w:sz w:val="20"/>
          <w:lang w:val="en-US" w:eastAsia="en-US" w:bidi="ar-SA"/>
        </w:rPr>
        <w:t xml:space="preserve"> formula and the fundamental principles to be considered in relation to issues of credibility in cases where an accused gives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The precise formulation of the W. (D.) questions has been criticized. </w:t>
      </w:r>
      <w:r>
        <w:rPr>
          <w:rFonts w:ascii="arial" w:eastAsia="arial" w:hAnsi="arial" w:cs="arial"/>
          <w:color w:val="000000"/>
          <w:sz w:val="20"/>
          <w:u w:val="single"/>
          <w:lang w:val="en-US" w:eastAsia="en-US" w:bidi="ar-SA"/>
        </w:rPr>
        <w:t xml:space="preserve">As to the first question, the jury may believe inculpatory elements of the statements of an accused but reject the exculpatory explanation. In R. v. Latimer, </w:t>
      </w:r>
      <w:hyperlink r:id="rId722" w:history="1">
        <w:r>
          <w:rPr>
            <w:rFonts w:ascii="arial" w:eastAsia="arial" w:hAnsi="arial" w:cs="arial"/>
            <w:i/>
            <w:color w:val="0077CC"/>
            <w:sz w:val="20"/>
            <w:u w:val="single"/>
            <w:shd w:val="clear" w:color="auto" w:fill="FFFFFF"/>
            <w:lang w:val="en-US" w:eastAsia="en-US" w:bidi="ar-SA"/>
          </w:rPr>
          <w:t>[2001] 1 S.C.R. 3</w:t>
        </w:r>
      </w:hyperlink>
      <w:r>
        <w:rPr>
          <w:rFonts w:ascii="arial" w:eastAsia="arial" w:hAnsi="arial" w:cs="arial"/>
          <w:color w:val="000000"/>
          <w:sz w:val="20"/>
          <w:u w:val="single"/>
          <w:lang w:val="en-US" w:eastAsia="en-US" w:bidi="ar-SA"/>
        </w:rPr>
        <w:t xml:space="preserve">, </w:t>
      </w:r>
      <w:hyperlink r:id="rId722" w:history="1">
        <w:r>
          <w:rPr>
            <w:rFonts w:ascii="arial" w:eastAsia="arial" w:hAnsi="arial" w:cs="arial"/>
            <w:i/>
            <w:color w:val="0077CC"/>
            <w:sz w:val="20"/>
            <w:u w:val="single"/>
            <w:shd w:val="clear" w:color="auto" w:fill="FFFFFF"/>
            <w:lang w:val="en-US" w:eastAsia="en-US" w:bidi="ar-SA"/>
          </w:rPr>
          <w:t>2001 SCC 1</w:t>
        </w:r>
      </w:hyperlink>
      <w:r>
        <w:rPr>
          <w:rFonts w:ascii="arial" w:eastAsia="arial" w:hAnsi="arial" w:cs="arial"/>
          <w:color w:val="000000"/>
          <w:sz w:val="20"/>
          <w:u w:val="single"/>
          <w:lang w:val="en-US" w:eastAsia="en-US" w:bidi="ar-SA"/>
        </w:rPr>
        <w:t xml:space="preserve"> (S.C.C.), the accused did not testify, but his description of the killing of his daughter was put into evidence by way of statements to the police. His description of the event itself was obviously believed. The exculpatory explanation did not amount to a defence at law. He was convicted. The principle that a jury may believe some, none, or all of the testimony of any witness, including that of an accused, suggests to some critics that the first W. (D.) question is something of an oversimplification.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In short the W. (D.) questions should not have attributed to them a level of sanctity or immutable perfection that their author never claimed for them. W. (D.) 's message that it must be made crystal clear to the jury that the burden never shifts from the Crown to prove every element of the offence beyond a reasonable doubt is of fundamental importance but its application should not result in a triumph of form over substance. In R. v. S. (W.D.), </w:t>
      </w:r>
      <w:hyperlink r:id="rId723" w:history="1">
        <w:r>
          <w:rPr>
            <w:rFonts w:ascii="arial" w:eastAsia="arial" w:hAnsi="arial" w:cs="arial"/>
            <w:i/>
            <w:color w:val="0077CC"/>
            <w:sz w:val="20"/>
            <w:u w:val="single"/>
            <w:shd w:val="clear" w:color="auto" w:fill="FFFFFF"/>
            <w:lang w:val="en-US" w:eastAsia="en-US" w:bidi="ar-SA"/>
          </w:rPr>
          <w:t>[1994] 3 S.C.R. 521</w:t>
        </w:r>
      </w:hyperlink>
      <w:r>
        <w:rPr>
          <w:rFonts w:ascii="arial" w:eastAsia="arial" w:hAnsi="arial" w:cs="arial"/>
          <w:color w:val="000000"/>
          <w:sz w:val="20"/>
          <w:lang w:val="en-US" w:eastAsia="en-US" w:bidi="ar-SA"/>
        </w:rPr>
        <w:t xml:space="preserve"> (S.C.C.), Cory J. reiterated that the W. (D.) instructions need not be given "word for word as some magic incantation" (p. 533). In R. v. Avetysan, </w:t>
      </w:r>
      <w:hyperlink r:id="rId724" w:history="1">
        <w:r>
          <w:rPr>
            <w:rFonts w:ascii="arial" w:eastAsia="arial" w:hAnsi="arial" w:cs="arial"/>
            <w:i/>
            <w:color w:val="0077CC"/>
            <w:sz w:val="20"/>
            <w:u w:val="single"/>
            <w:shd w:val="clear" w:color="auto" w:fill="FFFFFF"/>
            <w:lang w:val="en-US" w:eastAsia="en-US" w:bidi="ar-SA"/>
          </w:rPr>
          <w:t>[2000] 2 S.C.R. 745</w:t>
        </w:r>
      </w:hyperlink>
      <w:r>
        <w:rPr>
          <w:rFonts w:ascii="arial" w:eastAsia="arial" w:hAnsi="arial" w:cs="arial"/>
          <w:color w:val="000000"/>
          <w:sz w:val="20"/>
          <w:lang w:val="en-US" w:eastAsia="en-US" w:bidi="ar-SA"/>
        </w:rPr>
        <w:t xml:space="preserve">, </w:t>
      </w:r>
      <w:hyperlink r:id="rId724" w:history="1">
        <w:r>
          <w:rPr>
            <w:rFonts w:ascii="arial" w:eastAsia="arial" w:hAnsi="arial" w:cs="arial"/>
            <w:i/>
            <w:color w:val="0077CC"/>
            <w:sz w:val="20"/>
            <w:u w:val="single"/>
            <w:shd w:val="clear" w:color="auto" w:fill="FFFFFF"/>
            <w:lang w:val="en-US" w:eastAsia="en-US" w:bidi="ar-SA"/>
          </w:rPr>
          <w:t>2000 SCC 56</w:t>
        </w:r>
      </w:hyperlink>
      <w:r>
        <w:rPr>
          <w:rFonts w:ascii="arial" w:eastAsia="arial" w:hAnsi="arial" w:cs="arial"/>
          <w:color w:val="000000"/>
          <w:sz w:val="20"/>
          <w:lang w:val="en-US" w:eastAsia="en-US" w:bidi="ar-SA"/>
        </w:rPr>
        <w:t xml:space="preserve"> (S.C.C.), Major J. for the majority pointed out that in any case where credibility is important "[t]he question is really whether, in substance, the trial judge's instructions left the jury with the impression that it had to choose between the two versions of events" (para. 19). </w:t>
      </w:r>
      <w:r>
        <w:rPr>
          <w:rFonts w:ascii="arial" w:eastAsia="arial" w:hAnsi="arial" w:cs="arial"/>
          <w:color w:val="000000"/>
          <w:sz w:val="20"/>
          <w:u w:val="single"/>
          <w:lang w:val="en-US" w:eastAsia="en-US" w:bidi="ar-SA"/>
        </w:rPr>
        <w:t>The main point is that lack of credibility on the part of the accused does not equate to proof of his or her guilt beyond a reasonable doubt.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485</w:t>
      </w:r>
      <w:r>
        <w:rPr>
          <w:rFonts w:ascii="arial" w:eastAsia="arial" w:hAnsi="arial" w:cs="arial"/>
          <w:color w:val="000000"/>
          <w:sz w:val="20"/>
          <w:lang w:val="en-US" w:eastAsia="en-US" w:bidi="ar-SA"/>
        </w:rPr>
        <w:t>  I may believe all, some, or none of Mr. Singleton's evidence. While I may accept parts of Mr. Singleton's testimony, they may not amount to a defence in law. I also may reject parts of his testimony as not credible. However, I am mindful that his lack of credibility does not equate to proof of his guilt beyond a reasonable doubt. The ultimate question is whether, based on the evidence I do accept, I am convinced beyond a reasonable doubt by that evidence of Mr. Singleton's guilt.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486</w:t>
      </w:r>
      <w:r>
        <w:rPr>
          <w:rFonts w:ascii="arial" w:eastAsia="arial" w:hAnsi="arial" w:cs="arial"/>
          <w:color w:val="000000"/>
          <w:sz w:val="20"/>
          <w:lang w:val="en-US" w:eastAsia="en-US" w:bidi="ar-SA"/>
        </w:rPr>
        <w:t>  For the reasons I have articulated I find I must reject all of Mr. Singleton's testimony to that effect that he was not engaged in a deliberate taking and conversion of George Estate funds, and that he did not engage in deceit, falsehood, or other fraudulent means when he misrepresented the state of the George Estate to beneficiaries and their representatives, and in particular to Mr. Goody in relation the answers he received to his inquiries. To my mind, the cumulative effect of Mr. Singleton's actions dispels any notion that he just made a few unfortunate mistakes along the way because he was not familiar with the nuances of estate practice. Although that is what Mr. Singleton would like to believe and tell others, the evidence discloses that the deliberate course of conduct he engaged in involved many intentional steps that could not have been taken without a conscious decision to deprive the beneficiaries of their funds. His course of conduct took place over months and years. Mr. Singleton's investments were made without any proper consideration of the applicable statute or rules. He knew, if he cared to listen, that his appreciation of certain aspects of the practice of law needed remediation. As a highly intelligent man, if he was at all concerned about his first significant foray into being a trustee of a sizable estate, and was unsure about his proposed course of action given he was using money that belonged to others, he could have sought the advice of any number of lawyers, either local or of "the Lower Mainlandish variety," who would have quickly discouraged his proposed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487</w:t>
      </w:r>
      <w:r>
        <w:rPr>
          <w:rFonts w:ascii="arial" w:eastAsia="arial" w:hAnsi="arial" w:cs="arial"/>
          <w:color w:val="000000"/>
          <w:sz w:val="20"/>
          <w:lang w:val="en-US" w:eastAsia="en-US" w:bidi="ar-SA"/>
        </w:rPr>
        <w:t>  I also note that Mr. Singleton obtained a significant personal advantage from his activities. He billed exorbitant amounts as fees and for services rendered, without having to expend any effort at accountability or transparency.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488</w:t>
      </w:r>
      <w:r>
        <w:rPr>
          <w:rFonts w:ascii="arial" w:eastAsia="arial" w:hAnsi="arial" w:cs="arial"/>
          <w:color w:val="000000"/>
          <w:sz w:val="20"/>
          <w:lang w:val="en-US" w:eastAsia="en-US" w:bidi="ar-SA"/>
        </w:rPr>
        <w:t>  In the course of carrying out these activities, I find beyond a reasonable doubt that Mr. Singleton engaged in deceit, falsehoods, and other fraudulent means to conceal what he was doing from others, including the beneficiaries of the George Estate, by not providing full and frank disclosure when asked, through the use of multiple bank accounts, the non-disclosure of the George Estate account as a trust account in the Law Society's annual filing, the nature of many of the transactions (counter cheques from Estate Account payable to the Bank of Montreal where the Winchester Account was), the non-filing of personal and corporate income tax returns for 433 Winchester, the use of 433 Winchester - a private company that was solely his - to hold the only substantial asset he purchased with the George Estate funds, and the non-disclosure of instruments like the draft mortgages and the share transfer which would have exposed a connection between the George Estate and 433 Winchester and the District Lot to interested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489</w:t>
      </w:r>
      <w:r>
        <w:rPr>
          <w:rFonts w:ascii="arial" w:eastAsia="arial" w:hAnsi="arial" w:cs="arial"/>
          <w:color w:val="000000"/>
          <w:sz w:val="20"/>
          <w:lang w:val="en-US" w:eastAsia="en-US" w:bidi="ar-SA"/>
        </w:rPr>
        <w:t>  Even after it was clear that the plan to develop the District Lot was a financial disaster, Mr. Singleton directed the remaining available funds into the Winchester Account and continued to withdraw sizeable amounts payable to him personally, when the money was all but completely gone. He was able to stave off a passing of accounts and continued to promise a distribution as late as June 30, 1993, which was more than five years after the date of Mr. George's death, when the Estate Account, the Trust Account, and the Winchester Account, as of November 7, 1991, showed a collective balance of under $45. Until the end, Mr. Singleton misrepresented that the reason for the delay in distribution was, among other things, the investment in Principal Group; however, when those funds were available in November 1990 ($10,500) he directed them to 433 Winchester, after being dilatory in claiming them on behalf of the George Estate to the point that he missed the deadline to apply for settlement funds and had to seek an extension. He continued to use their non-receipt as an excuse not to distribute, which was a deliberate falsehood as expressed in his letter of April 30, 1991 to Mr. Miller at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490</w:t>
      </w:r>
      <w:r>
        <w:rPr>
          <w:rFonts w:ascii="arial" w:eastAsia="arial" w:hAnsi="arial" w:cs="arial"/>
          <w:color w:val="000000"/>
          <w:sz w:val="20"/>
          <w:lang w:val="en-US" w:eastAsia="en-US" w:bidi="ar-SA"/>
        </w:rPr>
        <w:t xml:space="preserve">  I also find that colour of right does not arise in this case. The secrecy and deception that accompanied Mr. Singleton's activities cannot, in my view, found "an honest belief in a state of facts or civil law which, if it existed, would negate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for the offence." This is particularly so when his actions were contrary to his common law and statutory duties as a trustee, he was without a business plan, and engaged in no reasonable scrutiny of the relevant financial accounts. He failed to follow Mr. Dietrich's advice, which directed him towards preserving the funds and distributing them promptly. Even when it was clear that the 433 Winchester and District Lot were a financial disaster he continued to put any remaining available George Estate funds into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491</w:t>
      </w:r>
      <w:r>
        <w:rPr>
          <w:rFonts w:ascii="arial" w:eastAsia="arial" w:hAnsi="arial" w:cs="arial"/>
          <w:color w:val="000000"/>
          <w:sz w:val="20"/>
          <w:lang w:val="en-US" w:eastAsia="en-US" w:bidi="ar-SA"/>
        </w:rPr>
        <w:t xml:space="preserve">  Within the context of </w:t>
      </w:r>
      <w:r>
        <w:rPr>
          <w:rFonts w:ascii="arial" w:eastAsia="arial" w:hAnsi="arial" w:cs="arial"/>
          <w:i/>
          <w:color w:val="000000"/>
          <w:sz w:val="20"/>
          <w:lang w:val="en-US" w:eastAsia="en-US" w:bidi="ar-SA"/>
        </w:rPr>
        <w:t>W.(D.)</w:t>
      </w:r>
      <w:r>
        <w:rPr>
          <w:rFonts w:ascii="arial" w:eastAsia="arial" w:hAnsi="arial" w:cs="arial"/>
          <w:color w:val="000000"/>
          <w:sz w:val="20"/>
          <w:lang w:val="en-US" w:eastAsia="en-US" w:bidi="ar-SA"/>
        </w:rPr>
        <w:t>, rejecting as I have Mr. Singleton's evidence regarding his intent to commit the offences charged, I find that I am satisfied of his guilt beyond a reasonable doubt based on the evidence I do accept as contained in the Crown's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492</w:t>
      </w:r>
      <w:r>
        <w:rPr>
          <w:rFonts w:ascii="arial" w:eastAsia="arial" w:hAnsi="arial" w:cs="arial"/>
          <w:color w:val="000000"/>
          <w:sz w:val="20"/>
          <w:lang w:val="en-US" w:eastAsia="en-US" w:bidi="ar-SA"/>
        </w:rPr>
        <w:t>  Therefore, regarding Count 1 and a charge of theft contrary to s. 322(1), I have no hesitation in finding that Mr. Singleton engaged in a deliberate and dishonest taking of the funds belonging to the George Estate beneficiaries. On the evidence, he took and converted the property of the beneficiaries of the George Estate while possessing the specific intent to deprive them of funds left to them in the Will, and he also dealt with the funds of the George Estate in such a manner that they could not be restored to the beneficiaries. It has been proven beyond a reasonable doubt.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493</w:t>
      </w:r>
      <w:r>
        <w:rPr>
          <w:rFonts w:ascii="arial" w:eastAsia="arial" w:hAnsi="arial" w:cs="arial"/>
          <w:color w:val="000000"/>
          <w:sz w:val="20"/>
          <w:lang w:val="en-US" w:eastAsia="en-US" w:bidi="ar-SA"/>
        </w:rPr>
        <w:t>  In relation to Count 2 and a charge of fraud contrary to s. 380(1), I find that the Crown has proven beyond a reasonable doubt that Mr. Singleton engaged in multiple acts of deceit and falsehood when he represented to others that there continued to be funds available to pay the remaining beneficiaries of the George Estate when there were, in fact, no such funds available after January 1991 at the latest. I also find it to be proven beyond a reasonable doubt that he knew from the outset that the funds had been expended in a risky, likely-unauthorized investment that placed the beneficiaries pecuniary interests at risk, and without the intervention of the Law Society's Special Compensation fund, would have resulted in a permanent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494</w:t>
      </w:r>
      <w:r>
        <w:rPr>
          <w:rFonts w:ascii="arial" w:eastAsia="arial" w:hAnsi="arial" w:cs="arial"/>
          <w:color w:val="000000"/>
          <w:sz w:val="20"/>
          <w:lang w:val="en-US" w:eastAsia="en-US" w:bidi="ar-SA"/>
        </w:rPr>
        <w:t>  In convicting Mr. Singleton of theft and fraud as charged, it is my view that Mr. Singleton, as a highly intelligent man educated in both law and letters, and one with a heightened appreciation of the tensions between equity and the common law, simply gave into the venal urge to engage in activities of interest to him with money within his sole control but belonging to others. The development of a mountain living community excited him. No idea was too exotic to be tried. Money flowed from the George Estate funds without restraint. Others were enlisted to help and were paid for their efforts. Mr. Singleton billed exorbitantly for his purported efforts. However, although the idea of development of the District Lot initially appealed to his formidable intellectual curiosity, Mr. Singleton's interest waned as practical problems inevitably arose. The ignorance of his plan, evident in the way in which he chose to direct the funds of the George Estate, does not negate an intention that falls squarely within the ambit of theft and fraud as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495</w:t>
      </w:r>
      <w:r>
        <w:rPr>
          <w:rFonts w:ascii="arial" w:eastAsia="arial" w:hAnsi="arial" w:cs="arial"/>
          <w:color w:val="000000"/>
          <w:sz w:val="20"/>
          <w:lang w:val="en-US" w:eastAsia="en-US" w:bidi="ar-SA"/>
        </w:rPr>
        <w:t>  Just as Mr. Singleton took to the practice of law to fulfil the ten years of experience encouraged by legal philosopher Jerome Frank, without any particular concern for the standards of practice or the complaints of clients and other lawyers, so too did he embark upon the misadventure of the District Lot. It is, in my view, entirely correct that he be convicted of the charges of theft and fraud, and I so find.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496</w:t>
      </w:r>
      <w:r>
        <w:rPr>
          <w:rFonts w:ascii="arial" w:eastAsia="arial" w:hAnsi="arial" w:cs="arial"/>
          <w:color w:val="000000"/>
          <w:sz w:val="20"/>
          <w:lang w:val="en-US" w:eastAsia="en-US" w:bidi="ar-SA"/>
        </w:rPr>
        <w:t xml:space="preserve">  I also add that in the event I had a reasonable doubt in this case as to the requisite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to prove the offence of theft contrary to s. 322, which I do not, all the elements of the offence of theft of money under direction contrary to s. 332 are also proven beyond a reasonable doubt based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497</w:t>
      </w:r>
      <w:r>
        <w:rPr>
          <w:rFonts w:ascii="arial" w:eastAsia="arial" w:hAnsi="arial" w:cs="arial"/>
          <w:color w:val="000000"/>
          <w:sz w:val="20"/>
          <w:lang w:val="en-US" w:eastAsia="en-US" w:bidi="ar-SA"/>
        </w:rPr>
        <w:t xml:space="preserve">  For these reasons I find Mr. Singleton guilty of Count 1 in relation to theft contrary to s. 322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and guilty of Count 2 in relation to fraud contrary to s. 380(1)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498</w:t>
      </w:r>
      <w:r>
        <w:rPr>
          <w:rFonts w:ascii="arial" w:eastAsia="arial" w:hAnsi="arial" w:cs="arial"/>
          <w:color w:val="000000"/>
          <w:sz w:val="20"/>
          <w:lang w:val="en-US" w:eastAsia="en-US" w:bidi="ar-SA"/>
        </w:rPr>
        <w:t xml:space="preserve">  I also decline to enter a judicial stay of proceedings based on Mr. Singleton's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applications, in relation to which I will file further reasons in "Reasons for Judgment - Part 2 -</w:t>
      </w:r>
      <w:r>
        <w:rPr>
          <w:rFonts w:ascii="arial" w:eastAsia="arial" w:hAnsi="arial" w:cs="arial"/>
          <w:i/>
          <w:color w:val="000000"/>
          <w:sz w:val="20"/>
          <w:lang w:val="en-US" w:eastAsia="en-US" w:bidi="ar-SA"/>
        </w:rPr>
        <w:t xml:space="preserve"> Charter</w:t>
      </w:r>
      <w:r>
        <w:rPr>
          <w:rFonts w:ascii="arial" w:eastAsia="arial" w:hAnsi="arial" w:cs="arial"/>
          <w:color w:val="000000"/>
          <w:sz w:val="20"/>
          <w:lang w:val="en-US" w:eastAsia="en-US" w:bidi="ar-SA"/>
        </w:rPr>
        <w:t xml:space="preserve"> Applications" shortly.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E.A. ARNOLD-BAILEY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CORRECTION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December 16,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quote at paragraph 57 has been amended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"MARVIN KENNETH SINGLETON, between the 30th day of March, 1988,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CORRECTION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December 10,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E.A. ARNOLD-BAILEY J.:-- The last sentence of paragraph 471 has been amended to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 state of facts or civil law, which if it existed..."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At paragraph 477, page 143, "Did" has been underlined.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 At paragraph 480, a space has been added between "Mr. Singleton".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 At paragraph 494, a new paragraph has been created at "Just as Mr. Singleton took to the practice of law..."</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February 3,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Judgment of Madam Justice E.A. Arnold-Bailey dated December 10, 2010 has been further corrected at para. 91 by deleting the sentence: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defence did not provide any authorities with respect to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substituting the sentence: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defence relied on the same authorities with respect to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E.A. ARNOLD-BAILEY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6" style="position:absolute;z-index:2518927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25"/>
          <w:headerReference w:type="default" r:id="rId726"/>
          <w:footerReference w:type="even" r:id="rId727"/>
          <w:footerReference w:type="default" r:id="rId728"/>
          <w:headerReference w:type="first" r:id="rId729"/>
          <w:footerReference w:type="first" r:id="rId73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31" w:history="1">
        <w:r>
          <w:rPr>
            <w:rFonts w:ascii="arial" w:eastAsia="arial" w:hAnsi="arial" w:cs="arial"/>
            <w:b/>
            <w:bCs/>
            <w:i/>
            <w:color w:val="0077CC"/>
            <w:kern w:val="32"/>
            <w:sz w:val="28"/>
            <w:szCs w:val="32"/>
            <w:u w:val="single"/>
            <w:shd w:val="clear" w:color="auto" w:fill="FFFFFF"/>
            <w:lang w:val="en-US" w:eastAsia="en-US" w:bidi="ar-SA"/>
          </w:rPr>
          <w:t>Siddall v. Bencherif, [2016] B.C.J. No. 1903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G.C. Weatherill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8-12, 15-19 and 22-23,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8,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M135550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1903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1662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Maureen Erin Siddall, Plaintiff, and Mohamed A. Bencherif, Susan E. Bencherif, Noe Gama Sanchez and Noe Gama Sanchez dba Canada International Construction,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(269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7"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9" w:name="Keywords_34"/>
      <w:bookmarkEnd w:id="229"/>
      <w:r>
        <w:rPr>
          <w:rFonts w:ascii="arial" w:eastAsia="arial" w:hAnsi="arial" w:cs="arial"/>
          <w:b/>
          <w:color w:val="000000"/>
          <w:sz w:val="20"/>
          <w:lang w:val="en-US" w:eastAsia="en-US" w:bidi="ar-SA"/>
        </w:rPr>
        <w:t>Damages — Physical and psychological injuries — Physical injuries — Body injuries — Neck — Head injuries — Headaches — Psychological injuries — Action by Siddall for damages for personal injuries sustained in two motor vehicle collisions allowed in part — Liability was admitted by the defendants — However, the defendants submitted that the collisions caused only a modest exacerbation of Siddall's pre-existing chronic pain and anxiety — Siddall's symptoms were exacerbated by both collisions but by April 2013, the predominant cause of her ongoing symptoms was unrelated to the collisions — Her claims for loss of past and future earning capacity and for future care costs were dismissed — Siddall was awarded $60,000 in non-pecuniary damages and $6500 in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Aggravation of pre-existing injury — Cost of future care — Loss of earning capacity — Retroactive loss of income — Special damages — Non-pecuniary loss — Action by Siddall for damages for personal injuries sustained in two motor vehicle collisions allowed in part — Liability was admitted by the defendants — However, the defendants submitted that the collisions caused only a modest exacerbation of Siddall's pre-existing chronic pain and anxiety — Siddall's symptoms were exacerbated by both collisions but by April 2013, the predominant cause of her ongoing symptoms was unrelated to the collisions — Her claims for loss of past and future earning capacity and for future care costs were dismissed — Siddall was awarded $60,000 in non-pecuniary damages and $6500 in special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0" w:name="Case Summary_30"/>
            <w:bookmarkEnd w:id="23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Siddall for damages for personal injuries sustained in two motor vehicle collisions. Siddall, currently 41 years old, was a visual artist who had a traumatic upbringing. She suffered from anxiety and depression most of her teenage and adult life. The two collisions occurred in November 2011 and September 2012. Liability was admitted by the respective defendants. However, the defendants took the position that the collisions caused only a modest exacerbation of Siddall's pre-existing chronic pain and anxiety, and that her injuries from the collisions lasted no more than a few months after each collision. The defendants further submitted that Siddall's damages should be limited to a small award for non-pecuniary loss and some special damages.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1" w:name="Holdings of Court_27"/>
            <w:bookmarkEnd w:id="231"/>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Chronic neck and shoulder pain and headaches were Siddall's original position before the collisions. At the time of the first collision, she was likely suffering from anxiety. Siddall's symptoms were exacerbated by both collisions but other post-collision life issues exacerbated and greatly contributed to her condition. By April 2013, the predominant cause of her ongoing symptoms was unrelated to the collisions. Siddall was delayed in working on her thesis for reasons unrelated to the collisions, and the collisions would have no effect on her ability to meet her career goals in the future. Her claims for past loss of income and loss of future earning capacity were therefore dismissed. Given the finding that Siddall's collision-related injuries had resolved, her claim for the cost of future care was also dismissed. Siddall was awarded $66,500 in damages, which included $60,000 in non-pecuniary damages and $6500 in special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2" w:name="Counsel_34"/>
      <w:bookmarkEnd w:id="23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8" style="position:absolute;z-index:2517452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M.R. Chandler, K. McLaren.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K.M. Finnan, E. Arndt.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3" w:name="Judgment_34"/>
      <w:bookmarkEnd w:id="233"/>
      <w:r>
        <w:pict>
          <v:line id="_x0000_s1199" style="position:absolute;z-index:2517964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4" w:name="G.C. WEATHERILL J."/>
            <w:bookmarkEnd w:id="234"/>
            <w:r>
              <w:rPr>
                <w:rFonts w:ascii="arial" w:eastAsia="arial" w:hAnsi="arial" w:cs="arial"/>
                <w:b/>
                <w:color w:val="000000"/>
                <w:sz w:val="30"/>
                <w:lang w:val="en-US" w:eastAsia="en-US" w:bidi="ar-SA"/>
              </w:rPr>
              <w:t>G.C. WEATHERILL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arose as a result of two separate motor vehicle collisions involving the plaintiff (collectively the "Collisions"). They occurred approximately ten months apart. Liability for the Collisions has been admitted by the respective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task before the court is to assess the damages to which the plaintiff is entitled and to apportion those damages among the defendants. The damages claimed by the plaintiff fall under the following heads:</w:t>
      </w:r>
      <w:r>
        <w:rPr>
          <w:rFonts w:ascii="arial" w:eastAsia="arial" w:hAnsi="arial" w:cs="arial"/>
          <w:sz w:val="20"/>
          <w:lang w:val="en-US" w:eastAsia="en-US" w:bidi="ar-SA"/>
        </w:rPr>
        <w:cr/>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loss of income and opportunity to earn income;</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loss of earning capacity;</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and</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main issue in this action is causation. The defendants' position is that the Collisions caused only a modest exacerbation of the plaintiff's pre-existing and longstanding chronic pain and anxiety that her injuries from the Collisions lasted no more than a few months after each collision and that her damages should be limited to a small award for non-pecuniary loss and some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FIRST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November 9, 2011, the then 36 year old plaintiff was travelling west on West 10th Avenue in Vancouver, B.C. near its intersection with Trutch Street. A southbound vehicle on Trutch Street owned by the defendant, Susan Bencherif and being driven by the defendant, Mohamed Bencherif entered the intersection without stopping at the stop sign, causing the collision ("First Collision'). The plaintiff described the impact as "quite hard". The photographs of the plaintiff's and the defendants' vehicles indicate that the damage to the vehicles was relatively minor.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SECOND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September 11, 2012, the then 37 year old plaintiff was travelling east on 4th Avenue in Vancouver near its intersection with Balsam Street. A westbound vehicle owned and being operated by the defendant Noe Sanchez turned left in front of the plaintiff's vehicle and caused the collision ("Second Collision"). The plaintiff described the impact as significant, although less significant than the impact of the First Collision. The photographs of the plaintiff's and the defendant's vehicles indicate that the damage to the vehicles was minor.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is currently 41 years old. She is married with two children, Raina aged 12 from a previous marriage, and Elora aged 2 from her present marriage.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is a visual artist who works in mediums such as photography and film.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grew up in a dysfunctional and abusive home. Her immediate and extended family had a history of mental health and other issues including anxiety, depression, bi-polar disorder and alcoholism. The plaintiff had a very troubled relationship with her alcoholic father who physically and emotionally abused her as a child. She engaged in self-abuse by cutting herself with a knife. She attempted suicide at the age of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As a result of her traumatic upbringing, the plaintiff has suffered from anxiety and depression most of her teenage and adult life. She has also suffered from bulimia at varying levels most of her life. She engaged in compulsive stealing. At the age of 19, the plaintiff was prescribed both anti-depression and anti-psychotic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Because she grew up in a home with people she could not rely on, the plaintiff felt vulnerable and developed a fear of abandonment. She learned to become independent. She left home at the age of 16, initially living with her paternal grandmother and then in her own apartment. She attended five different high schools.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1996, after her graduation from high school in Coquitlam and having taken some university courses in communications and film studies, the plaintiff moved to Tokyo, Japan to work at a commercial art gallery. She later worked as a production coordinator at a Tokyo advertising agency and then as a freelance photographer both in Tokyo and Osaka.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After four years in Japan, the plaintiff returned to B.C. for one year to live with her mother. On Christmas Day of that year, her father physically abused her. That incident resulted in the plaintiff being hospitalized for psychiatric care for two weeks, followed by many weeks of care on an outpatient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returned to Japan where she met and in 2004 married her first husband, Kentaro. Raina is their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had intermittent headaches as well as neck and shoulder pain after her daughter was born. She also suffered from mild post-partem depression as well as mood swings including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plaintiff's relationship with Kentaro began to deteriorate. She attempted suicide a second time. In May 2007, she and Kentaro separated and she returned to Vancouver with Raina.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September 2007 the plaintiff enrolled in a four year Bachelor of Media Arts/Film Studies program at Emily Carr University of Art and Design ("ECU") in Vancouver. She achieved very high marks. She earned her degree in the Spring of 2011. During her time at ECU she also worked as a Teaching Assistant for one of her professors, Ms. D'Onofrio.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testified that, upon her return to Canada, she experienced feelings of acute anxiety and depression as a result of several stressors including the culture shock of leaving Japan, being a single parent, being a mature student at ECU and dealing with her alcoholic father who was living with her. She sought counselling from a psychologist as well as from a psychiatrist in an effort to deal with what she described as the pressures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attended over 40 such counselling sessions during her tenure at ECU. At various times during these counselling sessions, she reported feeling overwhelmed, having anxiety regarding her classes, feeling that she had too many responsibilities and having concerns over the need to make decisions about and changes in her life. She also reported that she had headaches and chronic tension in her back and shoulders caused by stress and long hours of school work. She complained of low self-esteem. She felt fatigued and reported being unproductive 3 days out of 4, having low energy 50% of the time and having poor concentration 25% of the time. She was bulimic approximately once per month during periods of increased stress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Her psychiatrist, Dr. Auby Axler, diagnosed that the plaintiff suffered from generalized anxiety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During this time period, the plaintiff also began physiotherapy, massage therapy and acupuncture treatments, which helped alleviate her pain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testified that, other than the foregoing, she considered that she was in good health. She was active in the gym and enjoyed skiing, snowboarding, cycling, hiking, camping and travelling.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After graduation from ECU the plaintiff decided to pursue her Master of Fine Arts degree. She felt that a Master's degree would "legitimize" both herself and her work as an artist. Her ultimate goal was to become a tenured university professor. She received an entrance scholarship of $10,000 and a grant in the amount of $17,000.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began her Master's program in September 2011at the University of British Columbia ("UBC"). She planned to have completed it by October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cross-examination, the plaintiff grudgingly admitted that, at this same time, her long-term relationship with her live-in boyfriend, Greg, had become "unhealthy" and was breaking down, which was causing her additional anxiety and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As mentioned above, the First Collision occurred approximately two months later on November 9, 2011, when the plaintiff was driving to UBC. She immediately went to her family doctor with symptoms of chest pain, shock and neck and shoulder tenderness. She was prescribed pain killers and a muscle relaxant. She testified that, later that evening, she felt horrible, with intense headaches and excruciating neck and shoulder pain. She felt nauseous and dizzy. She had mild mid and lower back pain as well as intermittent pain in her right 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testified that, shortly after the First Collision, she began to have panic attacks several times per week when she was in a vehicle. She testified that the attacks occurred in varying degrees of length and intensity, sometimes for up to 20 minutes. She also began having nightmares about being injured while in a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testified that she curtailed her gym and recreational activities because of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November 19, 2011, ten days after the First Collision, the plaintiff was involved in an accident when she pulled out from a curb-side parking spot on a residential street into the path of an oncoming car. The plaintiff described the collision as a "minor contact" between the vehicles rather than an impact. She admitted having been shaken by this accident but claims to have suffered no additional physical injury although it did exacerbate her driving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December 2011, the plaintiff resumed physiotherapy, massage therapy, naturopathic and acupuncture treatments to manage her pain. She found that these treatments reduced her pain and she became hopeful that she would recover.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testified that, although she was able to do some light household tasks, she increased her household cleaning service from once per month to once per week as a result of her First Collision-related injuries. She also retained a food delivery service and hired someone to assist with yard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testified that one of the side effects of the pain killer and anti-inflammatory medication she was prescribed was the lack of concentration. She felt drowsy and unproductive. She was unable to sit for long periods due to pain. She felt overwhelmed. She became anxious about the demands of her Master's degree. She became depressed over feelings of being behind in her school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Despite this, and although late with some of her work, the plaintiff successfully completed her first semester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By January 2012, the plaintiff's relationship with Greg had deteriorated to the point where she asked him to move out of her home. Although their relationship had ended, he continued to live in the plaintiff's home until April 2, 2012. On the day that he moved out, the plaintiff sought counselling from UBC's Student Counselling Service. She reported depression and increased anxiety as a result of her boyfriend moving out. She also reported "feeling overwhelmed by the breakup" and that it had brought up "out of control feelings" of "abandonment issues", a decline in her concentration and that she was having significant problems with her ability to cope. She also reported feeling unbalanced due to the dissolution of her relationship with Greg. Notably, the plaintiff did not report any feelings of anxiety, depression or other health issues relating to the First Collision. The only mention of the First Collision in the clinical record of that consultation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was in a car accident in late 2011, and reports while she was healing came to the realization that 'the 'relationship was not healthy for either or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took only one of the two required courses during her second semester (Spring 2012). She took the second course during the summer of 2012. However, during her second semester, she worked as a Teaching Assistant for approximately 200 hours. She admitted on cross examination that she did not miss any work as a Teaching Assistant as a result of the First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April 2012, the plaintiff travelled to Los Angeles to an art show. In June 2012 she travelled to Japan. She also went camping with her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June 2012, the plaintiff again attended counselling at the UBC's Student Counselling Service. Despite her direct evidence that she was continuing to suffer panic attacks as a result of the First Collision, she reported to the counsellor that "spells of terror or panic" were "not at all like me". Rather, she reported "difficulty in relationship with ex-partner" and was anxious about the effect it was having on Raina. There was no mention of the First Collision or any physical or emotional impact from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By the beginning of September 2012, the plaintiff had completed all of the first and second semester requirements for her Master's degree. She testified that her pain symptoms had improved as a result of her physiotherapy, massage therapy, naturopathic and acupuncture treatments, but that her headaches and other pain symptoms continued intermittently. She scaled back the frequency of her treatments by approximately 50%. She testified that her panic attacks were less severe and occurred less often and that her mood had improved. She was in a new romantic relationship with Sean, who is now her husband. She testified that she considered her functional capacity to be 60% of what it had been prior to the First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September 2012, the plaintiff commenced the third semester of her Master's program. She enrolled in a full course load of approximately 60 hours per week which included 10 to 12 hours of paid Teaching Assistant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September 11, 2012, the Second Collision occurred while the plaintiff was driving home from UBC. The plaintiff testified that the Second Collision exacerbated her headaches, neck and shoulder pain as well as both her intermittent hip pain and her driving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testified that the Second Collision caused her to become emotionally discouraged and anxious about how she would be able to continue with her Master's program. She testified that her symptoms were aggravated by exertion and lengthy periods of sitting doing her school work, that she again felt overwhelmed and that her panic attacks and nightmares increased. She increased the frequency of her physiotherapy, massage therapy, naturopathic and acupuncture treatments and continued with her previously prescribed medications, all of which she said helped relieve her pain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testified that, despite her physical and emotional issues, she found a way to complete her third semester work with the help of friends and her now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As mentioned, the plaintiff worked as a Teaching Assistant. She viewed the job as giving her valuable experience as a teacher at the post-secondary level. She met her 384 hour commitment for the period September 2012 to April 2013. She agreed on cross-examination that she did not miss any work time as a result of the Collisions.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During the Spring of 2013, the plaintiff was very busy and felt that people had too many expectations of her. In addition to her Master's studies and Teaching Assistant work, she regularly exhibited her art, worked as a coordinator for a small conference workshop (approximately 125 hours) and continued to prepare artwork for her final Master's exhibition.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January 2013, she again attended counselling at UBC's Student Counselling Service. She again reported that having spells of terror or panic were "not at all like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testified that she took only one of the two required courses for her fourth semester (Spring 2013) because she continued to feel overwhelmed. However, the development of her thesis was on par with her fellow students. She was not falling behind. She remained cautiously optimistic that she would be able to complete her Master's thesis by October 2013 as planned. During that Spring semester, she was able to audit another course for which she received no credit.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April 2013, the plaintiff travelled to Las Vegas.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June 2013, the plaintiff made up the course that she had not taken during the Spring semester. That course involved travel to Venice, Italy. After Venice, she holidayed with Sean and Raina in Berlin, Paris and Southern France before returning home. She was in Europe for almost one month. She testified during her evidence in chief that, as a result of being away from her treatment professionals, she began to unravel emotionally while she was gone. On cross-examination she insisted that "no part of the trip was great" and that she cried every day. She was unable to explain the clinical notes of her psychologist who she saw the day after she returned home indicating that she had said the "trip was great, but very stressful".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testified that, upon her return from Italy, she was irritable and impatient with Raina and Sean and that her panic attacks and nightmares increased. She felt depressed and had feelings of hopelessness. She felt fatigued and was unable to concentrate. On the recommendation of her family doctor, the plaintiff began working with a Pilates fitness trainer initially once and then twice per week. She also began cognitive behavioral therapy with a psychologist who she continues to see.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Throughout the summer of 2013, and despite the apparent struggles resulting from her trip to Europe, the plaintiff was able to continue to collaborate on art exhibitions and to keep and maintain a vegetable garden.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At this time, additional stressors in the plaintiff's life manifested which diminished her ability to cope. Her stepfather was diagnosed with terminal cancer and she was concerned about her mother. She was having arguments with Kentaro over child support. She had an ectopic pregnancy and lost the baby.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testified that these stressors combined with the effect of the Collisions were such that she began to feel suicidal and again began to engage in self-harm activities, primarily by biting herself. The worst symptoms of her panic attacks have occurred since the Summer of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October 2013, the plaintiff broke her foot which resulted in her having to use crutches for several months. She testified that the crutches exacerbated the pain in her shoulders and neck and increased the frequency of her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continued to exhibit her art work and give 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testified that, as a result of everything that was happening in her life, she did not complete her thesis in October 2013. Yet she continued to work as a Teaching Assistant at UBC in the Fall of 2013, as well as at Simon Fraser University ("SFU") during the Spring of 2014. This latter position required a commitment of 252 hours and a commute of over an hour each day. She explained her choice to work as a teaching assistant rather than on her thesis as important to the development of her professional credentials.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early 2014, while working as a Teaching Assistant at SFU, the plaintiff became pregnant with her second child, Elora. She suffered from the effects of morning sickness throughout her pregnancy. She had increased fatigue. She continued with physiotherapy, naturopathic treatments, massage therapy, Pilates and acupuncture, although not as often as she had previously. Her suicidal ideations and self-harm incidents occurred less frequently.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January 2014, Kentaro became even more verbally abusive and increased his threats to reduce or eliminate his child support payments. This created "tremendous stress" for the plaintiff and she went to see her psychologist on an urgent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plaintiff's stress level during the Spring of 2014 was also increased by her feelings of being uncomfortable with her then personal injury lawyer. Moreover, the weeks and months prior to the death of her stepfather in March 2014 and its impact on her mother also increased the plaintiff's anxiety and stress. She made several trips to visit her mother who was living in Everett, Washington, near Seattle.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denied that any of these issues interfered with her ability to do work on her thesis. However, she wrote an email to her thesis advisor in March 2014 advising that she had been "sidetracked" by her stepfather's illness and death, and by her many trips to visit her mother in Everett.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May 2014, the plaintiff's mother had a mental breakdown over the death of her husband, the plaintiff's stepfather. The plaintiff travelled to Everett to provide support. In June 2014, the plaintiff travelled to Ottawa with Sean and Raina. That trip was stressful for her due to her feelings of lack of privacy staying with Sean's mother, lack of sleep due to barking dogs and because of a panic attack she experienced at a museum after an argument with Sean.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By June, 2014, the difficulties that the plaintiff was having with Kentaro were increasing. He was in arrears on his child support payments and was sending her abusive emails which were apparently prompted by him learning that the plaintiff was pregnant. The issues with Kentaro were increasing the plaintiff's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Despite these stressors in the plaintiff's life, during the Summer of 2014 she remained busy with art exhibitions, swimming, cycling and gardening.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testified that she felt better after the birth of Elora in September 2014, although she did experience an increase in her physical symptoms due to the postural requirements of breastfeeding and caring for a new born. She testified that her feelings of anxiety decreased although her neck and shoulder pain increased due to childcare exertions. Sean took four months off from work to assist with Elora. The plaintiff testified that she was able to resume her thesis work within one month of Elora's birth. However, on cross-examination she admitted, albeit reluctantly, that multiple visits from her mother after Elora's birth were challenging for her and increased her anxiety. She also admitted increased anxiety and headaches as a result of lack of sleep due to the need to breastfeed and because of her children waking in the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 and her family travelled to Hawaii for a vacation in December 2014. In late December the plaintiff began taking dance and conditioning Pilates classes.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When Sean returned to work in January 2015, the plaintiff hired fulltime child care. She testified that she felt less anxious and was managing her physical pain symptoms with the treatments she was receiving. Although she denied feeling any stress or financial pressure, the evidence put to her on cross-examination indicates that there were arrears in child support, then exceeding $15,000, together with legal bills associated with having to pursue Kentaro in Japan that were putting increased financial stress on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documents also indicate that, during this time period, the plaintiff was feeling stress with Sean and the new baby.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plaintiff continued with her thesis work and submitted the first draft in late-March 2015. She also continued with art openings and exhibitions, attended art shows and conferences and worked as a freelance video editor.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April 2015, the plaintiff attended an 8-hour session with an occupational therapist in support of her claim in this action. She testified that the session pushed her beyond her limits and set back her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 testified that her hip pain flared up in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June 2015, the plaintiff told her counsellor, Ms. Mariette West, that she was having difficulty fitting in all of the responsibilities she had in her life, including spending time with her children and doing housework. She advised that she felt she would be able to complete her thesis if she was able to have "a few solid days" of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July 2015, the plaintiff and Sean were married in the North Okanagan. She admitted on cross-examination that the wedding was an anxious time for her. The family went camping afterwards.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During the Summer of 2015, the plaintiff attended a music festival, went hiking, cycling and kayaking. She also travelled to Las Vegas as part of an art project she was working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September 2015, the plaintiff and Sean hosted a large wedding reception in Vancouver attended by over 100 guests. This was another socially anxious time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During the Fall of 2015, the plaintiff was continuing to help her mother deal with her deceased stepfather's affairs. She also assisted with her mother's preparations to move from Everett to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October 2015, the plaintiff fell while riding her bike. She hurt her left arm and hand and went to the hospital for vaginal bleeding. She could not recall whether the fall aggravated her neck and shoulder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November 2015, the plaintiff travelled to Japan in order to confront Kentaro about the arrears in his child support payments and his relationship with Raina. She stopped in Hawaii on the return trip, although on cross-examination she refused to agree with the suggestion that the purpose of the stopover was for her to relax, despite clinical records indicating that that had been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During the fall of 2015, the plaintiff and Sean were having ongoing issues with their upstairs neighbours who were being abusive and threatening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December 2015, the plaintiff and her family travelled to Disneyland for a holiday. On cross-examination she could not bring herself to agree that she had enjoyed the trip until clinical records were put to her indicating that she had.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 testified that, although progress has been slow, her mood, emotional health and physical condition have generally improved during 2016 with the help of treatments and the adaptive techniques she has learned. She considers that she is now 50-60% better. Her panic attacks, nightmares, suicidal ideations and incidents of self-harm are less frequent. She described her headaches as daily, averaging 4 to 5 on a scale of 1 to 10, her average neck and shoulder pain also as 4 to 5 on a scale of 1 to10, and her right hip pain as minor but "bothersome".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 has started a course of trigger point injections which provide immediate and significant relief of her pain symptoms which lasts for up to five days. She has also begun sessions with a physiotherapist who specializes in clinical Pilates.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During the Spring of 2016, the plaintiff continued to exhibit her art. She also travelled to San Francisco, Portland and Nevada in conjunction with her art projects.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March 2016, Raina broke her thumb which caused the plaintiff stress. At that time, the plaintiff was involved in a large scale public art project for a Vancouver Festival organization. She considered the project to be important to her reputation. Sean did most, if not all, of the significant physical labour that was involved. The plaintiff testified that, but for the Collisions, she would have been able to perform that labour on her own. The plaintiff had arranged for her father to help with the construction but he had been drinking and became angry and abusive towards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plaintiff began to have numerous panic attacks. Indeed, she had what she described as an "emotional breakdown". She attributed this breakdown to her having to be in the car more for the public art project, to an aggravation in her headaches, neck and shoulder pain because Sean was unable to assist with the children as much and to the need to ask people for help. However, the contemporaneous clinical records indicate that she told her councillor that they were the result of feeling overwhelmed by the project, to having to deal with Raina's broken thumb and to her father's abusive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plaintiff testified that she is now close to completing the final draft of her thesis and expects to be able to submit it sometime in the Fall of 2016. If she completes it in October 2016, she will receive her Master's degree in November. If she completes it in November 2016, she will not receive her degree until May,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plaintiff testified that, as a result of the Collisions, her social and travel activities, as well as her general enjoyment of life have all decreased. She testified that the recreational activities she enjoyed prior to the Collisions now seem "out of reach" for her due to her pain. She avoids social interactions because she does not want to burden others with her physical and emotional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plaintiff testified that she has had hundreds of panic attacks since the Collisions, which she says are primarily precipitated by traffic noise, cars honking and near accidents. However, on cross-examination she admitted that many other stressors cause her panic attacks, including arguments with Sean and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plaintiff testified that the biggest impact the Collisions have had on her is her loss of independence. She now feels a need to rely on others for both her work and the general day-to-day routines of life, all of which increase her levels of anxiety and frustration.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plaintiff testified that she plans to continue the treatments she is currently receiving, including clinical Pilates, naturopathic and acupuncture treatments, physiotherapy, massage therapy, trigger point injections and counselling. She also would like to undergo Botox injections that have been recommended by Dr. Robinson, a headache specialist. The plaintiff hopes that her naturopathic supplements, counselling sessions, as well as the self-care strategies she employs will allow her to get better. She has declined to use prescription medications despite them being recommended to her by the numerous medical specialists over the years, including Drs. McKechnie, Kennedy, Steinson and Rivera.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LAY WITNESSES CALLED BY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Sean Arden ("Sean")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Sean is the plaintiff's husband. He is a practising artist, film maker and art installer. He works fulltime as a research technician at ECU. He also operates a small business which rents and services projectors.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Sean and the plaintiff first met in 2008 at ECU. He was impressed with the plaintiff's competence as a student media artist.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Sean and the plaintiff became romantically involved during the Spring and Summer of 2012. Among their activities together, they went camping, hiking, cycling and paddle boarding. They began living together in September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Sean testified that, prior to December 2012, the plaintiff gave no indication that she was under stress and she neither showed nor communicated that she was in pain, although he recalls that she was having various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However, in December 2012, as Sean and the plaintiff were preparing their move into a new home, there was an incident during which the plaintiff "lost it" over a minor argument between them. This led Sean to say that he was going to leave, at which point the plaintiff began screaming and shaking. She became irrational, like a "caged animal". Sean testified that this behaviour was very strange and out of character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Sean testified that, during the Spring of 2013, he and the plaintiff were becoming a family in their new home and that their relationship was generally good. However, the plaintiff was stressed as she was busy completing her Master's program, researching her thesis, preparing to defend her thesis topic and completing her final art exhibition.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Sean testified that, when he travelled with the plaintiff to Berlin and France in June 2013, she was miserable, stressed and high-strung. She complained of being in pain. She was hard to be around and was quick to anger. He described her as a "total bitch", which again he said was out of character for her. He realized that something must be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Upon their return to Vancouver, Sean and the plaintiff attended counselling with Mariette West. The plaintiff was beginning to learn to manage her moods but continued to have "crazy outbursts" which included episodes of self-harm. Her subsequent ectopic pregnancy, broken foot, the issues with Kentaro and the death of her stepfather took a toll on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During the plaintiff's pregnancy from January to September 2014, she was very emotional and stressed. She complained of neck pain. Her self-harm episodes continued. She underwent a significant amount of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Sean described the plaintiff's panic attacks as happening suddenly, often when she is stressed and feeling overwhelmed. The example he gave occurred while the plaintiff was in the bathroom in the morning getting ready for the day. He did not mention them being related to her being in a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Sean confirmed the plaintiff's evidence regarding her becoming stressed and anxious when her father was assisting them on the construction of the art project in March 2016. Indeed he testified that, as a result of the incident with her father, the plaintiff did not want anything further to do with the project because the incident brought back previous unhappy memories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Sean testified that his relationship with the plaintiff is currently good. The plaintiff's mother has moved to Vancouver from Everett and is able to assist with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Sean testified that at several times during the past number of years the plaintiff had planned to work on her thesis and had scheduled time for it but "life got in the way", referencing her becoming distracted by the demands of her children and having to deal with her mother and Kentaro.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Sean also testified that his and the plaintiff's social life is hindered by the plaintiff becoming fixated on things when she is in pain and struggling with her worries that people will see through her façade. Sean testified that the plaintiff no longer hides her pain and lets him know when she is in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On cross-examination, Sean agreed that both he and the plaintiff have very busy lives, yet are still able to spend time cycling, swimming, visiting galleries, camping, going on walks and vacations and some skiing.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Christine D'Onofrio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Ms. D'Onofrio is a visual art program instructor at UBC. She is also a photographer and visual artist.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She first met the plaintiff while the plaintiff was a student at ECU. Ms. D'Onofrio taught one of the plaintiff's classes. She described the plaintiff as probably the best student in the class. She encouraged the plaintiff to pursue her Master's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Ms. D'Onofrio also taught one of the plaintiff's Master's program classes. The plaintiff was her Teaching Assistant throughout most of her two year Master's program. Ms. D'Onofrio described the plaintiff's Teaching Assistant abilities as very effective. She was technically savvy and a good facilitator. Ms. D'Onofrio testified that the plaintiff was able to successfully discharge all of her Teaching Assistant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Ms. D'Onofrio testified that the plaintiff was "less spectacular" after the Collisions but that she continued to do very well.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Sandra Semchuk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Ms. Semchuk is an associate professor in the visual arts program at ECU. She and the plaintiff met during the plaintiff's undergraduate program at the university. She described the plaintiff as a serious, bright, thoughtful and conscientious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Ms. Semchuk testified that the plaintiff has a good reputation in the Vancouver artist community and that once she obtains her Master's degree, the plaintiff will have a good chance of obtaining a sessional instructor position at ECU if she applies.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Kate Henderson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Ms. Henderson was a fellow Master's program student of the plaintiff's. She described the plaintiff as energetic, career oriented and active in the arts community. She now considers the plaintiff to be one of her closest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Ms. Henderson described her and the plaintiff's Master's program as demanding, and stressful with high expectations.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After the First Collision, Ms. Henderson observed that the plaintiff no longer carried her camera equipment in a bag over her shoulder. Rather, she used a roller-bag which she pulled behind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She testified that after the Second Collision the plaintiff routinely asked for help carrying her camera equipment. She continues to ask for help lifting or moving heavy objects at the studio which they share together with three or four other artists. Ms. Henderson has also observed when she is at the plaintiff's home that Sean and Raina do most of the lifting of the plaintiff's baby.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Paula McKechnie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Dr. McKechnie was the plaintiff's family physician between October 2009 and September 2013, including at the time of the Collisions. The plaintiff consulted with her on 16 occasions after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 McKechnie noted the plaintiff's pre-Collisions history of chronic neck and upper back pain and chronic headaches as well as anxiety and depression. She also noted that the plaintiff had seen many different practitioners and had received multiple treatments and therapies for these complaints. These included prescription medications, psychotherapy, physiotherapy, massage therapy, acupuncture and trigger point injections.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On January 9, 2010, Dr. McKechnie referred the plaintiff to a mood disorder clinic. In that referral she noted the plaintiff's history of psychosis secondary to a crystal methamphetamine addiction that the plaintiff had several years earlier. She also noted that the plaintiff's relationships with her alcoholic father and her then partner were causing her difficulty and that she had an "unstable 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On May 14, 2010, Dr. McKechnie diagnosed the plaintiff as having an anxiety disorder and recommended that she continue with cognitive behavioural therapy and with her school counselling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July 2010, Dr. McKechnie referred the plaintiff to a registered massage therapist ("RMT") to help her with her myofascial neck pain. In February 2011, Dr. McKechnie again referred the plaintiff to an RMT for myofascial and cervical thoracic strain.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When Dr. McKechnie examined the plaintiff shortly after the First Collision, the plaintiff had tenderness of her proximal sternum, costochondral joints (bilaterally), right proximal neck muscles, mid-trapezius muscles (bilaterally) and her upper back area. She had no other signs or symptoms of injury. Dr. McKechnie diagnosed a cervicothoracic strain and chest wall contusions. She prescribed analgesics and a muscles relaxant.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Dr. McKechnie next examined the plaintiff on November 19, 2011, shortly before the incident when the plaintiff pulled out of a parking spot and struck a passing vehicle. The plaintiff advised that her accident-related injuries had improved however she complained of ongoing chest and neck pain and of daily headaches. She had a decreased range of motion of her cervical spine in side flexion and rotation. She had tenderness of her mid-trapezius muscle (bilaterally) and her right anterior ribs and costochondral joints. Dr. McKechnie prescribed muscle relaxants.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Dr. McKechnie next saw the plaintiff on December 10, 2011. The plaintiff told her that she was gradually improving and that her chest pain was almost better. However, she had ongoing headaches and neck pain. Her concentration was poor and she was anxious. By December 23, 2011, the plaintiff had improved, was able to drive with less anxiety and was starting active exercise. Her headaches continued. She had begun acupuncture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By January 2012, the plaintiff' had good range of motion in her cervical and thoracic spine. Dr. McKechnie advised her to continue physiotherapy and active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During the plaintiff's visit with Dr. McKechnie on September 26, 2012, she advised that she had bruised her left hip and "yanked" her neck during an incident when a transit bus began moving too quickly after she had entered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July 2013, the plaintiff advised Dr. McKechnie that she continued to have abandonment issues relating to her father's alcoholism as well as feelings of depression and anxiety relating to a relationship ending badly and her relationship with Raina.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Marina Roy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Ms. Roy is an associate professor in UBC's Department of Art History, visual Art and Theory. She is the plaintiff's thesis advisor.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Ms. Roy met the plaintiff in September 2011 when the plaintiff started her Master's program. She described the plaintiff as a serious, academic, ambitious student as well as a bright and promising filmmaker and artist who was in the top 5% of the class of 12 graduate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Ms. Roy confirmed that, with the exception of her thesis, the plaintiff completed all of her Master's program course work as required although, as is often the case with graduate students, extensions of time for some of the papers were requested.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Ms. Roy testified that, had the plaintiff completed her thesis in October 2013, she would have obtained her Masters in Fine Arts degree in November 2013. Ms. Roy would have recommended the plaintiff for one of the 5 or 6 sessional teaching positions that were available and that are typically sought by graduate students.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Mariette 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Ms. West is a registered clinical counsellor who provides active therapy and supportive counselling to her patients.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plaintiff was referred to Ms. West by her general practitioner and naturopath. Her first session with the plaintiff was in July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Ms. West's first impression of the plaintiff was that she was overloaded by the many stressors in her life. The plaintiff both reported and demonstrated a high level of psychological stress. She was dealing with fears of abandonment and the history of abuse from her father. The plaintiff's goals for the counselling sessions included finding ways to deal with her fears related to pain and limitations from pain, dealing with her fears of not having a full life or getting her old life and quality of life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Ms. West testified that the plaintiff appears to have made good progress during her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Ms. West testified that the extensive notes of her many counselling sessions with the plaintiff from July 2013 to May 2016 are an accurate summary of what was discussed between them on the dates indicated.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Shauna Deneault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Ms. Deneault is the plaintiff's Pilates instructor. The plaintiff became her client in July 2013 after a referral from the plaintiff's naturopathic doctor. Since then, she has seen the plaintiff for a one-hour session approximately twice per week. Pilates is a system of exercise and physical fitness that involves the use of mats and various apparatuses ("reformers") that focus on postural alignment and core/shoulder girdle strengthening.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Ms. Deneault's billings to the plaintiff to date total approximately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PLAINTIFF'S MEDICAL EXPERTS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David Steinson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Dr. Steinson has been the plaintiff's family physician since September 2013. He saw her in his clinic on 32 occasions during the period from September 18, 2013 to April 14, 2016 for various medical issues, including but not limited to those relating to her headaches, and her neck and back pain that she attributes to the Collisions. Over the course of that period, Dr. Steinson provided the plaintiff with various referrals for massage therapy, ongoing counselling, Pilates and to the Change Pain Clinic. He also encouraged her to increase core exercises, pool exercises and aerobic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Dr. Steinson was qualified as an expert in family medicine capable of providing opinion evidence on soft-tissue injuries including the psychological component of such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Dr. Steinson's report is dated July 28, 2015 and was prepared after his first 19 consultations with the plaintiff. Although he noted the partial clinical records of the plaintiff's previous family physicians and reviewed the Functional Capacity Evaluation report of Haley Tencha, he relied primarily for his opinion on the plaintiff's various self-reports of pain as well as on his own interactions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plaintiff saw Dr. Steinson nine times between October 15, 2013 and April 7, 2014, and twice between July 2 and December 17, 2014. His clinical records for those visits do not disclose any complaints by the plaintiff of musculoskeletal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During his examination of the plaintiff on April 7, 2014, Dr. Steinson found no significant upper back or neck bony tenderness to palpation although the plaintiff did have tenderness in her upper back, shoulder and lower neck muscles (rhomboids and trapezius). She had full cervical flexion and slightly reduced extension and left rotation.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During his examination of the plaintiff on June 24, 2015, Dr. Steinson found no bony pain in her upper back and cervical spine (neck) but she had bilateral trapezius muscle pain. In terms of neck range of motion, flexion was 60 degrees and extension was 30 degrees. She had slightly reduced rotation bilaterally. She had normal range of motion of her lumbar spine will full flexion and extension.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Dr. Steinson has only ever provided the plaintiff with one prescription for her musculoskeletal symptoms which was for one cycle of muscle relaxants on December 3,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Throughout his over three years of consultations with the plaintiff, Dr. Steinson has recommended that she engage in an active rehabilitation program with the goal of decreasing the plaintiff's pain symptoms and increasing her ability to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In Dr. Steinson's opinion, the plaintiff is suffering from ongoing soft tissue pain likely myofascial in nature. His attribution of this pain to the Collisions is based entirely upon the plaintiff's report to him of her symptom history and the timing of the Collisions, as well as on a note in Ms. Tencha's Functional Capacity Evaluation report of a comment made by Dr. McKechnie that the plaintiff's "past history is significant for chronic soft tissue neck and upper back pain and headaches, depression and anxiety" but that "these problems were all in remission at [the] time of her first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Pamela Squire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Dr. Squire is physician who was qualified to give opinion evidence in the fields of family medicine and complex chronic pain diagnosis and management. As part of her complex chronic pain practice, Dr. Squire routinely deals with patients with symptoms of depression and anxiety as well as post-traumatic stress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Dr. Squire 's opinions are based upon information provided to her by the plaintiff during a 1 3/4 hour session on March 10, 2016 together with a 55 minute follow up telephone call with the plaintiff on March 21, 2016. Her opinions are also based upon her review of the plaintiff's historical clinical records as well as other expert reports that were provided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Dr. Squire relied on the plaintiff's advice that her pain symptoms, anxiety and depression were stable prior to the First Collision such that they were not interfering with her ability to function in her day-to-day activities, as well as on the plaintiff's advice that she had not experienced any significant symptoms for months prior to the First Collision but thereafter was unable to function as she had before, and on the basis that there was no evidence of other contributing factors to the plaintiff's symptomology. Dr. Squire then formed the opinion that the First Collision likely exacerbated the plaintiff's pre-existing pain and psychological conditions and that she developed anxiety with driving as well as posttraumatic stress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Dr. Squire opined that the Second Collision further exacerbated the plaintiff's pain and psychological conditions. Such exacerbation was "mild to moderate".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Dr. Squire agreed on cross-examination that the plaintiff's complex medical history together with the significant stressors in her life pre-disposed her to an exacerbation of her depression and anxiety symptoms, but that she could not opine on the extent to which the Collisions exacerbated her pre-existing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In Dr. Squire's opinion, the plaintiff has not yet received all of the available treatment for her myofascial pain and it is possible that, with further treatment, the plaintiff will improve. Dr. Squire opined that Botox treatments may improve the plaintiff's headaches. She is also of the opinion that the plaintiff should continue with trigger point injections.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Shaohua Lu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Dr. Lu is a forensic psychiatrist who was qualified to give opinion evidence regarding the psychiatric evaluation of patients having chronic pain and chronic pain-related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He assessed the plaintiff for approximately 3 hours on December 10, 2014. He based his opinion on his interview of her as well as her medical history as set out in the records that were provided to him. He was not made aware of the plaintiff's lifelong fear of abandonment.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Dr. Lu noted the plaintiff's history of chronic, excessive anxiety often accompanied by depressive symptoms, with periods of exacerbation brought on by stress followed by periods of remission, otherwise known as Generalized Anxiety Disorder. He opined that the greater an individual's psychiatric condition, the fewer stressors are needed to trigger anxiety. He opined that people like the plaintiff who have a long history of psychiatric conditions are more vulnerable to and more likely to develop chronic soft tissue injury from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Dr. Lu opined that, once a person has had an episode of depression, there is a 50% chance of a relapse within five years at times of physical or psychological difficulty, with the highest risk of relapse within the first two years. The longer the period of stability, the less likely there will be a relapse.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However, once a person has a second episode, the chance of a relapse is increased to 60 to 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Dr. Lu agreed that a person like the plaintiff who required frequent psychological counselling during her four years at ECU in order to treat anxiety would likely continue to suffer from anxiety while pursuing a post-graduate degree. The extent depends on the amount and sufficiency of ongoing counselling and support that is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Dr. Lu agreed that the plaintiff's level of anxiety likely abated during the period from May to August 2011, after she had completed her undergraduate degree and before she started her Master's degree studies. Dr. Lu assumed that the plaintiff's psychiatric condition was relatively stable prior to the First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In Dr. Lu's experience, occupants of vehicles involved in motor vehicle collisions involving substantial damage to the vehicles generally suffer soft tissue injuries. It was his understanding and he assumed for the purposes of his opinion that the Collisions involved significant physical impact between the vehicles. He therefore assumed that the Collisions caused or played a substantial role in the plaintiff's chronic pain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It was Dr. Lu's opinion that the plaintiff did not have major depressive symptoms when he assessed her in December 2014 and that it is unlikely she had had relapses during the preceding two years. Indeed, Dr. Lu was "very confident" that the plaintiff did not suffer a relapse of her psychiatric condition as a result of the Collisions.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Rather, Dr. Lu's opinion is that the Collisions increased the plaintiff's long term vulnerability for a relapse.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Navraj Heran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Dr. Heran was qualified as an expert in neurosurgery capable of providing opinion evidence on the diagnosis and treatment of soft tissue injuries including the psychological factors and components related thereto.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Dr. Heran examined the plaintiff and prepared his medical-legal report both on November 23, 2015. His report was in response to the report prepared at the request of the defendants by Dr. Rickards.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Dr. Heran found no neurological abnormalities during his examination of the plaintiff, although he did find possible scapular winging (separation of the shoulder blade from the chest wall) on the plaintiff's left side due to anatomical variation. Dr. Heran opined that all of the plaintiff's pain symptoms appear to be in areas that are remote from the left scapula. He found no evidence of tenderness anywhere along the left side of the plaintiff's scapula or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plaintiff had normal range of motion in her lower back and Dr. Heran found no objective abnormalities in that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Dr. Heran agreed that his opinions regarding the plaintiff's myofascial pain symptoms were based entirely on the plaintiff's self-report. He also noted that there is likely a significant psychological component to the plaintiff's chronic pain symptoms although he did not perform a psychological assessment of her. He agrees that stress is a factor that exacerbates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Dr. Heran agreed on cross-examination that, if the plaintiff had persistent neck and upper back pain during her undergraduate degree due to long hours of doing school work, he would expect that such pain would continue to be experienced during her Master's degree program.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Gordon Robinson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Dr. Robinson is a neurologist who specializes in the assessment and management of patients with headache disorders. He was qualified as an expert in that field without debate.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Dr. Robinson interviewed and examined the plaintiff on March 18, 2015. His report is dated April 16,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Dr. Robinson noted the plaintiff's pre-Collisions history of neck and shoulder pain, migraine and other headaches and mood disorders as well as her predisposition to such symptoms. He assumed that these symptoms had been in remission for a significant period of time prior to the First Collision except for mild to moderate headaches approximately once per week. Because of the apparent temporal relationship between the First Collision and the plaintiff's report of an onset of her symptoms, Dr. Robinson did not consider the plaintiff's pre-Collisions symptoms to be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Based upon the plaintiff's self-report to him that the onset of her symptoms occurred abruptly upon and became constant after the First Collision, Dr. Robinson opined that the plaintiff sustained soft tissue injures to her neck, shoulders and back as a result of trauma during the First Collision. These injuries aggravated the plaintiff's pre-existing disorders. Based upon a similar self-report, he opined that the plaintiff's symptoms were aggravated by the Second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Dr. Robinson agreed that there is no objective way to measure whether a person has a headache or migraine or its severity. He also agreed that the greater the number and the higher the severity of the plaintiff's pre-Collisions headaches, the greater the likelihood that she would have continued to experience them regardless of the Collisions.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Dr. Robinson agreed on cross-examination that stress, anxiety, emotional upset and/or sleep deprivation can cause or aggravate headaches and/or migraines and that management of a person's mental health can significantly improve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Dr. Robinson opined that, once the plaintiff stops breast-feeding, Botox injections could reduce her headaches as well as her persisting neck and shoulder pain. If the plaintiff proceeds with these injections, Dr. Robinson recommends that she receive them at between 31 to 39 sites in her neck, head and shoulders, based upon approved protocols for headaches and chronic migraines. The injections would provide relief for up to 90 days. The cost will range between $575 and $1000 every three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Dr. Robinson also agreed that if the plaintiff had shown improvement in the past with a triptan medication such as Zomig, he would expect her to show improvement in the future.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Haley Tencha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Ms. Tencha is an occupational therapist who performed a functional capacity evaluation of the plaintiff on April 7, 2015. She also prepared a Cost of Future Care Report for the plaintiff. She was qualified without debate to give opinion evidence in respect of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In Ms. Tencha's opinion, the plaintiff provided a high level of physical effort during the 7 1/2 hour functional capacity evaluation. Although the plaintiff subjectively underestimated her functional abilities in some respects, Ms. Tencha was of the opinion that the plaintiff was reliable with respect to her reports of pain. Ms. Tencha placed more weight for her opinion on her own objective findings and observations than on the plaintiff's subjective assessments.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Ms. Tencha's opinion is that the plaintiff is likely capable of part-time gainful employment as a photographer/videography artist and/or visual arts instructor, but that she will require assistance in performing art installation work for heavy objects. She opined that the plaintiff's overall capacity to compete for work in an open job market has been reduced due to her ongoing limitations related to her neck, shoulders and back pain. In Ms. Tencha's opinion, the plaintiff is best suited for occupations that require sedentary to light level strength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DEFENDANTS' MEDICAL EXPERT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Robin Rickards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defendants called only one witness, Dr. Rickards who examined the plaintiff on September 8, 2015. He prepared his report approximately ten days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Dr. Rickards is an orthopedic surgeon who is also trained in the management of chronic pain. He was qualified as an expert in those fields without debate.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Dr. Rickards noted the plaintiff's long pre-Collisions history of headaches and low back pain but, on examination, found no objective evidence of any clinical abnormalities.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Dr. Rickards diagnosed the plaintiff as having left scapular winging which is a rare condition that can affect a patient's ability to lift, pull and push heavy objects. It can also contribute to loss of power and limited flexion and abduction of the upper extremity. It can also be the source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In Dr. Rickards' opinion, it is more likely than not that, had the plaintiff participated in an appropriate muscle strengthening regime after the Collisions, her pain symptoms would have greatly improved or disappeared entirely by the time he saw her. He recommends that the plaintiff engage in a muscle strengthening program directed by a personal trainer, kinesiologist or physical therapist for between one and three sessions to address her shoulder girdle and neck musculature. He also recommends that the plaintiff begin using nonsteroidal anti-inflammatory medication as prescribed by her family doctor for a period of between three and 21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Credibility and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As is the case in most personal injury actions, the most important witness in the determination of causation is the plaintiff herself. Once an assessment of the credibility and reliability of the plaintiff's evidence has been made, the court is generally in a position to determine causation, usually with the assistance of opinion evidence from qualified medical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A plaintiff who accurately describes his or her symptoms and circumstances before and after the collision without minimizing or embellishing them can reasonably anticipate that the court will find his or her evidence to have been credible and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Regrettably, that did not occur in this case. The plaintiff was not particularly forthcoming during her evidence-in-chief. Significant aspects of her story were not revealed until cross-examination at which point she was evasive and took great pains to minimize the history of her pre-Collisions physical and emotional issues. Despite insisting that her memory was "good", on several occasions she had to be taken to her relatively recent examination for discovery transcripts before she was prepared to recall her previous evidence. She had difficulty agreeing that her income tax returns reflected her actual income because she could not remember whether she had worked more than what they reflected. Although the details of her many pre-Collisions psychological and psychiatric issues were set out in voluminous historical clinical records, including the answers to questionnaires in the plaintiff's own handwriting, she was either unable to recall, or unwilling to admit to them. She was also unable to recall significant portions of the clinical history set out in the various expert reports filed in this action that had been provided by the plaintiff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When clinical records or other documents were put to the plaintiff that contradicted her evidence, she insisted that the documents were likely in error or that she had been misinterpreted or misunderstood.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The poor quality of the plaintiff's memory at times when it suited her is at odds with her obvious high level of intelligence.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During her cross-examination, the plaintiff became increasingly evasive, argumentative and adversarial. She often launched into lengthy, rambling answers that were replete with speculation and devoid of factual foundation. She repeatedly played down her pre-Collisions symptoms as minor and inconsequential and emphasized her post-Collisions symptoms as new and debilitating.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Although the plaintiff appeared to have no difficulty reviewing documents and answering questions during her direct examination, she requested a recess early in her cross-examination, complaining of having difficulty extending her arms to read a one page document due to pain in her arms and shoulders. However, she did not indicate any further difficulty with her arms during the remainder of her lengthy cross-examination, interrupted as it was by other witnesses over four days. Indeed, throughout her cross-examination she frequently used her arms to gesture during her answers, as people typically do when attempting to make a point. She continually alternated between standing and sitting in the witness box, which is in noticeable contrast to Ms. Tencha's observations during the Functional Capacity Evaluation that the plaintiff was capable of engaging in casual sitting for 1 hour and 40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The plaintiff's antics and demeanour during cross-examination, as well as her numerous and vehement attempts to convince the court of her ordeal, evoked the oft-quoted line from </w:t>
      </w:r>
      <w:r>
        <w:rPr>
          <w:rFonts w:ascii="arial" w:eastAsia="arial" w:hAnsi="arial" w:cs="arial"/>
          <w:i/>
          <w:color w:val="000000"/>
          <w:sz w:val="20"/>
          <w:lang w:val="en-US" w:eastAsia="en-US" w:bidi="ar-SA"/>
        </w:rPr>
        <w:t>Hamlet</w:t>
      </w:r>
      <w:r>
        <w:rPr>
          <w:rFonts w:ascii="arial" w:eastAsia="arial" w:hAnsi="arial" w:cs="arial"/>
          <w:color w:val="000000"/>
          <w:sz w:val="20"/>
          <w:lang w:val="en-US" w:eastAsia="en-US" w:bidi="ar-SA"/>
        </w:rPr>
        <w:t>: "the lady doth protest too much".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 find that, overall, the plaintiff was not a particularly credible or reliable witness regarding the effect that the Collisions had on her, which I find she exaggerated. Unfortunately, I am unable to give her evidence in that regard much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As a consequence, I have not found the opinion evidence of the medical experts of much assistance. That is not because the experts are lacking in the necessary experience and expertise in their respective fields. Indeed, they are all highly qualified. Rather, it is because medical experts necessarily take a patient's complaints at face value and then offer an opinion based on those complaints. Here too they relied for their respective opinions to a significant degree on what they were told by the plaintiff without the benefit, as the court had, of a thorough and lengthy cross-examination of the plaintiff during which her self-reports and evidence generally were tested.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In contrast to the plaintiff, Sean gave his evidence in a down-to-earth and forthright fashion. He was clear, candid, animated, articulate and passionate about his testimony. I find that his evidence was credible and generally reliable.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Notwithstanding the above concerns regarding the plaintiff's evidence, I must nevertheless determine the extent to which the plaintiff's post-Collision complaints were caused or contributed to by either or both of the Collisions.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The plaintiff must prove on a balance of probabilities that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she would not have suffered her injuries.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must have been a necessary cause of the injury. This "but for" test was summarized and affirmed by the Supreme Court of Canada in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570"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paras. 8-10 (see also </w:t>
      </w:r>
      <w:r>
        <w:rPr>
          <w:rFonts w:ascii="arial" w:eastAsia="arial" w:hAnsi="arial" w:cs="arial"/>
          <w:i/>
          <w:color w:val="000000"/>
          <w:sz w:val="20"/>
          <w:lang w:val="en-US" w:eastAsia="en-US" w:bidi="ar-SA"/>
        </w:rPr>
        <w:t>Ediger v. Johnston</w:t>
      </w:r>
      <w:r>
        <w:rPr>
          <w:rFonts w:ascii="arial" w:eastAsia="arial" w:hAnsi="arial" w:cs="arial"/>
          <w:color w:val="000000"/>
          <w:sz w:val="20"/>
          <w:lang w:val="en-US" w:eastAsia="en-US" w:bidi="ar-SA"/>
        </w:rPr>
        <w:t xml:space="preserve">, </w:t>
      </w:r>
      <w:hyperlink r:id="rId732" w:history="1">
        <w:r>
          <w:rPr>
            <w:rFonts w:ascii="arial" w:eastAsia="arial" w:hAnsi="arial" w:cs="arial"/>
            <w:i/>
            <w:color w:val="0077CC"/>
            <w:sz w:val="20"/>
            <w:u w:val="single"/>
            <w:shd w:val="clear" w:color="auto" w:fill="FFFFFF"/>
            <w:lang w:val="en-US" w:eastAsia="en-US" w:bidi="ar-SA"/>
          </w:rPr>
          <w:t>2013 SCC 18</w:t>
        </w:r>
      </w:hyperlink>
      <w:r>
        <w:rPr>
          <w:rFonts w:ascii="arial" w:eastAsia="arial" w:hAnsi="arial" w:cs="arial"/>
          <w:color w:val="000000"/>
          <w:sz w:val="20"/>
          <w:lang w:val="en-US" w:eastAsia="en-US" w:bidi="ar-SA"/>
        </w:rPr>
        <w:t xml:space="preserve"> at paras. 28-29).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The classic statement of the law of causation by Mr. Justice Sopinka in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at para. 29, is that causation need not be determined by scientific precision. It is a practical question of fact that can be answered by ordinary common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Once factual causation is found, liability may still be limited in the assessment of damages: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571"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paras. 78 - 81. I note the well-established principle of tort law that the defendant need not place the plaintiff in a better position than her original position and that he need not compensate the plaintiff for damage she would have suffered in any event, otherwise known as the crumbling skull rule, which was set out by the Supreme Court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5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34-35,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named after the well-known "thin skull" rule, which makes the tortfeasor liable for the plaintiff's injuries even if the injuries are unexpectedly severe owing to a pre-existing condition. The tortfeasor must take his or her victim as the tortfeasor finds the victim, and is therefore liable even though the plaintiff's losses are more dramatic than they would be for the average person.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so-called "crumbling skull" rule simply recognizes that the pre-existing condition was inherent in the plaintiff's "original position". The defendant need not put the plaintiff in a position better than his or her original position. The defendant is liable for the injuries caused, even if they are extreme, but need not compensate the plaintiff for any debilitating effects of the pre-existing condition which the plaintiff would have experienced anyway.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The defendants are obliged to compensate the plaintiff for the debilitating effects of the Collisions but not for the debilitating effects of her pre-existing condition that she would have suffered anyway: </w:t>
      </w:r>
      <w:r>
        <w:rPr>
          <w:rFonts w:ascii="arial" w:eastAsia="arial" w:hAnsi="arial" w:cs="arial"/>
          <w:i/>
          <w:color w:val="000000"/>
          <w:sz w:val="20"/>
          <w:lang w:val="en-US" w:eastAsia="en-US" w:bidi="ar-SA"/>
        </w:rPr>
        <w:t>T.W.N.A. v. Canada (Ministry of Indian Affairs)</w:t>
      </w:r>
      <w:r>
        <w:rPr>
          <w:rFonts w:ascii="arial" w:eastAsia="arial" w:hAnsi="arial" w:cs="arial"/>
          <w:color w:val="000000"/>
          <w:sz w:val="20"/>
          <w:lang w:val="en-US" w:eastAsia="en-US" w:bidi="ar-SA"/>
        </w:rPr>
        <w:t xml:space="preserve">, </w:t>
      </w:r>
      <w:hyperlink r:id="rId733"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My assessment of the plaintiff is that, although very intelligent, ambitious and career driven, she neither is nor has ever been a stoic individual. She is and was an anxious and vulnerable woman. Because of her traumatic upbringing, she is and since her early teenage years has been mentally and emotionally fragile. Moreover, chronic neck and shoulder pain and headaches were her "original position" before the Collisions. In that regard, she is the quint essential "thin skull" plaintiff. I accept that, as a result, added stress in her life will increase her anxiety level. However, I do not accept the submissions of plaintiff's counsel that the plaintiff was "thriving" prior to the First Collision. Rather, to the extent that the plaintiff's symptoms were reduced prior to the First Collision, it was because she had not been in school between April and September 2011 and, thus, had not been subjected to the physical demands of writing papers and the emotional demands of deadlines.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Despite her insistence that the many historical pre-Collisions incidents of headaches, neck, shoulder and upper back pain as well as depression, anxiety and other emotional issues were "mild", intermittent", in remission and had only a minor impact on her ability to function, the evidence is overwhelming that these pre-Collisons issues dated back to her childhood and emerged at times of stress and over-exertion. They materialized, for example, during her four-year undergraduate degree program at ECU when she was anxious and stressed about her courses and physically exhausted from hours on the computer. She suffered from migraine headaches since her teenage years for which she was prescribed Zomig and other medications. She also suffered from neck and shoulder pain for many years up until the First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Despite the plaintiff's attempts to downplay these symptoms by relating them to specific occasions, for example, the pressures of end-of-semester work, and insisting they were not debilitating, the reports she provided to her various medical practitioners over the years as set out in the clinical records tell a different story. For example, she was treated by a Naturopathic doctor on 16 occasions between March 2009 and January 2010, during which she complained of having very frequent, if not daily headaches, high stress, and a stiff neck for many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From January 2010 to May 2011, she attended 12 physiotherapy sessions for her neck, shoulder and back pain, as well as for headaches, all of which symptoms she reported having suffered from for the past 10 years. She had acupuncture for her neck and back pain for five or six years prior to the First Collision. In July 2010, she attended massage therapy, again reporting neck and shoulder pain as well as occipital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The evidence is clear that the plaintiff received psychiatric treatment for her self-esteem difficulties, anxiety disorder and depression from and after 2007 when she returned to Canada from Japan.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xml:space="preserve">  As Mr. Justice Ehrcke cautioned in </w:t>
      </w:r>
      <w:r>
        <w:rPr>
          <w:rFonts w:ascii="arial" w:eastAsia="arial" w:hAnsi="arial" w:cs="arial"/>
          <w:i/>
          <w:color w:val="000000"/>
          <w:sz w:val="20"/>
          <w:lang w:val="en-US" w:eastAsia="en-US" w:bidi="ar-SA"/>
        </w:rPr>
        <w:t>White v. Stonestreet</w:t>
      </w:r>
      <w:r>
        <w:rPr>
          <w:rFonts w:ascii="arial" w:eastAsia="arial" w:hAnsi="arial" w:cs="arial"/>
          <w:color w:val="000000"/>
          <w:sz w:val="20"/>
          <w:lang w:val="en-US" w:eastAsia="en-US" w:bidi="ar-SA"/>
        </w:rPr>
        <w:t xml:space="preserve">, </w:t>
      </w:r>
      <w:hyperlink r:id="rId53" w:history="1">
        <w:r>
          <w:rPr>
            <w:rFonts w:ascii="arial" w:eastAsia="arial" w:hAnsi="arial" w:cs="arial"/>
            <w:i/>
            <w:color w:val="0077CC"/>
            <w:sz w:val="20"/>
            <w:u w:val="single"/>
            <w:shd w:val="clear" w:color="auto" w:fill="FFFFFF"/>
            <w:lang w:val="en-US" w:eastAsia="en-US" w:bidi="ar-SA"/>
          </w:rPr>
          <w:t>2006 BCSC 801</w:t>
        </w:r>
      </w:hyperlink>
      <w:r>
        <w:rPr>
          <w:rFonts w:ascii="arial" w:eastAsia="arial" w:hAnsi="arial" w:cs="arial"/>
          <w:color w:val="000000"/>
          <w:sz w:val="20"/>
          <w:lang w:val="en-US" w:eastAsia="en-US" w:bidi="ar-SA"/>
        </w:rPr>
        <w:t xml:space="preserve"> at paras. 74-75, it is important to examine more than the temporal connection between an event and the alleged symptoms after the event. Other events happening at the same time must also be examined when determining causation. Moreover, the court should be exceedingly careful when there is little or no objective evidence of continuing injury and when complaints of pain persist for long periods of time beyond the normal or usual recovery: </w:t>
      </w:r>
      <w:r>
        <w:rPr>
          <w:rFonts w:ascii="arial" w:eastAsia="arial" w:hAnsi="arial" w:cs="arial"/>
          <w:i/>
          <w:color w:val="000000"/>
          <w:sz w:val="20"/>
          <w:lang w:val="en-US" w:eastAsia="en-US" w:bidi="ar-SA"/>
        </w:rPr>
        <w:t>Buttar v. Brennan</w:t>
      </w:r>
      <w:r>
        <w:rPr>
          <w:rFonts w:ascii="arial" w:eastAsia="arial" w:hAnsi="arial" w:cs="arial"/>
          <w:color w:val="000000"/>
          <w:sz w:val="20"/>
          <w:lang w:val="en-US" w:eastAsia="en-US" w:bidi="ar-SA"/>
        </w:rPr>
        <w:t xml:space="preserve">, </w:t>
      </w:r>
      <w:hyperlink r:id="rId734" w:history="1">
        <w:r>
          <w:rPr>
            <w:rFonts w:ascii="arial" w:eastAsia="arial" w:hAnsi="arial" w:cs="arial"/>
            <w:i/>
            <w:color w:val="0077CC"/>
            <w:sz w:val="20"/>
            <w:u w:val="single"/>
            <w:shd w:val="clear" w:color="auto" w:fill="FFFFFF"/>
            <w:lang w:val="en-US" w:eastAsia="en-US" w:bidi="ar-SA"/>
          </w:rPr>
          <w:t>2012 BCSC 531</w:t>
        </w:r>
      </w:hyperlink>
      <w:r>
        <w:rPr>
          <w:rFonts w:ascii="arial" w:eastAsia="arial" w:hAnsi="arial" w:cs="arial"/>
          <w:color w:val="000000"/>
          <w:sz w:val="20"/>
          <w:lang w:val="en-US" w:eastAsia="en-US" w:bidi="ar-SA"/>
        </w:rPr>
        <w:t xml:space="preserve"> at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On the whole of the evidence before me, I find that at the time of the First Collison, the plaintiff was likely suffering anxiety and other pressures from the first semester of her Master's degree, which was her pattern during her undergraduate degree at ECU. I accept Dr. Lu's opinions in this regard. The plaintiff was managing her long-standing, chronic headaches as well as shoulder, neck and back pain with treatments of physiotherapy, massage therapy and acupuncture.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I find that the First Collision exacerbated the plaintiff's pre-existing physical symptoms of headaches as well as pain in her neck, shoulders and lower back. I also find that the First Collision caused the plaintiff episodes of renewed anxiety, including some panic attacks. The November 19, 2011 collision into the path of an oncoming car on a residential street also served to increase her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 find that the plaintiff's physical symptoms caused by the First Collision resolved within several months, however, her moderately increased symptoms of anxiety continued until the Spring of 2012 when her new found relationship with Sean began to flourish. Thereafter, to the extent that the plaintiff had symptoms of pain, depression and anxiety they were the result of the various other ongoing stressors in her life, primarily the breakup of her relationship with Greg and the pressures of her Master's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 find that the Second Collision again exacerbated the plaintiff's pre-existing physical pain symptoms for no more than several weeks. The Second Collision also exacerbated the plaintiff's anxiety symptoms, which over the ensuing period of weeks and months became conflated with the plaintiff's pre-Collisions anxiety and other psychological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It is, in my view, noteworthy that Sean described the plaintiff as a happy, calm and fun-loving person who showed no signs of physical pain or psychological symptoms until December 2012 when he told the plaintiff during an argument that he was leaving. Her reaction on this and subsequent arguments was uncontrolled rage akin to a "caged animal" where the plaintiff threw things at him and tried to bite him. None of the medical experts were made aware of this behaviour. Sean was oblivious to any pain that the plaintiff claimed to be in until they returned from Europe and went to counselling together, at which point he concluded that her behaviour was due to her being in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However, there is no evidence linking the plaintiff's violent episodes to the Collisions. If the plaintiff's uncontrolled rage and physical violence were the result of her Collision-related pain, one would have expected her to have so advised the medical experts. Instead, no mention was made to the experts of those episodes.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I find that, as the plaintiff continued her Master's program, the plaintiff's pre-Collisions psychological symptoms increased and those caused by the Collisions diminished. By April 2013, the predominant, if not entire cause of her ongoing physical pain and psychological symptoms was unrelated to the Collisions. The plaintiff admitted advising one of her doctors, Dr. Feldman, in January that "anxiety as a result of a family problem, depression particularly in July 2013 and occasional panic attacks" were her most significant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INDIVISIBLE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The parties agree that the injuries the plaintiff sustained in the Second Collision cannot be divided into distinct parts and are therefore "indivisible" from her First Collision-related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xml:space="preserve">  Tortfeasors whose tortious acts combine to produce indivisible injuries are jointly and severally liable for the full extent of the injury: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467-468; </w:t>
      </w:r>
      <w:r>
        <w:rPr>
          <w:rFonts w:ascii="arial" w:eastAsia="arial" w:hAnsi="arial" w:cs="arial"/>
          <w:i/>
          <w:color w:val="000000"/>
          <w:sz w:val="20"/>
          <w:lang w:val="en-US" w:eastAsia="en-US" w:bidi="ar-SA"/>
        </w:rPr>
        <w:t>B.P.B. v. M.M.B</w:t>
      </w:r>
      <w:r>
        <w:rPr>
          <w:rFonts w:ascii="arial" w:eastAsia="arial" w:hAnsi="arial" w:cs="arial"/>
          <w:color w:val="000000"/>
          <w:sz w:val="20"/>
          <w:lang w:val="en-US" w:eastAsia="en-US" w:bidi="ar-SA"/>
        </w:rPr>
        <w:t xml:space="preserve">, </w:t>
      </w:r>
      <w:hyperlink r:id="rId735" w:history="1">
        <w:r>
          <w:rPr>
            <w:rFonts w:ascii="arial" w:eastAsia="arial" w:hAnsi="arial" w:cs="arial"/>
            <w:i/>
            <w:color w:val="0077CC"/>
            <w:sz w:val="20"/>
            <w:u w:val="single"/>
            <w:shd w:val="clear" w:color="auto" w:fill="FFFFFF"/>
            <w:lang w:val="en-US" w:eastAsia="en-US" w:bidi="ar-SA"/>
          </w:rPr>
          <w:t>2009 BCCA 365</w:t>
        </w:r>
      </w:hyperlink>
      <w:r>
        <w:rPr>
          <w:rFonts w:ascii="arial" w:eastAsia="arial" w:hAnsi="arial" w:cs="arial"/>
          <w:color w:val="000000"/>
          <w:sz w:val="20"/>
          <w:lang w:val="en-US" w:eastAsia="en-US" w:bidi="ar-SA"/>
        </w:rPr>
        <w:t xml:space="preserve"> at para. 72, leave to appeal ref'd </w:t>
      </w:r>
      <w:hyperlink r:id="rId736" w:history="1">
        <w:r>
          <w:rPr>
            <w:rFonts w:ascii="arial" w:eastAsia="arial" w:hAnsi="arial" w:cs="arial"/>
            <w:i/>
            <w:color w:val="0077CC"/>
            <w:sz w:val="20"/>
            <w:u w:val="single"/>
            <w:shd w:val="clear" w:color="auto" w:fill="FFFFFF"/>
            <w:lang w:val="en-US" w:eastAsia="en-US" w:bidi="ar-SA"/>
          </w:rPr>
          <w:t>[2010] S.C.C.A. No. 90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737"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xml:space="preserve"> at para. 37, leave to appeal ref'd </w:t>
      </w:r>
      <w:hyperlink r:id="rId738" w:history="1">
        <w:r>
          <w:rPr>
            <w:rFonts w:ascii="arial" w:eastAsia="arial" w:hAnsi="arial" w:cs="arial"/>
            <w:i/>
            <w:color w:val="0077CC"/>
            <w:sz w:val="20"/>
            <w:u w:val="single"/>
            <w:shd w:val="clear" w:color="auto" w:fill="FFFFFF"/>
            <w:lang w:val="en-US" w:eastAsia="en-US" w:bidi="ar-SA"/>
          </w:rPr>
          <w:t>[2010] S.C.C.A. No. 337</w:t>
        </w:r>
      </w:hyperlink>
      <w:r>
        <w:rPr>
          <w:rFonts w:ascii="arial" w:eastAsia="arial" w:hAnsi="arial" w:cs="arial"/>
          <w:color w:val="000000"/>
          <w:sz w:val="20"/>
          <w:lang w:val="en-US" w:eastAsia="en-US" w:bidi="ar-SA"/>
        </w:rPr>
        <w:t>. Accordingly, there is no need for the court to determine the extent to which the plaintiff's First Collision-related injuries were aggravated by the Second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xml:space="preserve">  Non-pecuniary damages are intended to compensate a plaintiff for pain, suffering, loss of enjoyment of life and loss of amenities: </w:t>
      </w:r>
      <w:r>
        <w:rPr>
          <w:rFonts w:ascii="arial" w:eastAsia="arial" w:hAnsi="arial" w:cs="arial"/>
          <w:i/>
          <w:color w:val="000000"/>
          <w:sz w:val="20"/>
          <w:lang w:val="en-US" w:eastAsia="en-US" w:bidi="ar-SA"/>
        </w:rPr>
        <w:t>Liu v. Bipinchandra</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2016 BCSC 283</w:t>
        </w:r>
      </w:hyperlink>
      <w:r>
        <w:rPr>
          <w:rFonts w:ascii="arial" w:eastAsia="arial" w:hAnsi="arial" w:cs="arial"/>
          <w:color w:val="000000"/>
          <w:sz w:val="20"/>
          <w:lang w:val="en-US" w:eastAsia="en-US" w:bidi="ar-SA"/>
        </w:rPr>
        <w:t xml:space="preserve"> at para. 110.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leave to appeal ref'd </w:t>
      </w:r>
      <w:hyperlink r:id="rId740" w:history="1">
        <w:r>
          <w:rPr>
            <w:rFonts w:ascii="arial" w:eastAsia="arial" w:hAnsi="arial" w:cs="arial"/>
            <w:i/>
            <w:color w:val="0077CC"/>
            <w:sz w:val="20"/>
            <w:u w:val="single"/>
            <w:shd w:val="clear" w:color="auto" w:fill="FFFFFF"/>
            <w:lang w:val="en-US" w:eastAsia="en-US" w:bidi="ar-SA"/>
          </w:rPr>
          <w:t>[2006] S.C.C.A. No. 100</w:t>
        </w:r>
      </w:hyperlink>
      <w:r>
        <w:rPr>
          <w:rFonts w:ascii="arial" w:eastAsia="arial" w:hAnsi="arial" w:cs="arial"/>
          <w:color w:val="000000"/>
          <w:sz w:val="20"/>
          <w:lang w:val="en-US" w:eastAsia="en-US" w:bidi="ar-SA"/>
        </w:rPr>
        <w:t>, Madam Justice Kirkpatrick for the majority outlined the factors to be considered in awarding non-pecuniary damages at para. 46:</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that influence an award of non-pecuniary damages includes:</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1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1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1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1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1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463"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(QL), </w:t>
      </w:r>
      <w:hyperlink r:id="rId463"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Counsel for the plaintiff submits that an award of $130,000 for non-pecuniary damages is appropriate. She relies on the following decisions which she says involve circumstances similar to those in this case:</w:t>
      </w:r>
      <w:r>
        <w:rPr>
          <w:rFonts w:ascii="arial" w:eastAsia="arial" w:hAnsi="arial" w:cs="arial"/>
          <w:sz w:val="20"/>
          <w:lang w:val="en-US" w:eastAsia="en-US" w:bidi="ar-SA"/>
        </w:rPr>
        <w:cr/>
      </w:r>
    </w:p>
    <w:p>
      <w:pPr>
        <w:numPr>
          <w:numId w:val="20"/>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Morena v. Dhillon</w:t>
      </w:r>
      <w:r>
        <w:rPr>
          <w:rFonts w:ascii="arial" w:eastAsia="arial" w:hAnsi="arial" w:cs="arial"/>
          <w:color w:val="000000"/>
          <w:sz w:val="20"/>
          <w:lang w:val="en-US" w:eastAsia="en-US" w:bidi="ar-SA"/>
        </w:rPr>
        <w:t xml:space="preserve">, </w:t>
      </w:r>
      <w:hyperlink r:id="rId741" w:history="1">
        <w:r>
          <w:rPr>
            <w:rFonts w:ascii="arial" w:eastAsia="arial" w:hAnsi="arial" w:cs="arial"/>
            <w:i/>
            <w:color w:val="0077CC"/>
            <w:sz w:val="20"/>
            <w:u w:val="single"/>
            <w:shd w:val="clear" w:color="auto" w:fill="FFFFFF"/>
            <w:lang w:val="en-US" w:eastAsia="en-US" w:bidi="ar-SA"/>
          </w:rPr>
          <w:t>2014 BCSC 141</w:t>
        </w:r>
      </w:hyperlink>
      <w:r>
        <w:rPr>
          <w:rFonts w:ascii="arial" w:eastAsia="arial" w:hAnsi="arial" w:cs="arial"/>
          <w:color w:val="000000"/>
          <w:sz w:val="20"/>
          <w:lang w:val="en-US" w:eastAsia="en-US" w:bidi="ar-SA"/>
        </w:rPr>
        <w:t xml:space="preserve"> ($130,000);</w:t>
      </w:r>
    </w:p>
    <w:p>
      <w:pPr>
        <w:numPr>
          <w:numId w:val="21"/>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S.R. v. Trasolini</w:t>
      </w:r>
      <w:r>
        <w:rPr>
          <w:rFonts w:ascii="arial" w:eastAsia="arial" w:hAnsi="arial" w:cs="arial"/>
          <w:color w:val="000000"/>
          <w:sz w:val="20"/>
          <w:lang w:val="en-US" w:eastAsia="en-US" w:bidi="ar-SA"/>
        </w:rPr>
        <w:t xml:space="preserve">, </w:t>
      </w:r>
      <w:hyperlink r:id="rId742" w:history="1">
        <w:r>
          <w:rPr>
            <w:rFonts w:ascii="arial" w:eastAsia="arial" w:hAnsi="arial" w:cs="arial"/>
            <w:i/>
            <w:color w:val="0077CC"/>
            <w:sz w:val="20"/>
            <w:u w:val="single"/>
            <w:shd w:val="clear" w:color="auto" w:fill="FFFFFF"/>
            <w:lang w:val="en-US" w:eastAsia="en-US" w:bidi="ar-SA"/>
          </w:rPr>
          <w:t>2013 BCSC 1135</w:t>
        </w:r>
      </w:hyperlink>
      <w:r>
        <w:rPr>
          <w:rFonts w:ascii="arial" w:eastAsia="arial" w:hAnsi="arial" w:cs="arial"/>
          <w:color w:val="000000"/>
          <w:sz w:val="20"/>
          <w:lang w:val="en-US" w:eastAsia="en-US" w:bidi="ar-SA"/>
        </w:rPr>
        <w:t xml:space="preserve"> ($130,000); and</w:t>
      </w:r>
    </w:p>
    <w:p>
      <w:pPr>
        <w:numPr>
          <w:numId w:val="22"/>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Hollyer v. Gaston</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2016 BCSC 1401</w:t>
        </w:r>
      </w:hyperlink>
      <w:r>
        <w:rPr>
          <w:rFonts w:ascii="arial" w:eastAsia="arial" w:hAnsi="arial" w:cs="arial"/>
          <w:color w:val="000000"/>
          <w:sz w:val="20"/>
          <w:lang w:val="en-US" w:eastAsia="en-US" w:bidi="ar-SA"/>
        </w:rPr>
        <w:t xml:space="preserve"> ($125,000).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Morena</w:t>
      </w:r>
      <w:r>
        <w:rPr>
          <w:rFonts w:ascii="arial" w:eastAsia="arial" w:hAnsi="arial" w:cs="arial"/>
          <w:color w:val="000000"/>
          <w:sz w:val="20"/>
          <w:lang w:val="en-US" w:eastAsia="en-US" w:bidi="ar-SA"/>
        </w:rPr>
        <w:t>, the plaintiff was a 47-year-old mother of two who had a history of tension and anxiety related headaches prior to the accident. She had perfectionist tendencies. The court found that she sustained chronic pain related to soft tissue injuries in her neck and back as well as post-traumatic stress disorder, severe depression, chronic sleep disruption and self-loathing as a result of the accident. The prognosis for further improvement in her symptoms was poor.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S.R.</w:t>
      </w:r>
      <w:r>
        <w:rPr>
          <w:rFonts w:ascii="arial" w:eastAsia="arial" w:hAnsi="arial" w:cs="arial"/>
          <w:color w:val="000000"/>
          <w:sz w:val="20"/>
          <w:lang w:val="en-US" w:eastAsia="en-US" w:bidi="ar-SA"/>
        </w:rPr>
        <w:t>, the 51-year-old plaintiff had a pre-accident history of periodic neck, shoulder and back pain which was treated with massage therapy and chiropractic treatments. She had psychological issues from being physically abused as a child. She suffered a post-accident aggravation of her symptoms likely attributable to the accident that manifested as chronic pain and an array of other physical, psychological and cognitive impairments. The court found that her chronic pain condition was caused by the accident and that overall the accident caused her injuries that led to years of suffering, both physically and psychologically, and that it was unlikely she would ever fully recover.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Hollyer</w:t>
      </w:r>
      <w:r>
        <w:rPr>
          <w:rFonts w:ascii="arial" w:eastAsia="arial" w:hAnsi="arial" w:cs="arial"/>
          <w:color w:val="000000"/>
          <w:sz w:val="20"/>
          <w:lang w:val="en-US" w:eastAsia="en-US" w:bidi="ar-SA"/>
        </w:rPr>
        <w:t>, a 48-year-old mother of two had pre-existing cervical spondylosis with mild symptoms. She also suffered from pre-existing asymptomatic spondylosis in her lower back. The accident resulted in her suffering from chronic pain in her neck, back and shoulders as well as depression and anxiety, which the court found, significantly restricted her work, household and leisure activities and her social and family life. Her psychological symptoms became subsequently exacerbated after her husband was seriously injured in an accident. The court found that the plaintiff's symptoms would likely improve over time but that she would continue to suffer from chronic pain related to the accident, and that her prognosis for improvement in mood was guarded.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Counsel for the defendants submits that non-pecuniary damages in the range of $40,000 to $60,000 are appropriate. She relies on the following decisions:</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Lehtonen v. Johnston</w:t>
      </w:r>
      <w:r>
        <w:rPr>
          <w:rFonts w:ascii="arial" w:eastAsia="arial" w:hAnsi="arial" w:cs="arial"/>
          <w:color w:val="000000"/>
          <w:sz w:val="20"/>
          <w:lang w:val="en-US" w:eastAsia="en-US" w:bidi="ar-SA"/>
        </w:rPr>
        <w:t xml:space="preserve">, </w:t>
      </w:r>
      <w:hyperlink r:id="rId744" w:history="1">
        <w:r>
          <w:rPr>
            <w:rFonts w:ascii="arial" w:eastAsia="arial" w:hAnsi="arial" w:cs="arial"/>
            <w:i/>
            <w:color w:val="0077CC"/>
            <w:sz w:val="20"/>
            <w:u w:val="single"/>
            <w:shd w:val="clear" w:color="auto" w:fill="FFFFFF"/>
            <w:lang w:val="en-US" w:eastAsia="en-US" w:bidi="ar-SA"/>
          </w:rPr>
          <w:t>2009 BCSC 1364</w:t>
        </w:r>
      </w:hyperlink>
      <w:r>
        <w:rPr>
          <w:rFonts w:ascii="arial" w:eastAsia="arial" w:hAnsi="arial" w:cs="arial"/>
          <w:color w:val="000000"/>
          <w:sz w:val="20"/>
          <w:lang w:val="en-US" w:eastAsia="en-US" w:bidi="ar-SA"/>
        </w:rPr>
        <w:t xml:space="preserve"> ($40,000);</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Engel v. Engel</w:t>
      </w:r>
      <w:r>
        <w:rPr>
          <w:rFonts w:ascii="arial" w:eastAsia="arial" w:hAnsi="arial" w:cs="arial"/>
          <w:color w:val="000000"/>
          <w:sz w:val="20"/>
          <w:lang w:val="en-US" w:eastAsia="en-US" w:bidi="ar-SA"/>
        </w:rPr>
        <w:t xml:space="preserve">, </w:t>
      </w:r>
      <w:hyperlink r:id="rId745" w:history="1">
        <w:r>
          <w:rPr>
            <w:rFonts w:ascii="arial" w:eastAsia="arial" w:hAnsi="arial" w:cs="arial"/>
            <w:i/>
            <w:color w:val="0077CC"/>
            <w:sz w:val="20"/>
            <w:u w:val="single"/>
            <w:shd w:val="clear" w:color="auto" w:fill="FFFFFF"/>
            <w:lang w:val="en-US" w:eastAsia="en-US" w:bidi="ar-SA"/>
          </w:rPr>
          <w:t>2000 BCSC 1330</w:t>
        </w:r>
      </w:hyperlink>
      <w:r>
        <w:rPr>
          <w:rFonts w:ascii="arial" w:eastAsia="arial" w:hAnsi="arial" w:cs="arial"/>
          <w:color w:val="000000"/>
          <w:sz w:val="20"/>
          <w:lang w:val="en-US" w:eastAsia="en-US" w:bidi="ar-SA"/>
        </w:rPr>
        <w:t xml:space="preserve"> ($50,000);</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Moini v. Liang</w:t>
      </w:r>
      <w:r>
        <w:rPr>
          <w:rFonts w:ascii="arial" w:eastAsia="arial" w:hAnsi="arial" w:cs="arial"/>
          <w:color w:val="000000"/>
          <w:sz w:val="20"/>
          <w:lang w:val="en-US" w:eastAsia="en-US" w:bidi="ar-SA"/>
        </w:rPr>
        <w:t xml:space="preserve">, </w:t>
      </w:r>
      <w:hyperlink r:id="rId746" w:history="1">
        <w:r>
          <w:rPr>
            <w:rFonts w:ascii="arial" w:eastAsia="arial" w:hAnsi="arial" w:cs="arial"/>
            <w:i/>
            <w:color w:val="0077CC"/>
            <w:sz w:val="20"/>
            <w:u w:val="single"/>
            <w:shd w:val="clear" w:color="auto" w:fill="FFFFFF"/>
            <w:lang w:val="en-US" w:eastAsia="en-US" w:bidi="ar-SA"/>
          </w:rPr>
          <w:t>2016 BCSC 702</w:t>
        </w:r>
      </w:hyperlink>
      <w:r>
        <w:rPr>
          <w:rFonts w:ascii="arial" w:eastAsia="arial" w:hAnsi="arial" w:cs="arial"/>
          <w:color w:val="000000"/>
          <w:sz w:val="20"/>
          <w:lang w:val="en-US" w:eastAsia="en-US" w:bidi="ar-SA"/>
        </w:rPr>
        <w:t xml:space="preserve"> ($50,000);</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Zaluski v. Verth</w:t>
      </w:r>
      <w:r>
        <w:rPr>
          <w:rFonts w:ascii="arial" w:eastAsia="arial" w:hAnsi="arial" w:cs="arial"/>
          <w:color w:val="000000"/>
          <w:sz w:val="20"/>
          <w:lang w:val="en-US" w:eastAsia="en-US" w:bidi="ar-SA"/>
        </w:rPr>
        <w:t xml:space="preserve">, </w:t>
      </w:r>
      <w:hyperlink r:id="rId747" w:history="1">
        <w:r>
          <w:rPr>
            <w:rFonts w:ascii="arial" w:eastAsia="arial" w:hAnsi="arial" w:cs="arial"/>
            <w:i/>
            <w:color w:val="0077CC"/>
            <w:sz w:val="20"/>
            <w:u w:val="single"/>
            <w:shd w:val="clear" w:color="auto" w:fill="FFFFFF"/>
            <w:lang w:val="en-US" w:eastAsia="en-US" w:bidi="ar-SA"/>
          </w:rPr>
          <w:t>2015 BCSC 1902</w:t>
        </w:r>
      </w:hyperlink>
      <w:r>
        <w:rPr>
          <w:rFonts w:ascii="arial" w:eastAsia="arial" w:hAnsi="arial" w:cs="arial"/>
          <w:color w:val="000000"/>
          <w:sz w:val="20"/>
          <w:lang w:val="en-US" w:eastAsia="en-US" w:bidi="ar-SA"/>
        </w:rPr>
        <w:t xml:space="preserve"> ($50,000);</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Wainwright v. Llewellyn</w:t>
      </w:r>
      <w:r>
        <w:rPr>
          <w:rFonts w:ascii="arial" w:eastAsia="arial" w:hAnsi="arial" w:cs="arial"/>
          <w:color w:val="000000"/>
          <w:sz w:val="20"/>
          <w:lang w:val="en-US" w:eastAsia="en-US" w:bidi="ar-SA"/>
        </w:rPr>
        <w:t xml:space="preserve">, </w:t>
      </w:r>
      <w:hyperlink r:id="rId748" w:history="1">
        <w:r>
          <w:rPr>
            <w:rFonts w:ascii="arial" w:eastAsia="arial" w:hAnsi="arial" w:cs="arial"/>
            <w:i/>
            <w:color w:val="0077CC"/>
            <w:sz w:val="20"/>
            <w:u w:val="single"/>
            <w:shd w:val="clear" w:color="auto" w:fill="FFFFFF"/>
            <w:lang w:val="en-US" w:eastAsia="en-US" w:bidi="ar-SA"/>
          </w:rPr>
          <w:t>2014 BCSC 177</w:t>
        </w:r>
      </w:hyperlink>
      <w:r>
        <w:rPr>
          <w:rFonts w:ascii="arial" w:eastAsia="arial" w:hAnsi="arial" w:cs="arial"/>
          <w:color w:val="000000"/>
          <w:sz w:val="20"/>
          <w:lang w:val="en-US" w:eastAsia="en-US" w:bidi="ar-SA"/>
        </w:rPr>
        <w:t xml:space="preserve"> ($60,000);</w:t>
      </w:r>
    </w:p>
    <w:p>
      <w:pPr>
        <w:numPr>
          <w:numId w:val="3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i/>
          <w:color w:val="000000"/>
          <w:sz w:val="20"/>
          <w:lang w:val="en-US" w:eastAsia="en-US" w:bidi="ar-SA"/>
        </w:rPr>
        <w:t>Glesby v. MacMillian</w:t>
      </w:r>
      <w:r>
        <w:rPr>
          <w:rFonts w:ascii="arial" w:eastAsia="arial" w:hAnsi="arial" w:cs="arial"/>
          <w:color w:val="000000"/>
          <w:sz w:val="20"/>
          <w:lang w:val="en-US" w:eastAsia="en-US" w:bidi="ar-SA"/>
        </w:rPr>
        <w:t xml:space="preserve">, </w:t>
      </w:r>
      <w:hyperlink r:id="rId749" w:history="1">
        <w:r>
          <w:rPr>
            <w:rFonts w:ascii="arial" w:eastAsia="arial" w:hAnsi="arial" w:cs="arial"/>
            <w:i/>
            <w:color w:val="0077CC"/>
            <w:sz w:val="20"/>
            <w:u w:val="single"/>
            <w:shd w:val="clear" w:color="auto" w:fill="FFFFFF"/>
            <w:lang w:val="en-US" w:eastAsia="en-US" w:bidi="ar-SA"/>
          </w:rPr>
          <w:t>2014 BCSC 334</w:t>
        </w:r>
      </w:hyperlink>
      <w:r>
        <w:rPr>
          <w:rFonts w:ascii="arial" w:eastAsia="arial" w:hAnsi="arial" w:cs="arial"/>
          <w:color w:val="000000"/>
          <w:sz w:val="20"/>
          <w:lang w:val="en-US" w:eastAsia="en-US" w:bidi="ar-SA"/>
        </w:rPr>
        <w:t xml:space="preserve"> ($60,000).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Lehtonen,</w:t>
      </w:r>
      <w:r>
        <w:rPr>
          <w:rFonts w:ascii="arial" w:eastAsia="arial" w:hAnsi="arial" w:cs="arial"/>
          <w:color w:val="000000"/>
          <w:sz w:val="20"/>
          <w:lang w:val="en-US" w:eastAsia="en-US" w:bidi="ar-SA"/>
        </w:rPr>
        <w:t xml:space="preserve"> a 40-year-old mother of two had a history of depression and anxiety and had sought psychiatric treatment for her turbulent personal history, including abuse by her step-father as a child, a first husband who was an alcoholic and emotionally abusive, and because her first child contracted meningitis which resulted in cognitive disabilities and challenging behaviour. She went through a bitter custody dispute upon divorce, and lived through the passing of her next partner, before settling in a new relationship. As a result of being rear-ended, the court found that she suffered relatively mild soft tissue injuries, and that the other symptoms and pain she experienced were not related to the accident, but were the result of a complex interplay of social, psychological and emotional factors unrelated to the accident and due to her fibromyalgia, which was not caused by the accident. The court held that the plaintiff would have experienced depression even if the accident had not occurred, and that if there was any exacerbation of this from the accident, it was temporary and minor. The court found that she recovered from her physical injuries related to the accident within one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Engel</w:t>
      </w:r>
      <w:r>
        <w:rPr>
          <w:rFonts w:ascii="arial" w:eastAsia="arial" w:hAnsi="arial" w:cs="arial"/>
          <w:color w:val="000000"/>
          <w:sz w:val="20"/>
          <w:lang w:val="en-US" w:eastAsia="en-US" w:bidi="ar-SA"/>
        </w:rPr>
        <w:t>, a woman in her late fifties was involved in two motor vehicle accidents. She had a history of depressive episodes, manic depression, chronic anxiety, borderline personality traits and a somatization disorder and had attempted suicide in the past. Her personal life had been marked by tragedy, including the death of a child. The motor vehicle accidents resulted in the plaintiff suffering from chronic pain syndrome secondary to soft tissue injuries to her neck and right rib cage. She also asserted the accidents caused her severe depression which led to psychiatric problems, including suicide attempts, which required admission to hospital and psychiatric care. While the court found that accident did cause the soft tissue injuries, it held that the psychological problems pre-existed the accidents and were part of the plaintiff's original position. It found that even though she could function well at times, the psychological illness was active and present at the time of the accident and as such, the crumbling skull rule applied, though the accidents were found to have exacerbated her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Moini</w:t>
      </w:r>
      <w:r>
        <w:rPr>
          <w:rFonts w:ascii="arial" w:eastAsia="arial" w:hAnsi="arial" w:cs="arial"/>
          <w:color w:val="000000"/>
          <w:sz w:val="20"/>
          <w:lang w:val="en-US" w:eastAsia="en-US" w:bidi="ar-SA"/>
        </w:rPr>
        <w:t>, a 59-year-old businessman and taxi driver had a history of pain and depression. He was involved in three motor vehicle accidents that he alleged resulted in soft-tissue injuries, chronic pain and a major depressive disorder. The court found that the plaintiff's account of his condition to be unconvincing, and that the opinions of the experts were tied to his accounts and as such, lacked proper foundations. The plaintiff was vague and tended to bend the truth in his favour. There was evidence that the plaintiff was taking medication for, and being treated for pain and depression prior to the first accident. The court found that he would have likely continued to suffer from this, and that the accidents only modestly exacerbated his condition and that this would resolve within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Zaluski</w:t>
      </w:r>
      <w:r>
        <w:rPr>
          <w:rFonts w:ascii="arial" w:eastAsia="arial" w:hAnsi="arial" w:cs="arial"/>
          <w:color w:val="000000"/>
          <w:sz w:val="20"/>
          <w:lang w:val="en-US" w:eastAsia="en-US" w:bidi="ar-SA"/>
        </w:rPr>
        <w:t>, a 40-year-old mother of one had neck and back pain and stress before the accident, including having suffered panic attacks that caused her to get medication. The credibility of the plaintiff was a significant issue in the case and the court found her to be evasive and combative and that she exaggerated the severity and duration of her symptoms. The court found that the accident caused her mild soft tissue injury to her neck, which affected her shoulders and back and that she suffered with anxiety and depression relating to the accident. However, it was held that she was not disabled for a lengthy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Wainwright</w:t>
      </w:r>
      <w:r>
        <w:rPr>
          <w:rFonts w:ascii="arial" w:eastAsia="arial" w:hAnsi="arial" w:cs="arial"/>
          <w:color w:val="000000"/>
          <w:sz w:val="20"/>
          <w:lang w:val="en-US" w:eastAsia="en-US" w:bidi="ar-SA"/>
        </w:rPr>
        <w:t>, a 31-year-old single mother had pre-existing bipolar disorder and took anti-depressants and mood stabilizers, however, she was coping well prior to the accident. After the accident, she resumed work but struggled with anxiety, nightmares and difficulty sleeping, and eventually took time off work and took pain and sleep medications and increased psychotropic medications. After the accident, she also experienced other stressors included a break-up with her long-term boyfriend, 3 minor fender benders, a fractured foot, being charged with impaired driving after inadvertently taking too much medication, admission to a mental health facility for one month for treatment of manic episodes and depression, and an addiction to pain medication prescribed for her accident related injuries, which led to addiction treatment. The court found that the accident resulted in considerable pain, stiffness and restriction in movement, and difficulty sleeping and that it exacerbated her bipolar disorder and reduced her ability to cope with pain, which in part led to her addiction to oxycodone. However, the court held that there were other stressors contributing to the exacerbation of her psychiatric symptoms and that to the extent the accident had exacerbated her condition, it was resolved at trial and was no longer affecting her. That while she did still have a mood disorder, the impact of the accident had passed and this was something she would suffer from ongoing regardless. The physical ailments were found to have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Glesby</w:t>
      </w:r>
      <w:r>
        <w:rPr>
          <w:rFonts w:ascii="arial" w:eastAsia="arial" w:hAnsi="arial" w:cs="arial"/>
          <w:color w:val="000000"/>
          <w:sz w:val="20"/>
          <w:lang w:val="en-US" w:eastAsia="en-US" w:bidi="ar-SA"/>
        </w:rPr>
        <w:t>, a 28-year-old woman claimed injuries to her neck, shoulder and upper back. Since high school, the plaintiff suffered from low periods of depression and anxiety which were well documented. She also suffered from irritable bowel syndrome. The court found the plaintiff in this case exaggerated and in some cases, failed to tell the truth during her testimony. It was held that the accident caused her whiplash injuries and some associated pain. However, many of the other problems she faced were found to have been caused by the worsening of her pre-existing gastrointestinal complaints and anxiety which were unrelated to the accident. The suffering related to the accident was found to have been pro-longed due to pre-existing conditions, but the court found that the limit of her accident related suffering to be three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In my view, the circumstances in cases relied upon by the defendants are more representative of the circumstances in this case than those relied upon by the plaintiff. The severity and duration of the accident-related injuries sustained in the cases relied upon by the plaintiff were more significant than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I agree with counsel for the defendants that the plaintiff's pre-existing condition, both physical and psychological, was part of her original condition. She was subject to continuing risk of suffering pain associated with her various mental disorders.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The plaintiff is 41-years-old. She has had a history of anxiety, depression, self-abuse and other psychological issues since she was a teenager. She often felt overwhelmed by the situations she found herself in. She was a single parent. Her father was an abusive alcoholic. She twice attempted suicide. For several years prior to the First Collision she suffered from headaches, neck and shoulder pain from long hours of study and school work during her undergraduate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I accept that many of the plaintiff's physical pain symptoms had reduced in frequency and intensity during the summer of 2011 after her undergraduate degree. However, I find that they would have intensified after she commenced her Master's program in September 2011, regardless of the Collisions.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Although I find that the plaintiff's symptoms were exacerbated by both the Collisions, I also find that other post-Collision life issues such as her breakup with Greg and the pressures of her Master's program, her parents, being a single parent and her pregnancies exacerbated and greatly contributed to her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The general exigencies and contingencies of the human experience are often such that life does not unfold as one would have liked. The reasons vary. Sometimes others are at fault. Sometimes the outcome is simply the natural and unfortunate consequence of one's environment and constitution. In my view, many of the plaintiff's complaints, although real, fall into that latter category.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After considering all of the evidence, the submissions of counsel and the case authorities, I find that an appropriate award for non-pecuniary damages in this case is $60,000.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PAST 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The plaintiff claims the sum of $50,000 under this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xml:space="preserve">  A claim for past income loss is to be addressed on the basis of a lack of capacity rather than as a mathematical formula: </w:t>
      </w:r>
      <w:r>
        <w:rPr>
          <w:rFonts w:ascii="arial" w:eastAsia="arial" w:hAnsi="arial" w:cs="arial"/>
          <w:i/>
          <w:color w:val="000000"/>
          <w:sz w:val="20"/>
          <w:lang w:val="en-US" w:eastAsia="en-US" w:bidi="ar-SA"/>
        </w:rPr>
        <w:t>Liu</w:t>
      </w:r>
      <w:r>
        <w:rPr>
          <w:rFonts w:ascii="arial" w:eastAsia="arial" w:hAnsi="arial" w:cs="arial"/>
          <w:color w:val="000000"/>
          <w:sz w:val="20"/>
          <w:lang w:val="en-US" w:eastAsia="en-US" w:bidi="ar-SA"/>
        </w:rPr>
        <w:t xml:space="preserve">, at para. 135. An assessment of past income loss is based on lost opportunity and as with all hypothetical events, requires that the plaintiff demonstrate a real and substantial possibility that the income would have been earned: </w:t>
      </w:r>
      <w:r>
        <w:rPr>
          <w:rFonts w:ascii="arial" w:eastAsia="arial" w:hAnsi="arial" w:cs="arial"/>
          <w:i/>
          <w:color w:val="000000"/>
          <w:sz w:val="20"/>
          <w:lang w:val="en-US" w:eastAsia="en-US" w:bidi="ar-SA"/>
        </w:rPr>
        <w:t>Fell v. Morton</w:t>
      </w:r>
      <w:r>
        <w:rPr>
          <w:rFonts w:ascii="arial" w:eastAsia="arial" w:hAnsi="arial" w:cs="arial"/>
          <w:color w:val="000000"/>
          <w:sz w:val="20"/>
          <w:lang w:val="en-US" w:eastAsia="en-US" w:bidi="ar-SA"/>
        </w:rPr>
        <w:t xml:space="preserve">, </w:t>
      </w:r>
      <w:hyperlink r:id="rId750" w:history="1">
        <w:r>
          <w:rPr>
            <w:rFonts w:ascii="arial" w:eastAsia="arial" w:hAnsi="arial" w:cs="arial"/>
            <w:i/>
            <w:color w:val="0077CC"/>
            <w:sz w:val="20"/>
            <w:u w:val="single"/>
            <w:shd w:val="clear" w:color="auto" w:fill="FFFFFF"/>
            <w:lang w:val="en-US" w:eastAsia="en-US" w:bidi="ar-SA"/>
          </w:rPr>
          <w:t>2012 BCSC 428</w:t>
        </w:r>
      </w:hyperlink>
      <w:r>
        <w:rPr>
          <w:rFonts w:ascii="arial" w:eastAsia="arial" w:hAnsi="arial" w:cs="arial"/>
          <w:color w:val="000000"/>
          <w:sz w:val="20"/>
          <w:lang w:val="en-US" w:eastAsia="en-US" w:bidi="ar-SA"/>
        </w:rPr>
        <w:t xml:space="preserve"> at para. 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The plaintiff's case is that, but for the Collisions, the plaintiff would have completed her Master's degree in the Fall of 2013. She says that the completion of her Master's thesis has been delayed three years because of the Collisions and hence her career path of becoming a sessional instructor on the track towards becoming a tenured university instructor has similarly been delayed three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The plaintiff says that the reason she did not complete her thesis in the Fall of 2013 as planned was due to the physical rigors of writing combined with the debilitating effect of the pain and emotional distress she suffered and continues to suffer from as a result of the Collisions. She claims that as a result of the pain, she was and is unable to concentrate and work on her computer for anything other than short periods of time. However, on cross-examination she admitted that she wrote hundreds of pages of papers during her Master's program that were unrelated to her thesis. She explained that she was able to do so because the scope of and expectations for these hundreds of pages of papers were very different than the scope and expectations for her thesis. Significantly, when providing this explanation, she made no mention of the Collisions having been a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I find that, given her admitted ability to write hundreds of pages of papers for her Master's course work after the First Collision, the plaintiff was likely also physically capable of writing a 30 to 40 page thesis.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Moreover, the uncontroverted evidence is that, by May 2013, the status of the plaintiff's thesis was the same as that of her fellow students. She was not behind.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In the Summer of 2013, she chose to go to Europe for almost three weeks longer than the ten days required for her course in Venice. This was a choice the plaintiff made in lieu of writing her thesis.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Since March 2015, the plaintiff has had fulltime daycare for her children as well as a housecleaning service for four to five hours per week. She is not employed and is not taking any courses.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On February 8, 2016, the plaintiff told her thesis advisor in an email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the fall, I've been doing a series of injection treatments for pain every two weeks which are doing wonders for the pain...but require a lot of resting and reduced activity afterwards".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This was not true. In fact, the plaintiff had only had one trigger point injection treatment which had occurred four days earlier. Despite the plaintiff's attempts to suggest that she must have meant acupuncture treatments, it is clear that the plaintiff was well aware of the difference between acupuncture and trigger point injections. In my view, this email was sent by the plaintiff in an attempt to justify to her thesis advisor why she was taking as long as she was to complete 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I find that the plaintiff was delayed in working on her thesis for reasons unrelated to the Collisions. They include her travel to Las Vegas, San Francisco, Hawaii, Europe, Japan, Ottawa and Disneyland, her ectopic pregnancy, the fallout from her stepfather's illness and subsequent death, issues related to her mother and Kentaro, her father's behaviour, working as a teaching assistant, breaking her foot, her pregnancy in 2014, child care issues and related fatigue and working on her various art projects and exhibitions.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I find that the foregoing collectively and in general caused or increased the plaintiff's pre-existing anxiety, stress, and other psychiatric symptoms. Those symptoms were amplified by the plaintiff feeling overwhelmed by the scope of her thesis work and her need for perfection.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The plaintiff also testified that, as a result, she turned down an opportunity to continue her work as a Teaching Assistant at ECU during December 2011. She was unable to provide any evidence as to how many hours she would have worked. This claim is speculative at best. There is no evidentiary basis for a determination of how much she would have earned had she taken the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The plaintiff's claim for past loss of income earning capacity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The plaintiff claims the sum of $250,000 under this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xml:space="preserve">  The relevant legal principles relating to loss of future earning capacity were recently reiterated by Justice Voith in </w:t>
      </w:r>
      <w:r>
        <w:rPr>
          <w:rFonts w:ascii="arial" w:eastAsia="arial" w:hAnsi="arial" w:cs="arial"/>
          <w:i/>
          <w:color w:val="000000"/>
          <w:sz w:val="20"/>
          <w:lang w:val="en-US" w:eastAsia="en-US" w:bidi="ar-SA"/>
        </w:rPr>
        <w:t>Liu</w:t>
      </w:r>
      <w:r>
        <w:rPr>
          <w:rFonts w:ascii="arial" w:eastAsia="arial" w:hAnsi="arial" w:cs="arial"/>
          <w:color w:val="000000"/>
          <w:sz w:val="20"/>
          <w:lang w:val="en-US" w:eastAsia="en-US" w:bidi="ar-SA"/>
        </w:rPr>
        <w:t xml:space="preserve"> at para. 140 as follows:</w:t>
      </w:r>
      <w:r>
        <w:rPr>
          <w:rFonts w:ascii="arial" w:eastAsia="arial" w:hAnsi="arial" w:cs="arial"/>
          <w:sz w:val="20"/>
          <w:lang w:val="en-US" w:eastAsia="en-US" w:bidi="ar-SA"/>
        </w:rPr>
        <w:cr/>
      </w:r>
    </w:p>
    <w:p>
      <w:pPr>
        <w:numPr>
          <w:numId w:val="3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the extent possible, a plaintiff should be put in the position he/she would have been in,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751"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185, leave to appeal ref'd </w:t>
      </w:r>
      <w:hyperlink r:id="rId752" w:history="1">
        <w:r>
          <w:rPr>
            <w:rFonts w:ascii="arial" w:eastAsia="arial" w:hAnsi="arial" w:cs="arial"/>
            <w:i/>
            <w:color w:val="0077CC"/>
            <w:sz w:val="20"/>
            <w:u w:val="single"/>
            <w:shd w:val="clear" w:color="auto" w:fill="FFFFFF"/>
            <w:lang w:val="en-US" w:eastAsia="en-US" w:bidi="ar-SA"/>
          </w:rPr>
          <w:t>[2009] S.C.C.A. No. 197</w:t>
        </w:r>
      </w:hyperlink>
      <w:r>
        <w:rPr>
          <w:rFonts w:ascii="arial" w:eastAsia="arial" w:hAnsi="arial" w:cs="arial"/>
          <w:color w:val="000000"/>
          <w:sz w:val="20"/>
          <w:lang w:val="en-US" w:eastAsia="en-US" w:bidi="ar-SA"/>
        </w:rPr>
        <w:t>;</w:t>
      </w:r>
    </w:p>
    <w:p>
      <w:pPr>
        <w:numPr>
          <w:numId w:val="3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central task of the Court is to compare the likely future of the plaintiff's working life if the Accident had not occurred with the plaintiff's likely future working life after the Accident;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753"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w:t>
      </w:r>
    </w:p>
    <w:p>
      <w:pPr>
        <w:numPr>
          <w:numId w:val="4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assessment of loss must be based on the evidence, but requires an exercise of judgment and is not a mathematical calculation;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754"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18;</w:t>
      </w:r>
    </w:p>
    <w:p>
      <w:pPr>
        <w:numPr>
          <w:numId w:val="4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two possible approaches to assessment of loss of future earning capacity are the "earnings approach" and the "capital asset approach";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583"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at para. 7 (S.C.); and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473"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paras. 11-12;</w:t>
      </w:r>
    </w:p>
    <w:p>
      <w:pPr>
        <w:numPr>
          <w:numId w:val="4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 either approach, the plaintiff must prove that there is a "real and substantial possibility" of various future events leading to an income loss;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33;</w:t>
      </w:r>
    </w:p>
    <w:p>
      <w:pPr>
        <w:numPr>
          <w:numId w:val="4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earnings approach will be more appropriate when the loss is more easily measurable; </w:t>
      </w:r>
      <w:r>
        <w:rPr>
          <w:rFonts w:ascii="arial" w:eastAsia="arial" w:hAnsi="arial" w:cs="arial"/>
          <w:i/>
          <w:color w:val="000000"/>
          <w:sz w:val="20"/>
          <w:lang w:val="en-US" w:eastAsia="en-US" w:bidi="ar-SA"/>
        </w:rPr>
        <w:t>Westbroek v. Brizuela</w:t>
      </w:r>
      <w:r>
        <w:rPr>
          <w:rFonts w:ascii="arial" w:eastAsia="arial" w:hAnsi="arial" w:cs="arial"/>
          <w:color w:val="000000"/>
          <w:sz w:val="20"/>
          <w:lang w:val="en-US" w:eastAsia="en-US" w:bidi="ar-SA"/>
        </w:rPr>
        <w:t xml:space="preserve">, </w:t>
      </w:r>
      <w:hyperlink r:id="rId755" w:history="1">
        <w:r>
          <w:rPr>
            <w:rFonts w:ascii="arial" w:eastAsia="arial" w:hAnsi="arial" w:cs="arial"/>
            <w:i/>
            <w:color w:val="0077CC"/>
            <w:sz w:val="20"/>
            <w:u w:val="single"/>
            <w:shd w:val="clear" w:color="auto" w:fill="FFFFFF"/>
            <w:lang w:val="en-US" w:eastAsia="en-US" w:bidi="ar-SA"/>
          </w:rPr>
          <w:t>2014 BCCA 48</w:t>
        </w:r>
      </w:hyperlink>
      <w:r>
        <w:rPr>
          <w:rFonts w:ascii="arial" w:eastAsia="arial" w:hAnsi="arial" w:cs="arial"/>
          <w:color w:val="000000"/>
          <w:sz w:val="20"/>
          <w:lang w:val="en-US" w:eastAsia="en-US" w:bidi="ar-SA"/>
        </w:rPr>
        <w:t xml:space="preserve"> at para. 64. Furthermore, while assessing an award for future loss of income is not a purely mathematical exercise, the Court should endeavour to use factual mathematical anchors as a starting foundation to quantify such loss; </w:t>
      </w:r>
      <w:r>
        <w:rPr>
          <w:rFonts w:ascii="arial" w:eastAsia="arial" w:hAnsi="arial" w:cs="arial"/>
          <w:i/>
          <w:color w:val="000000"/>
          <w:sz w:val="20"/>
          <w:lang w:val="en-US" w:eastAsia="en-US" w:bidi="ar-SA"/>
        </w:rPr>
        <w:t>Jurczak v. Mauro</w:t>
      </w:r>
      <w:r>
        <w:rPr>
          <w:rFonts w:ascii="arial" w:eastAsia="arial" w:hAnsi="arial" w:cs="arial"/>
          <w:color w:val="000000"/>
          <w:sz w:val="20"/>
          <w:lang w:val="en-US" w:eastAsia="en-US" w:bidi="ar-SA"/>
        </w:rPr>
        <w:t xml:space="preserve">, </w:t>
      </w:r>
      <w:hyperlink r:id="rId756" w:history="1">
        <w:r>
          <w:rPr>
            <w:rFonts w:ascii="arial" w:eastAsia="arial" w:hAnsi="arial" w:cs="arial"/>
            <w:i/>
            <w:color w:val="0077CC"/>
            <w:sz w:val="20"/>
            <w:u w:val="single"/>
            <w:shd w:val="clear" w:color="auto" w:fill="FFFFFF"/>
            <w:lang w:val="en-US" w:eastAsia="en-US" w:bidi="ar-SA"/>
          </w:rPr>
          <w:t>2013 BCCA 507</w:t>
        </w:r>
      </w:hyperlink>
      <w:r>
        <w:rPr>
          <w:rFonts w:ascii="arial" w:eastAsia="arial" w:hAnsi="arial" w:cs="arial"/>
          <w:color w:val="000000"/>
          <w:sz w:val="20"/>
          <w:lang w:val="en-US" w:eastAsia="en-US" w:bidi="ar-SA"/>
        </w:rPr>
        <w:t xml:space="preserve"> at paras. 36-37.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xml:space="preserve">  As was stated by Justice Finch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583"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at para 8 (S.C.):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means by which the value of the lost, or impaired, asset is to be assessed varies of course from case to case. Some of the considerations to take into account in making that assessment include whether:</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The plaintiff testified that, prior to the Collisions, she was ambitious and destined for success. Her career plan was to complete her Master's degree and become a professional visual and media artist as well as a sessional instructor at a university or equivalent institution. She testified that such instructors are paid between $6,000 and $8,000 per course, per semester, and that they can teach several courses at one time. Her ultimate goal was to become a tenured professor enabling her to both teach and continue her career as a professional artist. However, to do so, an artist must continue to produce new work and exhibit it often.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The plaintiff testified that, as a result of the Collisions, her employment options were thwarted. She is unable to produce her art work as quickly as she had planned. Her capacity to perform her work as a professional visual and media artist has diminished primarily because she can no longer perform the work on her own. Rather, she needs to arrange for others to assist her with moving the required photographic and lighting equipment and related tasks associated with 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The plaintiff testified that, as a result, she has had to alter her plans and lower her expectations. She testified that she believes she is still on her planned career path but that it is proceeding much more slowly as a result of the Collisions and the corresponding loss of momentum. She testified further that she is not eligible to apply for the several grants that are available to artists like her until she completes her Master's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The evidence is overwhelming that the plaintiff is a talented and driven individual who is passionate about teaching and her artwork. I find that the Collisions will have no effect on her ability to meet her career goals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While I accept the functional capacity evaluation opinion of Ms. Tencha as accurately reflecting the plaintiff's ability to function on April 7, 2015, I find that the limitations she found are reflective of the plaintiff's historical pre-First Collision condition, combined with the various stressors that occurred in the plaintiff's life commencing in 2013, and not because of any injuries she suffered in the Collisions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In my view, the evidence falls far short of establishing a real and substantial possibility that the plaintiff will be limited in working in her chosen career as a teacher as a result of the Collisions.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The plaintiff's claim for future loss of earning capacity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The plaintiff claims $275,000 under this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Given my findings that the plaintiff's Collision-related injuries have resolved, I am unable to conclude that there is any real and substantial possibility that the plaintiff will incur any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The plaintiff's claim for cost of future care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The plaintiff claims to have incurred $88,308.18 in respect of her various treatments and housekeeping services. She acknowledges that she would have incurred some of these expenses regardless of the Collisions.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To date, the defendants have paid the plaintiff the following amounts in respect of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078"/>
        <w:gridCol w:w="533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 Housekeeping:</w:t>
            </w:r>
          </w:p>
        </w:tc>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$11,574.32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 Psychological counselling:</w:t>
            </w:r>
          </w:p>
        </w:tc>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$8,150.00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 Physiotherapy:</w:t>
            </w:r>
          </w:p>
        </w:tc>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$707.54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 Chiropractic treatments:</w:t>
            </w:r>
          </w:p>
        </w:tc>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$52.05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 Massage therapy:</w:t>
            </w:r>
          </w:p>
        </w:tc>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$313.95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 Prescription medications:</w:t>
            </w:r>
          </w:p>
        </w:tc>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$173.24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 Miscellaneous expenses:</w:t>
            </w:r>
          </w:p>
        </w:tc>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$1,650.00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52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$22,621.10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The plaintiff claims the difference of $65,687.08 plus additional tuition fees incurred as a result of her delayed thesis in the amount of $7,300 for a total of approximately $73,000.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Apart from the plaintiff's testimony that she incurred these additional expenses, there was no evidence as to the nature of many of the charges and why they were incurred.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I agree with defendants' counsel that many of the claimed special damages are unprecedented in magnitude and have not been shown to have been incurred as a result of the Collisions. For example, no expert was called with respect to the purpose or efficacy of any of the naturopathic treatments and supplements the plaintiff is claiming. I also agree that the amounts paid to date by the defendants fairly compensate the plaintiff for the housekeeping, counselling physiotherapy treatments, chiropractic treatments and massage therapy treatments that the plaintiff reasonably required as a result of the Collisions.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The defendants accept that the following additional amounts should be allowed under this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763"/>
        <w:gridCol w:w="56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 Acupuncture treatments:</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 Pilates treatments:</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553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$6,500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I find this to be reasonable and as such, order an award for special damages for $6,500.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Given the findings set out above, there is no need to address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The plaintiff is entitled to judgment against the defendants, jointly and severally in the following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855"/>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7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 Non-pecuniary Damages:</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7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 Past Loss of Income Earning Capacity:</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7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 Future Loss of Income Earning Capacity:</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7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 Cost of Future Care:</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7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 Special Damages:</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$6,500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7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u w:val="single"/>
                <w:lang w:val="en-US" w:eastAsia="en-US" w:bidi="ar-SA"/>
              </w:rPr>
              <w:t>$66,500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Costs will follow the event at Scale B. However, the parties are at liberty to speak to costs if they wish.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G.C. WEATHERILL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0" style="position:absolute;z-index:2518476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57"/>
          <w:headerReference w:type="default" r:id="rId758"/>
          <w:footerReference w:type="even" r:id="rId759"/>
          <w:footerReference w:type="default" r:id="rId760"/>
          <w:headerReference w:type="first" r:id="rId761"/>
          <w:footerReference w:type="first" r:id="rId76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63" w:history="1">
        <w:r>
          <w:rPr>
            <w:rFonts w:ascii="arial" w:eastAsia="arial" w:hAnsi="arial" w:cs="arial"/>
            <w:b/>
            <w:bCs/>
            <w:i/>
            <w:color w:val="0077CC"/>
            <w:kern w:val="32"/>
            <w:sz w:val="28"/>
            <w:szCs w:val="32"/>
            <w:u w:val="single"/>
            <w:shd w:val="clear" w:color="auto" w:fill="FFFFFF"/>
            <w:lang w:val="en-US" w:eastAsia="en-US" w:bidi="ar-SA"/>
          </w:rPr>
          <w:t>Sivia v. British Columbia (Superintendent of Motor Vehicles), [2012] B.C.J. No. 1438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J.S. Sigurdson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18-20,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12,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S112179, 104900, 104902, 105189 and S118664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Registries: Vancouver and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1438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1030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266 C.R.R. (2d) 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1 W.W.R. 176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36 B.C.L.R. (5th) 360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36 M.V.R. (6th) 235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103 W.C.B. (2d) 390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289 C.C.C. (3d) 476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353 D.L.R. (4th) 351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CarswellBC 2056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Aman Preet Sivia, Petitioner, and British Columbia (Superintendent of Motor Vehicles) and The Attorney General of British Columbia, Respondents And between Carol Marion Beam, Petitioner, and British Columbia (Superintendent of Motor Vehicles), Respondent And between Jamie Allen Chisholm, Petitioner, and British Columbia (Superintendent of Motor Vehicles), Respondent And between Scott Roberts, Petitioner, and British Columbia (Superintendent of Motor Vehicles), Respondent And between Satinder Jaswal, Petitioner, and British Columbia (Superintendent of Motor Vehicles), Attorney General of British Columbia,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1"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5" w:name="Keywords_35"/>
      <w:bookmarkEnd w:id="235"/>
      <w:r>
        <w:rPr>
          <w:rFonts w:ascii="arial" w:eastAsia="arial" w:hAnsi="arial" w:cs="arial"/>
          <w:b/>
          <w:color w:val="000000"/>
          <w:sz w:val="20"/>
          <w:lang w:val="en-US" w:eastAsia="en-US" w:bidi="ar-SA"/>
        </w:rPr>
        <w:t>Constitutional law — Canadian Charter of Rights and Freedoms — Remedies for denial of rights — Appropriate and just in the circumstances — Procedural remedies — Damages — Declaration of rights — Petition by Sivia and three others for personal and monetary remedies dismissed — Prior proceeding determined unconstitutionality of aspects of British Columbia's Automatic Roadside Prohibition regime — Petitioners' request for personal and monetary remedies was defeated by prospective application of declaration of invalidity that represented substantial change in law — Petitioners still liable for fees and suspensions — Alternatively, Charter damages were not available for fees collected under invalid law enacted in absence of bad faith, as doctrine of qualified immunity provided complete defence — Monies collected were regulatory charges rather than taxes — Canadian Charter of Rights and Freedoms, s. 24(1) — Constitution Act, s. 52(1).</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Criminal law — Constitutional issues — Canadian Charter of Rights and Freedoms — Remedies for denial of rights — Appropriate and just in the circumstances — Petition by Sivia and three others for personal and monetary remedies dismissed — Prior proceeding determined unconstitutionality of aspects of British Columbia's Automatic Roadside Prohibition regime — Petitioners' request for personal and monetary remedies was defeated by prospective application of declaration of invalidity that represented substantial change in law — Petitioners still liable for fees and suspensions — Alternatively, Charter damages were not available for fees collected under invalid law enacted in absence of bad faith, as doctrine of qualified immunity provided complete defence — Monies collected were regulatory charges rather than taxes — Canadian Charter of Rights and Freedoms, s. 24(1) — Constitution Act, s. 52(1).</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Transportation law — Proceedings — Constitutional issues — Canadian Charter of Rights and Freedoms — Petition by Sivia and three others for personal and monetary remedies dismissed — Prior proceeding determined unconstitutionality of aspects of British Columbia's Automatic Roadside Prohibition regime — Petitioners' request for personal and monetary remedies was defeated by prospective application of declaration of invalidity that represented substantial change in law — Petitioners still liable for fees and suspensions — Alternatively, Charter damages were not available for fees collected under invalid law enacted in absence of bad faith, as doctrine of qualified immunity provided complete defence — Monies collected were regulatory charges rather than taxes — Canadian Charter of Rights and Freedoms, s. 24(1) — Constitution Act, s. 52(1).</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6" w:name="Case Summary_31"/>
            <w:bookmarkEnd w:id="23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Petition by Sivia and three others for personal and monetary remedies pursuant to s. 24(1) of the Canadian Charter of Rights and Freedoms. The first judgment involving the parties held that certain aspects of the Automatic Roadside Prohibition (ARP) regime enacted through amendments to the Motor Vehicle Act were unconstitutional. The lack of a meaningful process to challenge the results of the search and seizure of a roadside breath sample that led to an automatic 90-day licence suspension and imposed significant penalties and costs on motorists violated s. 8 of the Charter and was not saved by s. 1. The infringement was limited to samples that indicated an illegal blood-alcohol level, and did not apply to searches and seizure of breath samples in the "warn" range. The second judgment involving the parties clarified that the unconstitutionality did not extend to persons who refused a breath sample. It was held that the offending provisions of the ARP regime were severable. The offending provisions were declared unconstitutional with the declaration suspended for six months. The predicate judgment addressed whether the successful petitioners were entitled to personal and monetary remedies, including declaratory and extraordinary relief, damages, restitution, and recovery of taxes, as a result of the operation of the unconstitutional law.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7" w:name="Holdings of Court_28"/>
            <w:bookmarkEnd w:id="237"/>
            <w:r>
              <w:rPr>
                <w:rFonts w:ascii="arial" w:eastAsia="arial" w:hAnsi="arial" w:cs="arial"/>
                <w:color w:val="000000"/>
                <w:sz w:val="20"/>
                <w:lang w:val="en-US" w:eastAsia="en-US" w:bidi="ar-SA"/>
              </w:rPr>
              <w:t>HELD: Petition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declaration of constitutional invalidity granted in the first judgment represented a substantial change in the law and was thus applied prospectively rather than retroactively. Because the declaration of invalidity was prospective, the petitioners were not entitled to the monetary and personal remedies sought, as the law was valid at the time it applied to the petitioners. The finding of prospective application served as a complete answer to the petitioners' damages claims and claims for return of monies and other expenses. Thus, any petitioner with outstanding fees or penalties was still liable for payment, and still required to serve any outstanding suspensions. Alternatively, it was not appropriate and just to order Charter damages pursuant to s. 24(1). The government did not engage in misconduct or act in bad faith in enacting the ARP regime. The doctrine of qualified immunity provided a complete defence to claims based on monies collected under an invalid law enacted in bad faith, and with respect to the claim for restitution on the basis of the principle of unjust enrichment. The monies collected from the petitioners were regulatory charges rather than taxes and were therefore not recoverable.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8" w:name="Legislation Cited_29"/>
      <w:bookmarkEnd w:id="23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2" style="position:absolute;z-index:2517463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Charter of Rights and Freedoms, 1982, R.S.C. 1985, App. II, No. 44, Schedule B, s. 1, s. 8, s. 10(b), s. 11(d), s. 24(1)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Constitution Act, 1982, R.S.C. 1985, App. II, No. 44, Schedule B, s. 52, s. 52(1)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764" w:history="1">
        <w:r>
          <w:rPr>
            <w:rFonts w:ascii="arial" w:eastAsia="arial" w:hAnsi="arial" w:cs="arial"/>
            <w:i/>
            <w:color w:val="0077CC"/>
            <w:sz w:val="20"/>
            <w:u w:val="single"/>
            <w:shd w:val="clear" w:color="auto" w:fill="FFFFFF"/>
            <w:lang w:val="en-US" w:eastAsia="en-US" w:bidi="ar-SA"/>
          </w:rPr>
          <w:t>RSBC 1996, CHAPTER 318, s. 215.41</w:t>
        </w:r>
      </w:hyperlink>
      <w:r>
        <w:rPr>
          <w:rFonts w:ascii="arial" w:eastAsia="arial" w:hAnsi="arial" w:cs="arial"/>
          <w:color w:val="000000"/>
          <w:sz w:val="20"/>
          <w:lang w:val="en-US" w:eastAsia="en-US" w:bidi="ar-SA"/>
        </w:rPr>
        <w:t>(3)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9" w:name="Counsel_35"/>
      <w:bookmarkEnd w:id="23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3" style="position:absolute;z-index:251797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Petitioner, Aman Sivia: No appearance.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Petitioners, Carol Marion Beam, Jamie Allen Chisholm, and Scott Roberts: Jeremy G. Carr, Sacha Roudett, 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Petitioner, Satinder Jaswal: Diego Solimano.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Respondents in all proceedings: George H. Copley, Q.C., Robert Mullett.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0" w:name="Judgment_35"/>
      <w:bookmarkEnd w:id="240"/>
      <w:r>
        <w:pict>
          <v:line id="_x0000_s1204" style="position:absolute;z-index:2518487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1" w:name="J.S. SIGURDSON J."/>
            <w:bookmarkEnd w:id="241"/>
            <w:r>
              <w:rPr>
                <w:rFonts w:ascii="arial" w:eastAsia="arial" w:hAnsi="arial" w:cs="arial"/>
                <w:b/>
                <w:color w:val="000000"/>
                <w:sz w:val="30"/>
                <w:lang w:val="en-US" w:eastAsia="en-US" w:bidi="ar-SA"/>
              </w:rPr>
              <w:t>J.S. SIGURDSON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Sivia v. British Columbia (Superintendent of Motor Vehicles),</w:t>
      </w:r>
      <w:r>
        <w:rPr>
          <w:rFonts w:ascii="arial" w:eastAsia="arial" w:hAnsi="arial" w:cs="arial"/>
          <w:color w:val="000000"/>
          <w:sz w:val="20"/>
          <w:lang w:val="en-US" w:eastAsia="en-US" w:bidi="ar-SA"/>
        </w:rPr>
        <w:t xml:space="preserve"> </w:t>
      </w:r>
      <w:hyperlink r:id="rId765" w:history="1">
        <w:r>
          <w:rPr>
            <w:rFonts w:ascii="arial" w:eastAsia="arial" w:hAnsi="arial" w:cs="arial"/>
            <w:i/>
            <w:color w:val="0077CC"/>
            <w:sz w:val="20"/>
            <w:u w:val="single"/>
            <w:shd w:val="clear" w:color="auto" w:fill="FFFFFF"/>
            <w:lang w:val="en-US" w:eastAsia="en-US" w:bidi="ar-SA"/>
          </w:rPr>
          <w:t>2011 BCSC 1639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Sivia</w:t>
      </w:r>
      <w:r>
        <w:rPr>
          <w:rFonts w:ascii="arial" w:eastAsia="arial" w:hAnsi="arial" w:cs="arial"/>
          <w:color w:val="000000"/>
          <w:sz w:val="20"/>
          <w:lang w:val="en-US" w:eastAsia="en-US" w:bidi="ar-SA"/>
        </w:rPr>
        <w:t xml:space="preserve"> #1], I considered arguments that certain aspects of the amendments to British Columbia's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which created the "Automatic" or "Immediate" Roadside Prohibition regime ("ARP regime" for the purposes of this decision), were unconstitutional. I held that the ARP regime was compliant with the Constitution from a division of powers perspective, and that it did not violate s. 11(d)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because it did not create an "offence" as required by that section. I also held that although there was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a violation of s. 10(b), the regime was saved by operation of s. 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However, I held that in certain cases, because of the lack of a meaningful way to challenge the results of the search and seizure of the roadside breath sample, the ARP regime violated s. 8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and was not saved by s. 1 (at para.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find the ARP legislation infringes s. 8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in the limited circumstance where, on the basis of a search of breath by an approved roadside screening device, a 90-day license suspension as well as significant penalties and costs are imposed on motorists who allegedly blow over 0.08, without those persons being able to meaningfully challenge the results of the search. I also find that the infringement is not saved under s. 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The Province has failed to demonstrate that it constitutes a reasonable limit on the right to be free from unreasonable search and seizure.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held that this infringement of s. 8 did not apply to searches and seizures of breath samples in the "warn" or 0.05-0.08 range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After hearing submissions on the correct form of the formal order that should ensue from the above decision, I clarified in </w:t>
      </w:r>
      <w:r>
        <w:rPr>
          <w:rFonts w:ascii="arial" w:eastAsia="arial" w:hAnsi="arial" w:cs="arial"/>
          <w:i/>
          <w:color w:val="000000"/>
          <w:sz w:val="20"/>
          <w:lang w:val="en-US" w:eastAsia="en-US" w:bidi="ar-SA"/>
        </w:rPr>
        <w:t>Sivia v. British Columbia (Superintendent of Motor Vehicles),</w:t>
      </w:r>
      <w:r>
        <w:rPr>
          <w:rFonts w:ascii="arial" w:eastAsia="arial" w:hAnsi="arial" w:cs="arial"/>
          <w:color w:val="000000"/>
          <w:sz w:val="20"/>
          <w:lang w:val="en-US" w:eastAsia="en-US" w:bidi="ar-SA"/>
        </w:rPr>
        <w:t xml:space="preserve"> </w:t>
      </w:r>
      <w:hyperlink r:id="rId766" w:history="1">
        <w:r>
          <w:rPr>
            <w:rFonts w:ascii="arial" w:eastAsia="arial" w:hAnsi="arial" w:cs="arial"/>
            <w:i/>
            <w:color w:val="0077CC"/>
            <w:sz w:val="20"/>
            <w:u w:val="single"/>
            <w:shd w:val="clear" w:color="auto" w:fill="FFFFFF"/>
            <w:lang w:val="en-US" w:eastAsia="en-US" w:bidi="ar-SA"/>
          </w:rPr>
          <w:t>2011 BCSC 1783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Sivia</w:t>
      </w:r>
      <w:r>
        <w:rPr>
          <w:rFonts w:ascii="arial" w:eastAsia="arial" w:hAnsi="arial" w:cs="arial"/>
          <w:color w:val="000000"/>
          <w:sz w:val="20"/>
          <w:lang w:val="en-US" w:eastAsia="en-US" w:bidi="ar-SA"/>
        </w:rPr>
        <w:t xml:space="preserve"> #2], that the unconstitutionality of the legislation did not extend to persons who refused to provide a breath sample. Further, I held that the offending portions of the ARP regime were severable from both the regime and the broader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(at para. 6 of </w:t>
      </w:r>
      <w:r>
        <w:rPr>
          <w:rFonts w:ascii="arial" w:eastAsia="arial" w:hAnsi="arial" w:cs="arial"/>
          <w:i/>
          <w:color w:val="000000"/>
          <w:sz w:val="20"/>
          <w:lang w:val="en-US" w:eastAsia="en-US" w:bidi="ar-SA"/>
        </w:rPr>
        <w:t>Sivia</w:t>
      </w:r>
      <w:r>
        <w:rPr>
          <w:rFonts w:ascii="arial" w:eastAsia="arial" w:hAnsi="arial" w:cs="arial"/>
          <w:color w:val="000000"/>
          <w:sz w:val="20"/>
          <w:lang w:val="en-US" w:eastAsia="en-US" w:bidi="ar-SA"/>
        </w:rPr>
        <w:t xml:space="preserve"> #2). I declared the severed provisions of the regime to be unconstitutional and of no force and effect in accordance with s. 52 of the </w:t>
      </w:r>
      <w:r>
        <w:rPr>
          <w:rFonts w:ascii="arial" w:eastAsia="arial" w:hAnsi="arial" w:cs="arial"/>
          <w:i/>
          <w:color w:val="000000"/>
          <w:sz w:val="20"/>
          <w:lang w:val="en-US" w:eastAsia="en-US" w:bidi="ar-SA"/>
        </w:rPr>
        <w:t>Constitution Act, 1982</w:t>
      </w:r>
      <w:r>
        <w:rPr>
          <w:rFonts w:ascii="arial" w:eastAsia="arial" w:hAnsi="arial" w:cs="arial"/>
          <w:color w:val="000000"/>
          <w:sz w:val="20"/>
          <w:lang w:val="en-US" w:eastAsia="en-US" w:bidi="ar-SA"/>
        </w:rPr>
        <w:t>, and I suspended that declaration of invalidity for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Because of the complexity of the legal framework surrounding constitutional remedies, the parties returned in April of this year to make submissions on this topic. This decision will address the potential remedies available to the particular petitioners who were successful, at least in part, in showing that the ARP regime, as it was, was unconstitutional. I note that since my decision on November 20, 2011, the government has amended the legislation and purports to address my findings of unconstitutionality.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this proceeding, four of the petitioners were successful in obtaining a declaration that the ARP was, in part, unconstitutional. As a result, they now seek what has been described in argument as "personal and monetary remedies"; the latter being damages, restitutionary remedies, and recovery of allegedly unlawful taxes recovered under invalid legislation. Counsel for the Province says that the petitioners, although successful, are not entitled to any monetary remedies or any other personal remedies.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Procedural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Counsel for the Province argues that there are procedural flaws in the petitioners' advancement of damage claims absent a proceeding properly commenced by writ (notice of civil claim under the current Rules), oral and documentary discovery, and further evidence. However, he says that the Court could nevertheless determine the entitlement of these petitioners to the various heads of damage claimed by them. Counsel for the petitioners agrees that issues of entitlement to various heads of damages can be determined in this proceeding, and I also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Accordingly, I will proceed to discuss the potential entitlement of the petitioners to the various heads of relief they have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 The Petitioners'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successful four individual petitioners seek what I will refer to as personal remedies of the following nature:</w:t>
      </w:r>
      <w:r>
        <w:rPr>
          <w:rFonts w:ascii="arial" w:eastAsia="arial" w:hAnsi="arial" w:cs="arial"/>
          <w:sz w:val="20"/>
          <w:lang w:val="en-US" w:eastAsia="en-US" w:bidi="ar-SA"/>
        </w:rPr>
        <w:cr/>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declaration that the ARP regime infringes their right to be secure against unreasonable search and seizure, and is of no force and effect due to its inconsistencies with the rights and freedoms guaranteed by s. 8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order in the nature of </w:t>
      </w:r>
      <w:r>
        <w:rPr>
          <w:rFonts w:ascii="arial" w:eastAsia="arial" w:hAnsi="arial" w:cs="arial"/>
          <w:i/>
          <w:color w:val="000000"/>
          <w:sz w:val="20"/>
          <w:lang w:val="en-US" w:eastAsia="en-US" w:bidi="ar-SA"/>
        </w:rPr>
        <w:t>certiorari</w:t>
      </w:r>
      <w:r>
        <w:rPr>
          <w:rFonts w:ascii="arial" w:eastAsia="arial" w:hAnsi="arial" w:cs="arial"/>
          <w:color w:val="000000"/>
          <w:sz w:val="20"/>
          <w:lang w:val="en-US" w:eastAsia="en-US" w:bidi="ar-SA"/>
        </w:rPr>
        <w:t xml:space="preserve"> quashing each applicant petitioner's ARP, monetary penalties and vehicle impoundment;</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order in the nature of </w:t>
      </w:r>
      <w:r>
        <w:rPr>
          <w:rFonts w:ascii="arial" w:eastAsia="arial" w:hAnsi="arial" w:cs="arial"/>
          <w:i/>
          <w:color w:val="000000"/>
          <w:sz w:val="20"/>
          <w:lang w:val="en-US" w:eastAsia="en-US" w:bidi="ar-SA"/>
        </w:rPr>
        <w:t>certiorari</w:t>
      </w:r>
      <w:r>
        <w:rPr>
          <w:rFonts w:ascii="arial" w:eastAsia="arial" w:hAnsi="arial" w:cs="arial"/>
          <w:color w:val="000000"/>
          <w:sz w:val="20"/>
          <w:lang w:val="en-US" w:eastAsia="en-US" w:bidi="ar-SA"/>
        </w:rPr>
        <w:t xml:space="preserve"> setting aside the decision of the delegate of the Superintendent that confirmed each petitioner's ARP, corresponding monetary penalties, and vehicle impoundments.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applicants further seek monetary remedies which can be broken down as follows:</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restitution by way of the reimbursement of</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administrative penalties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driver's license reinstatement fees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vehicle towing and storage fees</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for counselling required by the Responsible Driver's Program</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interlock installation and maintenance fees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for alternative transportation</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legal fees and disbursements for disputing the prohibitions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use of vehicle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income</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compensatory damages</w:t>
      </w:r>
    </w:p>
    <w:p>
      <w:pPr>
        <w:numPr>
          <w:numId w:val="1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damages</w:t>
      </w:r>
    </w:p>
    <w:p>
      <w:pPr>
        <w:numPr>
          <w:numId w:val="19"/>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w:t>
      </w:r>
    </w:p>
    <w:p>
      <w:pPr>
        <w:numPr>
          <w:numId w:val="20"/>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petitioners also specifically seek removal of the interlock device from their vehicles, and removal of any reference to the issuances of an IRP/ARP from each of their driving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 The 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four successful petitioners seek monetary and non-monetary compensatory orders for losses they say were incurred as a result of the operation of an unconstitutional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They argue that the declaration of invalidity should be retroactive to the date of the law's passage in accordance with </w:t>
      </w:r>
      <w:r>
        <w:rPr>
          <w:rFonts w:ascii="arial" w:eastAsia="arial" w:hAnsi="arial" w:cs="arial"/>
          <w:i/>
          <w:color w:val="000000"/>
          <w:sz w:val="20"/>
          <w:lang w:val="en-US" w:eastAsia="en-US" w:bidi="ar-SA"/>
        </w:rPr>
        <w:t>Canada (Attorney General) v. Hislop</w:t>
      </w:r>
      <w:r>
        <w:rPr>
          <w:rFonts w:ascii="arial" w:eastAsia="arial" w:hAnsi="arial" w:cs="arial"/>
          <w:color w:val="000000"/>
          <w:sz w:val="20"/>
          <w:lang w:val="en-US" w:eastAsia="en-US" w:bidi="ar-SA"/>
        </w:rPr>
        <w:t xml:space="preserve">, </w:t>
      </w:r>
      <w:hyperlink r:id="rId767" w:history="1">
        <w:r>
          <w:rPr>
            <w:rFonts w:ascii="arial" w:eastAsia="arial" w:hAnsi="arial" w:cs="arial"/>
            <w:i/>
            <w:color w:val="0077CC"/>
            <w:sz w:val="20"/>
            <w:u w:val="single"/>
            <w:shd w:val="clear" w:color="auto" w:fill="FFFFFF"/>
            <w:lang w:val="en-US" w:eastAsia="en-US" w:bidi="ar-SA"/>
          </w:rPr>
          <w:t>2007 SCC 10</w:t>
        </w:r>
      </w:hyperlink>
      <w:r>
        <w:rPr>
          <w:rFonts w:ascii="arial" w:eastAsia="arial" w:hAnsi="arial" w:cs="arial"/>
          <w:color w:val="000000"/>
          <w:sz w:val="20"/>
          <w:lang w:val="en-US" w:eastAsia="en-US" w:bidi="ar-SA"/>
        </w:rPr>
        <w:t xml:space="preserve">. The petitioners also say that in accordance with </w:t>
      </w:r>
      <w:r>
        <w:rPr>
          <w:rFonts w:ascii="arial" w:eastAsia="arial" w:hAnsi="arial" w:cs="arial"/>
          <w:i/>
          <w:color w:val="000000"/>
          <w:sz w:val="20"/>
          <w:lang w:val="en-US" w:eastAsia="en-US" w:bidi="ar-SA"/>
        </w:rPr>
        <w:t>Vancouver (City) v. Ward</w:t>
      </w:r>
      <w:r>
        <w:rPr>
          <w:rFonts w:ascii="arial" w:eastAsia="arial" w:hAnsi="arial" w:cs="arial"/>
          <w:color w:val="000000"/>
          <w:sz w:val="20"/>
          <w:lang w:val="en-US" w:eastAsia="en-US" w:bidi="ar-SA"/>
        </w:rPr>
        <w:t xml:space="preserve">, </w:t>
      </w:r>
      <w:hyperlink r:id="rId614" w:history="1">
        <w:r>
          <w:rPr>
            <w:rFonts w:ascii="arial" w:eastAsia="arial" w:hAnsi="arial" w:cs="arial"/>
            <w:i/>
            <w:color w:val="0077CC"/>
            <w:sz w:val="20"/>
            <w:u w:val="single"/>
            <w:shd w:val="clear" w:color="auto" w:fill="FFFFFF"/>
            <w:lang w:val="en-US" w:eastAsia="en-US" w:bidi="ar-SA"/>
          </w:rPr>
          <w:t>2010 SCC 27</w:t>
        </w:r>
      </w:hyperlink>
      <w:r>
        <w:rPr>
          <w:rFonts w:ascii="arial" w:eastAsia="arial" w:hAnsi="arial" w:cs="arial"/>
          <w:color w:val="000000"/>
          <w:sz w:val="20"/>
          <w:lang w:val="en-US" w:eastAsia="en-US" w:bidi="ar-SA"/>
        </w:rPr>
        <w:t xml:space="preserve">, it would be "just and appropriate" for them to receive an award for damages under s.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In the circumstances, they say it is not appropriate to find that the Province has qualified immunity or any other defences to the repayment of any monies received from the petitioners. In addition, the petitioners say that some of the monies collected from them are recoverable either as taxes collected under an invalid law, or under principles of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Province says that the petitioners are not entitled to personal remedies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normal rule, it says, is that when there is a declaration of invalidity a damage claim will not be appropriate. Moreover, not only is there no proper basis for entitlement to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the declaration of invalidity of the unconstitutional part of the ARP regime should also not be retroactive. Although the Province says that if the decision is found not to be retroactive that will be a complete answer to the petitioner's claims, even if the decision is retroactive it says there are defences to the individual claims, including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doctrine, and qualified immunity. Moreover, the Province argues that the monies collected were not "taxes" as that term is used in the jurisprudence, and a simple declaration of invalidity does not mean that they are recoverable as such. Finally, the Province says any monies collected are not recoverable under principles of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 Facts Surrounding Each Petitioner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 number of the petitioners who seek individual remedies on this application have served a significant amount of their 90 day roadside suspensions, but the balance of the suspensions have been stayed pending the determination of the issues in this petition. To put in context the remedies that the petitioners are seeking, let me deal specifically with each of the petitioners who are before me on this further application: Carol Marion Beam, Jamie Allen Chisholm, Scott Roberts, and Satinder Jaswal. Aman Sivia is not before me because his roadside suspension arose from failing to provide a breath sample; which provision of the ARP regime I found not to be unconstitutional.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Carol Beam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Carol Beam received a driving prohibition under s. 215.41(3)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for allegedly registering a "fail" on a roadside screening device and was prohibited from driving for 90 days. Her vehicle was towed and impounded for 34 days, for a total bill of $714.88 (including HST). She requested a written review of her driving prohibition at a prescribed fee of $100. On October 21, 2010 the Superintendent confirmed the driving prohibition, the monetary penalty and the impoundment. Her record for the previous five years had no restrictions, but she was advised by the Superintendent on November 3, 2010 that she was required to participate in the Ignition Interlock Program and the Responsible Driver Program. The Guardian Interlock Company arranges the ignition interlock device at an estimated cost of $1,730 per vehicle. The registration fee for the Responsible Driver Program available through Stroh Healthcare is $985.60. She deferred her obligations under the program until her petition had been resolved. She has paid the $500 penalty and to reinstate her license was required to pay $250. She deposed that she missed six days of work with her employer at a total loss of $584.28. As a result of being prohibited from driving for 90 days, she hired a driver in order to go to work at a cost of $1,020 for his time and gas expenses. She claims she has suffered professional embarrassment and anxiety and that the total cost, including towing, the Superintendent review, monetary penalty, driving license reinstatement, loss of income, and a hired driver, totalled $6,869.16. This includes legal fees of $3,700 (including$440 filing fees) and does not include the possible referral to remedial programs.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Jamie Chisholm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Jamie Chisholm received a driving prohibition under s. 215.41(3)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for allegedly registering a "fail" on a roadside screening device on October 15, 2010, and was prohibited from driving for 90 days. He received a bill for $710 for the towing of his vehicle to the compound and impoundment for 33 days, he paid the $100 bill for the Superintendent's review, and will incur the $1,730 per vehicle fee for the Guardian Interlock Program, and the $985.60 charge for the Responsible Driver Program. Mr. Chisholm received a stay of his driving prohibition 84 days into the 90 day prohibition, and deposed that he was forced to forego 84 days of wages at a total cost of $16,500. Including lost income, towing and impound fees, the review fee, legal fees of $2,200 (including $440 filing fees), and monetary penalty and driving license reinstatement fees, but not including possible referral back to the remedial programs, Mr. Chisholm claims a loss of $19,510.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Scott Roberts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On October 17, 2010, Scott Roberts received a driving prohibition under s. 215.41(3)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for allegedly registering a "fail" on a roadside screening device. His vehicle was towed to a compound, and because he could not afford the full cost of the prescribed 30 day impoundment, his recourse, he deposed, was to consent to its early disposal so that his vehicle was destroyed at a cost of $476.03. He estimates the vehicle was worth $5,000. He incurred, as well, the fee for the review of his driving prohibition, the registration fee of $985.60 for the Responsible Driver Program through Stroh Healthcare, and the cost of $1,730 per year per vehicle to Guardian Interlock Company for the mandatory installation and servicing of the ignition interlock device. Mr. Roberts, a truck driver for 16 years, obtained a stay after serving 80 days of the 90 day prohibition, and claims lost wages of $18,666.66, and total costs of $27,942.69, which includes towing and impoundment fees, vehicle loss, loss of income, and legal fees.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Satinder Jaswal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Satinder Jaswal, owns a restaurant. On August 26, 2011 he was stopped by the police and registered a "fail" on a roadside screening device (ASD). He did not apply within the 7 day period for a review by the Superintendent, but later did apply for an extension of time. That application for an extension was denied on October 5, 2011. He says that he has incurred administrative expenses in excess of $4,000 including towing and storage fees, administrative penalties, a driver's license reinstatement fee, the Responsible Driver Program fee, ignition interlock installation fees, as well as additional expenses in excess of $1,000 relating to alternative transportation and the cost of having extra staff in his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question of possible remedies when a law is declared unconstitutional starts with a consideration of whether the declaration of invalidity should be retroactive. In the case at bar, I must then consider whether damages are appropriate under s. 24(1), and, even if the declaration of invalidity is retroactive, whether such remedies are prohibited by other defences available to the Province. I also need to consider whether any payments made by the petitioners are recoverable as taxes under an invalid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discussing whether the effect of the declaration of invalidity should be retroactive I will consider the decision of the Supreme Court of Canada in </w:t>
      </w:r>
      <w:r>
        <w:rPr>
          <w:rFonts w:ascii="arial" w:eastAsia="arial" w:hAnsi="arial" w:cs="arial"/>
          <w:i/>
          <w:color w:val="000000"/>
          <w:sz w:val="20"/>
          <w:lang w:val="en-US" w:eastAsia="en-US" w:bidi="ar-SA"/>
        </w:rPr>
        <w:t>Hislop</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which is a good starting point for this discussion about remedies under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 will also discuss </w:t>
      </w:r>
      <w:r>
        <w:rPr>
          <w:rFonts w:ascii="arial" w:eastAsia="arial" w:hAnsi="arial" w:cs="arial"/>
          <w:i/>
          <w:color w:val="000000"/>
          <w:sz w:val="20"/>
          <w:lang w:val="en-US" w:eastAsia="en-US" w:bidi="ar-SA"/>
        </w:rPr>
        <w:t>Schachter v. Canada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2 S.C.R. 679</w:t>
      </w:r>
      <w:r>
        <w:rPr>
          <w:rFonts w:ascii="arial" w:eastAsia="arial" w:hAnsi="arial" w:cs="arial"/>
          <w:color w:val="000000"/>
          <w:sz w:val="20"/>
          <w:lang w:val="en-US" w:eastAsia="en-US" w:bidi="ar-SA"/>
        </w:rPr>
        <w:t>, which discusses the issue of whether individual remedies are available in conjunction with a declaration of invalidity.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Section 52 of the </w:t>
      </w:r>
      <w:r>
        <w:rPr>
          <w:rFonts w:ascii="arial" w:eastAsia="arial" w:hAnsi="arial" w:cs="arial"/>
          <w:i/>
          <w:color w:val="000000"/>
          <w:sz w:val="20"/>
          <w:lang w:val="en-US" w:eastAsia="en-US" w:bidi="ar-SA"/>
        </w:rPr>
        <w:t>Constitution Act, 1982</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numPr>
          <w:numId w:val="21"/>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 The Constitution of Canada is the supreme law of Canada, and any law that is inconsistent with the provisions of the Constitution is, to the extent of the inconsistency, of no force or effect.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The Constitution of Canada includes</w:t>
      </w:r>
    </w:p>
    <w:p>
      <w:pPr>
        <w:numPr>
          <w:numId w:val="22"/>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Canada Act 1982</w:t>
      </w:r>
      <w:r>
        <w:rPr>
          <w:rFonts w:ascii="arial" w:eastAsia="arial" w:hAnsi="arial" w:cs="arial"/>
          <w:color w:val="000000"/>
          <w:sz w:val="20"/>
          <w:lang w:val="en-US" w:eastAsia="en-US" w:bidi="ar-SA"/>
        </w:rPr>
        <w:t>, including this Act;</w:t>
      </w:r>
    </w:p>
    <w:p>
      <w:pPr>
        <w:numPr>
          <w:numId w:val="22"/>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Acts and orders referred to in the schedule; and</w:t>
      </w:r>
    </w:p>
    <w:p>
      <w:pPr>
        <w:numPr>
          <w:numId w:val="22"/>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amendment to any Act or order referred to in paragraph (a) or (b).</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Amendments to the Constitution of Canada shall be made only in accordance with the authority contained in the Constitution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Section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 Anyone whose rights or freedoms, as guaranteed by this Charter, have been infringed or denied may apply to a court of competent jurisdiction to obtain such remedy as the court considers appropriate and just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Hislop</w:t>
      </w:r>
      <w:r>
        <w:rPr>
          <w:rFonts w:ascii="arial" w:eastAsia="arial" w:hAnsi="arial" w:cs="arial"/>
          <w:color w:val="000000"/>
          <w:sz w:val="20"/>
          <w:lang w:val="en-US" w:eastAsia="en-US" w:bidi="ar-SA"/>
        </w:rPr>
        <w:t xml:space="preserve">, LeBel and Rothstein JJ, for the Court, discussed the question of retrospective and prospective remedies under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and said (at paras. 81-82):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81 The Constitution empowers courts to issue constitutional remedies with </w:t>
      </w:r>
      <w:r>
        <w:rPr>
          <w:rFonts w:ascii="arial" w:eastAsia="arial" w:hAnsi="arial" w:cs="arial"/>
          <w:i/>
          <w:color w:val="000000"/>
          <w:sz w:val="20"/>
          <w:lang w:val="en-US" w:eastAsia="en-US" w:bidi="ar-SA"/>
        </w:rPr>
        <w:t>both</w:t>
      </w:r>
      <w:r>
        <w:rPr>
          <w:rFonts w:ascii="arial" w:eastAsia="arial" w:hAnsi="arial" w:cs="arial"/>
          <w:color w:val="000000"/>
          <w:sz w:val="20"/>
          <w:lang w:val="en-US" w:eastAsia="en-US" w:bidi="ar-SA"/>
        </w:rPr>
        <w:t xml:space="preserve"> retroactive and prospective effects: see, e.g., </w:t>
      </w:r>
      <w:r>
        <w:rPr>
          <w:rFonts w:ascii="arial" w:eastAsia="arial" w:hAnsi="arial" w:cs="arial"/>
          <w:i/>
          <w:color w:val="000000"/>
          <w:sz w:val="20"/>
          <w:lang w:val="en-US" w:eastAsia="en-US" w:bidi="ar-SA"/>
        </w:rPr>
        <w:t>Schachter v. Canada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2 S.C.R. 679</w:t>
      </w:r>
      <w:r>
        <w:rPr>
          <w:rFonts w:ascii="arial" w:eastAsia="arial" w:hAnsi="arial" w:cs="arial"/>
          <w:color w:val="000000"/>
          <w:sz w:val="20"/>
          <w:lang w:val="en-US" w:eastAsia="en-US" w:bidi="ar-SA"/>
        </w:rPr>
        <w:t xml:space="preserve">, at p. 719. Section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enables individuals who have had their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violated to seek redress for those past wrongs and "obtain such remedy as the court considers appropriate and just". Section 24(1) may also, in some situations, enable the claimant to recover damages, which are necessarily retroactive: </w:t>
      </w:r>
      <w:r>
        <w:rPr>
          <w:rFonts w:ascii="arial" w:eastAsia="arial" w:hAnsi="arial" w:cs="arial"/>
          <w:i/>
          <w:color w:val="000000"/>
          <w:sz w:val="20"/>
          <w:lang w:val="en-US" w:eastAsia="en-US" w:bidi="ar-SA"/>
        </w:rPr>
        <w:t>Schachter</w:t>
      </w:r>
      <w:r>
        <w:rPr>
          <w:rFonts w:ascii="arial" w:eastAsia="arial" w:hAnsi="arial" w:cs="arial"/>
          <w:color w:val="000000"/>
          <w:sz w:val="20"/>
          <w:lang w:val="en-US" w:eastAsia="en-US" w:bidi="ar-SA"/>
        </w:rPr>
        <w:t>, at pp. 725-26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82 Section 52(1) instructs courts to declare unconstitutional legislation of no force or effect. When a court issues a declaration of invalidity, it declares that, henceforth, the unconstitutional law cannot be enforced. The nullification of a law is thus prospective. However, s. 52(1) may also operate retroactively so far as the parties are concerned, reaching into the past to annul the effects of the unconstitutional law: see, e.g., </w:t>
      </w:r>
      <w:r>
        <w:rPr>
          <w:rFonts w:ascii="arial" w:eastAsia="arial" w:hAnsi="arial" w:cs="arial"/>
          <w:i/>
          <w:color w:val="000000"/>
          <w:sz w:val="20"/>
          <w:lang w:val="en-US" w:eastAsia="en-US" w:bidi="ar-SA"/>
        </w:rPr>
        <w:t>Miron v. Trudel</w:t>
      </w:r>
      <w:r>
        <w:rPr>
          <w:rFonts w:ascii="arial" w:eastAsia="arial" w:hAnsi="arial" w:cs="arial"/>
          <w:color w:val="000000"/>
          <w:sz w:val="20"/>
          <w:lang w:val="en-US" w:eastAsia="en-US" w:bidi="ar-SA"/>
        </w:rPr>
        <w:t xml:space="preserve">, </w:t>
      </w:r>
      <w:hyperlink r:id="rId768" w:history="1">
        <w:r>
          <w:rPr>
            <w:rFonts w:ascii="arial" w:eastAsia="arial" w:hAnsi="arial" w:cs="arial"/>
            <w:i/>
            <w:color w:val="0077CC"/>
            <w:sz w:val="20"/>
            <w:u w:val="single"/>
            <w:shd w:val="clear" w:color="auto" w:fill="FFFFFF"/>
            <w:lang w:val="en-US" w:eastAsia="en-US" w:bidi="ar-SA"/>
          </w:rPr>
          <w:t>[1995] 2 S.C.R. 418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Schachter</w:t>
      </w:r>
      <w:r>
        <w:rPr>
          <w:rFonts w:ascii="arial" w:eastAsia="arial" w:hAnsi="arial" w:cs="arial"/>
          <w:color w:val="000000"/>
          <w:sz w:val="20"/>
          <w:lang w:val="en-US" w:eastAsia="en-US" w:bidi="ar-SA"/>
        </w:rPr>
        <w:t>, Chief Justice Lamer for the Court discussed the availability of an individual remedy under s. 24 when there has been a declaration of invalidity, and said (at 720):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individual remedy under s.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will rarely be available in conjunction with action under s. 52 of the </w:t>
      </w:r>
      <w:r>
        <w:rPr>
          <w:rFonts w:ascii="arial" w:eastAsia="arial" w:hAnsi="arial" w:cs="arial"/>
          <w:i/>
          <w:color w:val="000000"/>
          <w:sz w:val="20"/>
          <w:lang w:val="en-US" w:eastAsia="en-US" w:bidi="ar-SA"/>
        </w:rPr>
        <w:t>Constitution Act</w:t>
      </w:r>
      <w:r>
        <w:rPr>
          <w:rFonts w:ascii="arial" w:eastAsia="arial" w:hAnsi="arial" w:cs="arial"/>
          <w:color w:val="000000"/>
          <w:sz w:val="20"/>
          <w:lang w:val="en-US" w:eastAsia="en-US" w:bidi="ar-SA"/>
        </w:rPr>
        <w:t>, 1982. Ordinarily, where a provision is declared unconstitutional and immediately struck down pursuant to s. 52, that will be the end of the matter. No retroactive s. 24 remedy will be available. It follows that where the declaration of invalidity is temporarily suspended, a s. 24 remedy will not often be available either. To allow for s. 24 remedies during the period of suspension would be tantamount to giving the declaration of invalidity retroactive effect. Finally, if a court takes the course of reading down or in, a s. 24 remedy would probably only duplicate the relief flowing from the action that court has already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Mr. Copley, counsel for the Province, suggests that the reason there is rarely an individual remedy under s. 24(1) when there is a declaration of invalidity under s. 52 is because of the protection that the legislature has under the doctrine of qualified immunity and/or the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doctrine. The foundation of these defences in the case at bar is that the acts of government and its agents that form the basis of the individual petitioners' claims for relief were, in fact, lawful at the time they were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A case that the Province says provides some context for the statement in </w:t>
      </w:r>
      <w:r>
        <w:rPr>
          <w:rFonts w:ascii="arial" w:eastAsia="arial" w:hAnsi="arial" w:cs="arial"/>
          <w:i/>
          <w:color w:val="000000"/>
          <w:sz w:val="20"/>
          <w:lang w:val="en-US" w:eastAsia="en-US" w:bidi="ar-SA"/>
        </w:rPr>
        <w:t>Schacter</w:t>
      </w:r>
      <w:r>
        <w:rPr>
          <w:rFonts w:ascii="arial" w:eastAsia="arial" w:hAnsi="arial" w:cs="arial"/>
          <w:color w:val="000000"/>
          <w:sz w:val="20"/>
          <w:lang w:val="en-US" w:eastAsia="en-US" w:bidi="ar-SA"/>
        </w:rPr>
        <w:t xml:space="preserve"> that an individual remedy is rarely available in conjunction with s. 52 of the </w:t>
      </w:r>
      <w:r>
        <w:rPr>
          <w:rFonts w:ascii="arial" w:eastAsia="arial" w:hAnsi="arial" w:cs="arial"/>
          <w:i/>
          <w:color w:val="000000"/>
          <w:sz w:val="20"/>
          <w:lang w:val="en-US" w:eastAsia="en-US" w:bidi="ar-SA"/>
        </w:rPr>
        <w:t>Constitution Act,1982,</w:t>
      </w:r>
      <w:r>
        <w:rPr>
          <w:rFonts w:ascii="arial" w:eastAsia="arial" w:hAnsi="arial" w:cs="arial"/>
          <w:color w:val="000000"/>
          <w:sz w:val="20"/>
          <w:lang w:val="en-US" w:eastAsia="en-US" w:bidi="ar-SA"/>
        </w:rPr>
        <w:t xml:space="preserve"> is </w:t>
      </w:r>
      <w:r>
        <w:rPr>
          <w:rFonts w:ascii="arial" w:eastAsia="arial" w:hAnsi="arial" w:cs="arial"/>
          <w:i/>
          <w:color w:val="000000"/>
          <w:sz w:val="20"/>
          <w:lang w:val="en-US" w:eastAsia="en-US" w:bidi="ar-SA"/>
        </w:rPr>
        <w:t>Guimond v. Quebec (Attorney General)</w:t>
      </w:r>
      <w:r>
        <w:rPr>
          <w:rFonts w:ascii="arial" w:eastAsia="arial" w:hAnsi="arial" w:cs="arial"/>
          <w:color w:val="000000"/>
          <w:sz w:val="20"/>
          <w:lang w:val="en-US" w:eastAsia="en-US" w:bidi="ar-SA"/>
        </w:rPr>
        <w:t xml:space="preserve">, </w:t>
      </w:r>
      <w:hyperlink r:id="rId769" w:history="1">
        <w:r>
          <w:rPr>
            <w:rFonts w:ascii="arial" w:eastAsia="arial" w:hAnsi="arial" w:cs="arial"/>
            <w:i/>
            <w:color w:val="0077CC"/>
            <w:sz w:val="20"/>
            <w:u w:val="single"/>
            <w:shd w:val="clear" w:color="auto" w:fill="FFFFFF"/>
            <w:lang w:val="en-US" w:eastAsia="en-US" w:bidi="ar-SA"/>
          </w:rPr>
          <w:t>[1996] 3 S.C.R. 347</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Guimond</w:t>
      </w:r>
      <w:r>
        <w:rPr>
          <w:rFonts w:ascii="arial" w:eastAsia="arial" w:hAnsi="arial" w:cs="arial"/>
          <w:color w:val="000000"/>
          <w:sz w:val="20"/>
          <w:lang w:val="en-US" w:eastAsia="en-US" w:bidi="ar-SA"/>
        </w:rPr>
        <w:t xml:space="preserve">, the respondent, who was sentenced to imprisonment for non-payment of fines and spent 49 days in jail, sought judicial authorization to start a class action for damages for the alleged Constitutional invalidity of his detention. He argued that the sentencing provisions of the Quebec </w:t>
      </w:r>
      <w:r>
        <w:rPr>
          <w:rFonts w:ascii="arial" w:eastAsia="arial" w:hAnsi="arial" w:cs="arial"/>
          <w:i/>
          <w:color w:val="000000"/>
          <w:sz w:val="20"/>
          <w:lang w:val="en-US" w:eastAsia="en-US" w:bidi="ar-SA"/>
        </w:rPr>
        <w:t>Code of Penal Procedure</w:t>
      </w:r>
      <w:r>
        <w:rPr>
          <w:rFonts w:ascii="arial" w:eastAsia="arial" w:hAnsi="arial" w:cs="arial"/>
          <w:color w:val="000000"/>
          <w:sz w:val="20"/>
          <w:lang w:val="en-US" w:eastAsia="en-US" w:bidi="ar-SA"/>
        </w:rPr>
        <w:t xml:space="preserve"> infringed the Canadian </w:t>
      </w:r>
      <w:r>
        <w:rPr>
          <w:rFonts w:ascii="arial" w:eastAsia="arial" w:hAnsi="arial" w:cs="arial"/>
          <w:i/>
          <w:color w:val="000000"/>
          <w:sz w:val="20"/>
          <w:lang w:val="en-US" w:eastAsia="en-US" w:bidi="ar-SA"/>
        </w:rPr>
        <w:t>Charter of Rights</w:t>
      </w:r>
      <w:r>
        <w:rPr>
          <w:rFonts w:ascii="arial" w:eastAsia="arial" w:hAnsi="arial" w:cs="arial"/>
          <w:color w:val="000000"/>
          <w:sz w:val="20"/>
          <w:lang w:val="en-US" w:eastAsia="en-US" w:bidi="ar-SA"/>
        </w:rPr>
        <w:t>, and that he was entitled to "compensatory and moral damages" in the amount of $300 per day of imprisonment. When the case got to the Supreme Court, in addition to the class action issues, the Court specifically addressed the substantive issue regarding the availability of such damages to the respondent in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Generally, damages do not lie for the passage of a law subsequently determined to be invalid. The Court in </w:t>
      </w:r>
      <w:r>
        <w:rPr>
          <w:rFonts w:ascii="arial" w:eastAsia="arial" w:hAnsi="arial" w:cs="arial"/>
          <w:i/>
          <w:color w:val="000000"/>
          <w:sz w:val="20"/>
          <w:lang w:val="en-US" w:eastAsia="en-US" w:bidi="ar-SA"/>
        </w:rPr>
        <w:t>Guimond</w:t>
      </w:r>
      <w:r>
        <w:rPr>
          <w:rFonts w:ascii="arial" w:eastAsia="arial" w:hAnsi="arial" w:cs="arial"/>
          <w:color w:val="000000"/>
          <w:sz w:val="20"/>
          <w:lang w:val="en-US" w:eastAsia="en-US" w:bidi="ar-SA"/>
        </w:rPr>
        <w:t xml:space="preserve"> expressed the general rule concerning damages for a law subsequently determined to be unconstitutional (at 357-358):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approaching this question, it is helpful to review briefly the authorities on the liability of the Crown for damages arising from the enactment of laws subsequently determined to be unconstitutional. The general principle, that an action in tort for civil damages will not lie, was enunciated clearly in this Court's decision in </w:t>
      </w:r>
      <w:r>
        <w:rPr>
          <w:rFonts w:ascii="arial" w:eastAsia="arial" w:hAnsi="arial" w:cs="arial"/>
          <w:i/>
          <w:color w:val="000000"/>
          <w:sz w:val="20"/>
          <w:lang w:val="en-US" w:eastAsia="en-US" w:bidi="ar-SA"/>
        </w:rPr>
        <w:t>Welbridge Holdings Ltd. v. Greater Winnipeg</w:t>
      </w:r>
      <w:r>
        <w:rPr>
          <w:rFonts w:ascii="arial" w:eastAsia="arial" w:hAnsi="arial" w:cs="arial"/>
          <w:color w:val="000000"/>
          <w:sz w:val="20"/>
          <w:lang w:val="en-US" w:eastAsia="en-US" w:bidi="ar-SA"/>
        </w:rPr>
        <w:t xml:space="preserve">, </w:t>
      </w:r>
      <w:hyperlink r:id="rId770" w:history="1">
        <w:r>
          <w:rPr>
            <w:rFonts w:ascii="arial" w:eastAsia="arial" w:hAnsi="arial" w:cs="arial"/>
            <w:i/>
            <w:color w:val="0077CC"/>
            <w:sz w:val="20"/>
            <w:u w:val="single"/>
            <w:shd w:val="clear" w:color="auto" w:fill="FFFFFF"/>
            <w:lang w:val="en-US" w:eastAsia="en-US" w:bidi="ar-SA"/>
          </w:rPr>
          <w:t>[1971] S.C.R. 957</w:t>
        </w:r>
      </w:hyperlink>
      <w:r>
        <w:rPr>
          <w:rFonts w:ascii="arial" w:eastAsia="arial" w:hAnsi="arial" w:cs="arial"/>
          <w:color w:val="000000"/>
          <w:sz w:val="20"/>
          <w:lang w:val="en-US" w:eastAsia="en-US" w:bidi="ar-SA"/>
        </w:rPr>
        <w:t xml:space="preserve">. In that case, the plaintiff company commenced work on certain lands on the basis of a municipal zoning by-law passed by the defendant municipality. The by-law was subsequently declared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and the company sought damages against the municipality. This Court rejected the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As Laskin J. (as he then was) reasoned for the Court, at p. 969: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exercising [a discretionary legislative] authority, a municipality (no less than a provincial Legislature or the Parliament of Canada) may act beyond its powers in the ultimate view of a Court, albeit it acted on the advice of counsel. It would be incredible to say in such circumstances that it owed a duty of care giving rise to liability in damages for its breach. "Invalidity is not the test of fault and it should not be the test of liability": see Davis, 3 </w:t>
      </w:r>
      <w:r>
        <w:rPr>
          <w:rFonts w:ascii="arial" w:eastAsia="arial" w:hAnsi="arial" w:cs="arial"/>
          <w:i/>
          <w:color w:val="000000"/>
          <w:sz w:val="20"/>
          <w:lang w:val="en-US" w:eastAsia="en-US" w:bidi="ar-SA"/>
        </w:rPr>
        <w:t>Administrative Law Treatise</w:t>
      </w:r>
      <w:r>
        <w:rPr>
          <w:rFonts w:ascii="arial" w:eastAsia="arial" w:hAnsi="arial" w:cs="arial"/>
          <w:color w:val="000000"/>
          <w:sz w:val="20"/>
          <w:lang w:val="en-US" w:eastAsia="en-US" w:bidi="ar-SA"/>
        </w:rPr>
        <w:t>, 1958, at p. 487.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principle was reiterated by this Court in </w:t>
      </w:r>
      <w:r>
        <w:rPr>
          <w:rFonts w:ascii="arial" w:eastAsia="arial" w:hAnsi="arial" w:cs="arial"/>
          <w:i/>
          <w:color w:val="000000"/>
          <w:sz w:val="20"/>
          <w:lang w:val="en-US" w:eastAsia="en-US" w:bidi="ar-SA"/>
        </w:rPr>
        <w:t>Central Canada Potash Co. v. Government of Saskatchewan</w:t>
      </w:r>
      <w:r>
        <w:rPr>
          <w:rFonts w:ascii="arial" w:eastAsia="arial" w:hAnsi="arial" w:cs="arial"/>
          <w:color w:val="000000"/>
          <w:sz w:val="20"/>
          <w:lang w:val="en-US" w:eastAsia="en-US" w:bidi="ar-SA"/>
        </w:rPr>
        <w:t xml:space="preserve">, </w:t>
      </w:r>
      <w:hyperlink r:id="rId771" w:history="1">
        <w:r>
          <w:rPr>
            <w:rFonts w:ascii="arial" w:eastAsia="arial" w:hAnsi="arial" w:cs="arial"/>
            <w:i/>
            <w:color w:val="0077CC"/>
            <w:sz w:val="20"/>
            <w:u w:val="single"/>
            <w:shd w:val="clear" w:color="auto" w:fill="FFFFFF"/>
            <w:lang w:val="en-US" w:eastAsia="en-US" w:bidi="ar-SA"/>
          </w:rPr>
          <w:t>[1979] 1 S.C.R. 42</w:t>
        </w:r>
      </w:hyperlink>
      <w:r>
        <w:rPr>
          <w:rFonts w:ascii="arial" w:eastAsia="arial" w:hAnsi="arial" w:cs="arial"/>
          <w:color w:val="000000"/>
          <w:sz w:val="20"/>
          <w:lang w:val="en-US" w:eastAsia="en-US" w:bidi="ar-SA"/>
        </w:rPr>
        <w:t>. As Delisle J.A. observed in his dissenting reasons in the court below, at p. 253 D.L.R.: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[Translation] In terms of the civil law, there is no doubt that the Crown is not negligent when it enacts a law that is subsequently declared invalid, any more than the public official who attends to its implementation. In </w:t>
      </w:r>
      <w:r>
        <w:rPr>
          <w:rFonts w:ascii="arial" w:eastAsia="arial" w:hAnsi="arial" w:cs="arial"/>
          <w:i/>
          <w:color w:val="000000"/>
          <w:sz w:val="20"/>
          <w:lang w:val="en-US" w:eastAsia="en-US" w:bidi="ar-SA"/>
        </w:rPr>
        <w:t>Central Canada Potash Co. v. Government of Saskatchewan</w:t>
      </w:r>
      <w:r>
        <w:rPr>
          <w:rFonts w:ascii="arial" w:eastAsia="arial" w:hAnsi="arial" w:cs="arial"/>
          <w:color w:val="000000"/>
          <w:sz w:val="20"/>
          <w:lang w:val="en-US" w:eastAsia="en-US" w:bidi="ar-SA"/>
        </w:rPr>
        <w:t xml:space="preserve"> </w:t>
      </w:r>
      <w:hyperlink r:id="rId771" w:history="1">
        <w:r>
          <w:rPr>
            <w:rFonts w:ascii="arial" w:eastAsia="arial" w:hAnsi="arial" w:cs="arial"/>
            <w:i/>
            <w:color w:val="0077CC"/>
            <w:sz w:val="20"/>
            <w:u w:val="single"/>
            <w:shd w:val="clear" w:color="auto" w:fill="FFFFFF"/>
            <w:lang w:val="en-US" w:eastAsia="en-US" w:bidi="ar-SA"/>
          </w:rPr>
          <w:t>(1978), 88 D.L.R. (3d) 609</w:t>
        </w:r>
      </w:hyperlink>
      <w:r>
        <w:rPr>
          <w:rFonts w:ascii="arial" w:eastAsia="arial" w:hAnsi="arial" w:cs="arial"/>
          <w:color w:val="000000"/>
          <w:sz w:val="20"/>
          <w:lang w:val="en-US" w:eastAsia="en-US" w:bidi="ar-SA"/>
        </w:rPr>
        <w:t xml:space="preserve">, </w:t>
      </w:r>
      <w:hyperlink r:id="rId771" w:history="1">
        <w:r>
          <w:rPr>
            <w:rFonts w:ascii="arial" w:eastAsia="arial" w:hAnsi="arial" w:cs="arial"/>
            <w:i/>
            <w:color w:val="0077CC"/>
            <w:sz w:val="20"/>
            <w:u w:val="single"/>
            <w:shd w:val="clear" w:color="auto" w:fill="FFFFFF"/>
            <w:lang w:val="en-US" w:eastAsia="en-US" w:bidi="ar-SA"/>
          </w:rPr>
          <w:t>[1979] 1 S.C.R. 42</w:t>
        </w:r>
      </w:hyperlink>
      <w:r>
        <w:rPr>
          <w:rFonts w:ascii="arial" w:eastAsia="arial" w:hAnsi="arial" w:cs="arial"/>
          <w:color w:val="000000"/>
          <w:sz w:val="20"/>
          <w:lang w:val="en-US" w:eastAsia="en-US" w:bidi="ar-SA"/>
        </w:rPr>
        <w:t xml:space="preserve">, </w:t>
      </w:r>
      <w:hyperlink r:id="rId771" w:history="1">
        <w:r>
          <w:rPr>
            <w:rFonts w:ascii="arial" w:eastAsia="arial" w:hAnsi="arial" w:cs="arial"/>
            <w:i/>
            <w:color w:val="0077CC"/>
            <w:sz w:val="20"/>
            <w:u w:val="single"/>
            <w:shd w:val="clear" w:color="auto" w:fill="FFFFFF"/>
            <w:lang w:val="en-US" w:eastAsia="en-US" w:bidi="ar-SA"/>
          </w:rPr>
          <w:t>6 C.C. L.T. 265</w:t>
        </w:r>
      </w:hyperlink>
      <w:r>
        <w:rPr>
          <w:rFonts w:ascii="arial" w:eastAsia="arial" w:hAnsi="arial" w:cs="arial"/>
          <w:color w:val="000000"/>
          <w:sz w:val="20"/>
          <w:lang w:val="en-US" w:eastAsia="en-US" w:bidi="ar-SA"/>
        </w:rPr>
        <w:t xml:space="preserve">, Martland J., on behalf of the court, said the following about a government official's enforcement of legislation that is subsequently held to be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(at p. [90 S.C.R.]):</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opinion it would be unfortunate, in a federal state such as Canada, if it were to be held that a government official, charged with the enforcement of legislation, could be held to be guilty of intimidation because of his enforcement of the statute whenever a statute whose provisions he is under a duty to enforce is subsequently held to be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However, the Court in </w:t>
      </w:r>
      <w:r>
        <w:rPr>
          <w:rFonts w:ascii="arial" w:eastAsia="arial" w:hAnsi="arial" w:cs="arial"/>
          <w:i/>
          <w:color w:val="000000"/>
          <w:sz w:val="20"/>
          <w:lang w:val="en-US" w:eastAsia="en-US" w:bidi="ar-SA"/>
        </w:rPr>
        <w:t>Guimond</w:t>
      </w:r>
      <w:r>
        <w:rPr>
          <w:rFonts w:ascii="arial" w:eastAsia="arial" w:hAnsi="arial" w:cs="arial"/>
          <w:color w:val="000000"/>
          <w:sz w:val="20"/>
          <w:lang w:val="en-US" w:eastAsia="en-US" w:bidi="ar-SA"/>
        </w:rPr>
        <w:t xml:space="preserve"> noted that with the passage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petitioners would not be limited to a claim under the general law. The Court discussed the qualified immunity for government officials as a means of balancing the protection of constitutional rights against the needs of effective government (at 358-359):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Of course, with the enactment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 plaintiff is not limited to an action for damages under the general law of civil liability but could, in theory, seek compensatory and punitive damages as an "appropriate and just" remedy under s. 24(1). Academic commentators have generally been of the view that the "claim of right" doctrine applies with equal force under s. 24(1). As M. L. Pilkington argued in her article on "Monetary Redress for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Infringement", in R. J. Sharpe, ed., </w:t>
      </w:r>
      <w:r>
        <w:rPr>
          <w:rFonts w:ascii="arial" w:eastAsia="arial" w:hAnsi="arial" w:cs="arial"/>
          <w:i/>
          <w:color w:val="000000"/>
          <w:sz w:val="20"/>
          <w:lang w:val="en-US" w:eastAsia="en-US" w:bidi="ar-SA"/>
        </w:rPr>
        <w:t>Charter Litigation</w:t>
      </w:r>
      <w:r>
        <w:rPr>
          <w:rFonts w:ascii="arial" w:eastAsia="arial" w:hAnsi="arial" w:cs="arial"/>
          <w:color w:val="000000"/>
          <w:sz w:val="20"/>
          <w:lang w:val="en-US" w:eastAsia="en-US" w:bidi="ar-SA"/>
        </w:rPr>
        <w:t xml:space="preserve"> (1987), 307, at pp. 319-20: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assessing whether a remedy is appropriate and just, a court must consider not only the need to implement the guarantees of the Charter, but also the need to do so without unduly interfering with the effective operation of government.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qualified immunity for government officials is a means of balancing the protection of constitutional rights against the needs of effective government, or, in other words, determining whether a remedy is appropriate and just in the circumstances. A government official is obliged to exercise power in good faith and to comply with "settled, indisputable" law defining constitutional rights. </w:t>
      </w:r>
      <w:r>
        <w:rPr>
          <w:rFonts w:ascii="arial" w:eastAsia="arial" w:hAnsi="arial" w:cs="arial"/>
          <w:color w:val="000000"/>
          <w:sz w:val="20"/>
          <w:u w:val="single"/>
          <w:lang w:val="en-US" w:eastAsia="en-US" w:bidi="ar-SA"/>
        </w:rPr>
        <w:t>However, if the official acts reasonably in the light of the current state of the law and it is only subsequently determined that the action was unconstitutional, there will be no liability.</w:t>
      </w:r>
      <w:r>
        <w:rPr>
          <w:rFonts w:ascii="arial" w:eastAsia="arial" w:hAnsi="arial" w:cs="arial"/>
          <w:color w:val="000000"/>
          <w:sz w:val="20"/>
          <w:lang w:val="en-US" w:eastAsia="en-US" w:bidi="ar-SA"/>
        </w:rPr>
        <w:t xml:space="preserve"> To hold the official liable in this latter situation might "deter his willingness to execute his office with the decisiveness and judgment required by the public good".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Professor Garant concludes in </w:t>
      </w:r>
      <w:r>
        <w:rPr>
          <w:rFonts w:ascii="arial" w:eastAsia="arial" w:hAnsi="arial" w:cs="arial"/>
          <w:i/>
          <w:color w:val="000000"/>
          <w:sz w:val="20"/>
          <w:lang w:val="en-US" w:eastAsia="en-US" w:bidi="ar-SA"/>
        </w:rPr>
        <w:t>Droit administratif</w:t>
      </w:r>
      <w:r>
        <w:rPr>
          <w:rFonts w:ascii="arial" w:eastAsia="arial" w:hAnsi="arial" w:cs="arial"/>
          <w:color w:val="000000"/>
          <w:sz w:val="20"/>
          <w:lang w:val="en-US" w:eastAsia="en-US" w:bidi="ar-SA"/>
        </w:rPr>
        <w:t xml:space="preserve"> (3rd ed. 1991), vol. 2, at p. 487: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[Translation] It seems that there is no right to obtain a compensatory remedy from the government where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violation results from a statute that is declared unconstitutional.</w:t>
      </w:r>
    </w:p>
    <w:p>
      <w:pPr>
        <w:spacing w:before="120"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Court then said (at 360):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Divisional Court of Ontario in </w:t>
      </w:r>
      <w:r>
        <w:rPr>
          <w:rFonts w:ascii="arial" w:eastAsia="arial" w:hAnsi="arial" w:cs="arial"/>
          <w:i/>
          <w:color w:val="000000"/>
          <w:sz w:val="20"/>
          <w:lang w:val="en-US" w:eastAsia="en-US" w:bidi="ar-SA"/>
        </w:rPr>
        <w:t>Crown Trust Co. v. The Queen in right of Ontario</w:t>
      </w:r>
      <w:r>
        <w:rPr>
          <w:rFonts w:ascii="arial" w:eastAsia="arial" w:hAnsi="arial" w:cs="arial"/>
          <w:color w:val="000000"/>
          <w:sz w:val="20"/>
          <w:lang w:val="en-US" w:eastAsia="en-US" w:bidi="ar-SA"/>
        </w:rPr>
        <w:t xml:space="preserve"> </w:t>
      </w:r>
      <w:hyperlink r:id="rId772" w:history="1">
        <w:r>
          <w:rPr>
            <w:rFonts w:ascii="arial" w:eastAsia="arial" w:hAnsi="arial" w:cs="arial"/>
            <w:i/>
            <w:color w:val="0077CC"/>
            <w:sz w:val="20"/>
            <w:u w:val="single"/>
            <w:shd w:val="clear" w:color="auto" w:fill="FFFFFF"/>
            <w:lang w:val="en-US" w:eastAsia="en-US" w:bidi="ar-SA"/>
          </w:rPr>
          <w:t>(1986), 26 D.L.R. (4th) 41</w:t>
        </w:r>
      </w:hyperlink>
      <w:r>
        <w:rPr>
          <w:rFonts w:ascii="arial" w:eastAsia="arial" w:hAnsi="arial" w:cs="arial"/>
          <w:color w:val="000000"/>
          <w:sz w:val="20"/>
          <w:lang w:val="en-US" w:eastAsia="en-US" w:bidi="ar-SA"/>
        </w:rPr>
        <w:t xml:space="preserve">, at pp. 48-49, applied the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doctrine to deny an action for Charter damages arising from an unconstitutional statute. As Henry J. explained: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consider the law to be clear that no cause of action exists for the conduct of the appellants as agents and representatives of the registrar when acting within the authority of the legislation in the absence of any allegation of wrongful conduct, bad faith,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collateral purpose. The statutes are to be given full force and effect until set aside.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Guimond</w:t>
      </w:r>
      <w:r>
        <w:rPr>
          <w:rFonts w:ascii="arial" w:eastAsia="arial" w:hAnsi="arial" w:cs="arial"/>
          <w:color w:val="000000"/>
          <w:sz w:val="20"/>
          <w:lang w:val="en-US" w:eastAsia="en-US" w:bidi="ar-SA"/>
        </w:rPr>
        <w:t xml:space="preserve"> went on to say that it was against this backdrop that the following comments of Chief Justice Lamer in </w:t>
      </w:r>
      <w:r>
        <w:rPr>
          <w:rFonts w:ascii="arial" w:eastAsia="arial" w:hAnsi="arial" w:cs="arial"/>
          <w:i/>
          <w:color w:val="000000"/>
          <w:sz w:val="20"/>
          <w:lang w:val="en-US" w:eastAsia="en-US" w:bidi="ar-SA"/>
        </w:rPr>
        <w:t>Schachter</w:t>
      </w:r>
      <w:r>
        <w:rPr>
          <w:rFonts w:ascii="arial" w:eastAsia="arial" w:hAnsi="arial" w:cs="arial"/>
          <w:color w:val="000000"/>
          <w:sz w:val="20"/>
          <w:lang w:val="en-US" w:eastAsia="en-US" w:bidi="ar-SA"/>
        </w:rPr>
        <w:t xml:space="preserve"> were made: "[a]n individual remedy under s.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will rarely be available in conjunction with an action under s. 52 of the </w:t>
      </w:r>
      <w:r>
        <w:rPr>
          <w:rFonts w:ascii="arial" w:eastAsia="arial" w:hAnsi="arial" w:cs="arial"/>
          <w:i/>
          <w:color w:val="000000"/>
          <w:sz w:val="20"/>
          <w:lang w:val="en-US" w:eastAsia="en-US" w:bidi="ar-SA"/>
        </w:rPr>
        <w:t>Constitution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1982</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is the case that is relied on by the petitioners for their entitlement to personal remedies under s.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 will discuss that case later, but first let me refer to the decision of the Supreme Court of Canada in </w:t>
      </w:r>
      <w:r>
        <w:rPr>
          <w:rFonts w:ascii="arial" w:eastAsia="arial" w:hAnsi="arial" w:cs="arial"/>
          <w:i/>
          <w:color w:val="000000"/>
          <w:sz w:val="20"/>
          <w:lang w:val="en-US" w:eastAsia="en-US" w:bidi="ar-SA"/>
        </w:rPr>
        <w:t>R. v. Ferguson</w:t>
      </w:r>
      <w:r>
        <w:rPr>
          <w:rFonts w:ascii="arial" w:eastAsia="arial" w:hAnsi="arial" w:cs="arial"/>
          <w:color w:val="000000"/>
          <w:sz w:val="20"/>
          <w:lang w:val="en-US" w:eastAsia="en-US" w:bidi="ar-SA"/>
        </w:rPr>
        <w:t xml:space="preserve">, </w:t>
      </w:r>
      <w:hyperlink r:id="rId773" w:history="1">
        <w:r>
          <w:rPr>
            <w:rFonts w:ascii="arial" w:eastAsia="arial" w:hAnsi="arial" w:cs="arial"/>
            <w:i/>
            <w:color w:val="0077CC"/>
            <w:sz w:val="20"/>
            <w:u w:val="single"/>
            <w:shd w:val="clear" w:color="auto" w:fill="FFFFFF"/>
            <w:lang w:val="en-US" w:eastAsia="en-US" w:bidi="ar-SA"/>
          </w:rPr>
          <w:t>2008 SCC 6</w:t>
        </w:r>
      </w:hyperlink>
      <w:r>
        <w:rPr>
          <w:rFonts w:ascii="arial" w:eastAsia="arial" w:hAnsi="arial" w:cs="arial"/>
          <w:color w:val="000000"/>
          <w:sz w:val="20"/>
          <w:lang w:val="en-US" w:eastAsia="en-US" w:bidi="ar-SA"/>
        </w:rPr>
        <w:t xml:space="preserve">. There, Chief Justice McLachlin explained that remedies for breaches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are governed by s.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and s. 52(1) of the </w:t>
      </w:r>
      <w:r>
        <w:rPr>
          <w:rFonts w:ascii="arial" w:eastAsia="arial" w:hAnsi="arial" w:cs="arial"/>
          <w:i/>
          <w:color w:val="000000"/>
          <w:sz w:val="20"/>
          <w:lang w:val="en-US" w:eastAsia="en-US" w:bidi="ar-SA"/>
        </w:rPr>
        <w:t>Constitution Act, 1982</w:t>
      </w:r>
      <w:r>
        <w:rPr>
          <w:rFonts w:ascii="arial" w:eastAsia="arial" w:hAnsi="arial" w:cs="arial"/>
          <w:color w:val="000000"/>
          <w:sz w:val="20"/>
          <w:lang w:val="en-US" w:eastAsia="en-US" w:bidi="ar-SA"/>
        </w:rPr>
        <w:t>. She described their different remedial purposes (at paras. 59-60):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59 When a law produces an unconstitutional effect, the usual remedy lies under s. 52(1), which provides that the law is of no force or effect to the extent that it is inconsistent with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 law may be inconsistent with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either because of its purpose or its effect: </w:t>
      </w:r>
      <w:r>
        <w:rPr>
          <w:rFonts w:ascii="arial" w:eastAsia="arial" w:hAnsi="arial" w:cs="arial"/>
          <w:i/>
          <w:color w:val="000000"/>
          <w:sz w:val="20"/>
          <w:lang w:val="en-US" w:eastAsia="en-US" w:bidi="ar-SA"/>
        </w:rPr>
        <w:t>R. v. Big M Drug Mart Ltd.</w:t>
      </w:r>
      <w:r>
        <w:rPr>
          <w:rFonts w:ascii="arial" w:eastAsia="arial" w:hAnsi="arial" w:cs="arial"/>
          <w:color w:val="000000"/>
          <w:sz w:val="20"/>
          <w:lang w:val="en-US" w:eastAsia="en-US" w:bidi="ar-SA"/>
        </w:rPr>
        <w:t xml:space="preserve">, </w:t>
      </w:r>
      <w:hyperlink r:id="rId774" w:history="1">
        <w:r>
          <w:rPr>
            <w:rFonts w:ascii="arial" w:eastAsia="arial" w:hAnsi="arial" w:cs="arial"/>
            <w:i/>
            <w:color w:val="0077CC"/>
            <w:sz w:val="20"/>
            <w:u w:val="single"/>
            <w:shd w:val="clear" w:color="auto" w:fill="FFFFFF"/>
            <w:lang w:val="en-US" w:eastAsia="en-US" w:bidi="ar-SA"/>
          </w:rPr>
          <w:t>[1985] 1 S.C.R. 295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Edwards Books and Art Ltd.</w:t>
      </w:r>
      <w:r>
        <w:rPr>
          <w:rFonts w:ascii="arial" w:eastAsia="arial" w:hAnsi="arial" w:cs="arial"/>
          <w:color w:val="000000"/>
          <w:sz w:val="20"/>
          <w:lang w:val="en-US" w:eastAsia="en-US" w:bidi="ar-SA"/>
        </w:rPr>
        <w:t xml:space="preserve">, </w:t>
      </w:r>
      <w:hyperlink r:id="rId775" w:history="1">
        <w:r>
          <w:rPr>
            <w:rFonts w:ascii="arial" w:eastAsia="arial" w:hAnsi="arial" w:cs="arial"/>
            <w:i/>
            <w:color w:val="0077CC"/>
            <w:sz w:val="20"/>
            <w:u w:val="single"/>
            <w:shd w:val="clear" w:color="auto" w:fill="FFFFFF"/>
            <w:lang w:val="en-US" w:eastAsia="en-US" w:bidi="ar-SA"/>
          </w:rPr>
          <w:t>[1986] 2 S.C.R. 713</w:t>
        </w:r>
      </w:hyperlink>
      <w:r>
        <w:rPr>
          <w:rFonts w:ascii="arial" w:eastAsia="arial" w:hAnsi="arial" w:cs="arial"/>
          <w:color w:val="000000"/>
          <w:sz w:val="20"/>
          <w:lang w:val="en-US" w:eastAsia="en-US" w:bidi="ar-SA"/>
        </w:rPr>
        <w:t xml:space="preserve">. Section 52 does not create a personal remedy. A claimant who otherwise has standing can generally seek a declaration of invalidity under s. 52 on the grounds that a law has unconstitutional effects either in his own case or on third parties: </w:t>
      </w:r>
      <w:r>
        <w:rPr>
          <w:rFonts w:ascii="arial" w:eastAsia="arial" w:hAnsi="arial" w:cs="arial"/>
          <w:i/>
          <w:color w:val="000000"/>
          <w:sz w:val="20"/>
          <w:lang w:val="en-US" w:eastAsia="en-US" w:bidi="ar-SA"/>
        </w:rPr>
        <w:t>Big M</w:t>
      </w:r>
      <w:r>
        <w:rPr>
          <w:rFonts w:ascii="arial" w:eastAsia="arial" w:hAnsi="arial" w:cs="arial"/>
          <w:color w:val="000000"/>
          <w:sz w:val="20"/>
          <w:lang w:val="en-US" w:eastAsia="en-US" w:bidi="ar-SA"/>
        </w:rPr>
        <w:t xml:space="preserve">; see also P. Sankoff, "Constitutional Exemptions: Myth or Reality?" (1999-2000), 11 </w:t>
      </w:r>
      <w:r>
        <w:rPr>
          <w:rFonts w:ascii="arial" w:eastAsia="arial" w:hAnsi="arial" w:cs="arial"/>
          <w:i/>
          <w:color w:val="000000"/>
          <w:sz w:val="20"/>
          <w:lang w:val="en-US" w:eastAsia="en-US" w:bidi="ar-SA"/>
        </w:rPr>
        <w:t>N.J.C.L.</w:t>
      </w:r>
      <w:r>
        <w:rPr>
          <w:rFonts w:ascii="arial" w:eastAsia="arial" w:hAnsi="arial" w:cs="arial"/>
          <w:color w:val="000000"/>
          <w:sz w:val="20"/>
          <w:lang w:val="en-US" w:eastAsia="en-US" w:bidi="ar-SA"/>
        </w:rPr>
        <w:t xml:space="preserve"> 411, at pp. 432-34; M. Rosenberg and S. Perrault, "Ifs and Buts in Charter Adjudication: The Unruly Emergence of Constitutional Exemptions in Canada" </w:t>
      </w:r>
      <w:hyperlink r:id="rId776" w:history="1">
        <w:r>
          <w:rPr>
            <w:rFonts w:ascii="arial" w:eastAsia="arial" w:hAnsi="arial" w:cs="arial"/>
            <w:i/>
            <w:color w:val="0077CC"/>
            <w:sz w:val="20"/>
            <w:u w:val="single"/>
            <w:shd w:val="clear" w:color="auto" w:fill="FFFFFF"/>
            <w:lang w:val="en-US" w:eastAsia="en-US" w:bidi="ar-SA"/>
          </w:rPr>
          <w:t>(2002), 16 S.C.L.R. (2d) 375</w:t>
        </w:r>
      </w:hyperlink>
      <w:r>
        <w:rPr>
          <w:rFonts w:ascii="arial" w:eastAsia="arial" w:hAnsi="arial" w:cs="arial"/>
          <w:color w:val="000000"/>
          <w:sz w:val="20"/>
          <w:lang w:val="en-US" w:eastAsia="en-US" w:bidi="ar-SA"/>
        </w:rPr>
        <w:t xml:space="preserve">, at pp. 380-82. The jurisprudence affirming s. 52(1) as the appropriate remedy for laws that produce unconstitutional effects is based on the language chosen by the framers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Sankoff</w:t>
      </w:r>
      <w:r>
        <w:rPr>
          <w:rFonts w:ascii="arial" w:eastAsia="arial" w:hAnsi="arial" w:cs="arial"/>
          <w:color w:val="000000"/>
          <w:sz w:val="20"/>
          <w:lang w:val="en-US" w:eastAsia="en-US" w:bidi="ar-SA"/>
        </w:rPr>
        <w:t>, at p. 438.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60 Section 24(1), by contrast, is generally used as a remedy, not for unconstitutional laws, but for unconstitutional government acts committed under the authority of legal regimes which are accepted as fully constitutional: see </w:t>
      </w:r>
      <w:r>
        <w:rPr>
          <w:rFonts w:ascii="arial" w:eastAsia="arial" w:hAnsi="arial" w:cs="arial"/>
          <w:i/>
          <w:color w:val="000000"/>
          <w:sz w:val="20"/>
          <w:lang w:val="en-US" w:eastAsia="en-US" w:bidi="ar-SA"/>
        </w:rPr>
        <w:t>Eldridge v. British Columbia (Attorney General)</w:t>
      </w:r>
      <w:r>
        <w:rPr>
          <w:rFonts w:ascii="arial" w:eastAsia="arial" w:hAnsi="arial" w:cs="arial"/>
          <w:color w:val="000000"/>
          <w:sz w:val="20"/>
          <w:lang w:val="en-US" w:eastAsia="en-US" w:bidi="ar-SA"/>
        </w:rPr>
        <w:t xml:space="preserve">, </w:t>
      </w:r>
      <w:hyperlink r:id="rId777" w:history="1">
        <w:r>
          <w:rPr>
            <w:rFonts w:ascii="arial" w:eastAsia="arial" w:hAnsi="arial" w:cs="arial"/>
            <w:i/>
            <w:color w:val="0077CC"/>
            <w:sz w:val="20"/>
            <w:u w:val="single"/>
            <w:shd w:val="clear" w:color="auto" w:fill="FFFFFF"/>
            <w:lang w:val="en-US" w:eastAsia="en-US" w:bidi="ar-SA"/>
          </w:rPr>
          <w:t>[1997] 3 S.C.R. 624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Multani v. Commission scolaire Marguerite-Bourgeoys</w:t>
      </w:r>
      <w:r>
        <w:rPr>
          <w:rFonts w:ascii="arial" w:eastAsia="arial" w:hAnsi="arial" w:cs="arial"/>
          <w:color w:val="000000"/>
          <w:sz w:val="20"/>
          <w:lang w:val="en-US" w:eastAsia="en-US" w:bidi="ar-SA"/>
        </w:rPr>
        <w:t xml:space="preserve">, </w:t>
      </w:r>
      <w:hyperlink r:id="rId778" w:history="1">
        <w:r>
          <w:rPr>
            <w:rFonts w:ascii="arial" w:eastAsia="arial" w:hAnsi="arial" w:cs="arial"/>
            <w:i/>
            <w:color w:val="0077CC"/>
            <w:sz w:val="20"/>
            <w:u w:val="single"/>
            <w:shd w:val="clear" w:color="auto" w:fill="FFFFFF"/>
            <w:lang w:val="en-US" w:eastAsia="en-US" w:bidi="ar-SA"/>
          </w:rPr>
          <w:t>[2006] 1 S.C.R. 256</w:t>
        </w:r>
      </w:hyperlink>
      <w:r>
        <w:rPr>
          <w:rFonts w:ascii="arial" w:eastAsia="arial" w:hAnsi="arial" w:cs="arial"/>
          <w:color w:val="000000"/>
          <w:sz w:val="20"/>
          <w:lang w:val="en-US" w:eastAsia="en-US" w:bidi="ar-SA"/>
        </w:rPr>
        <w:t xml:space="preserve">, </w:t>
      </w:r>
      <w:hyperlink r:id="rId778" w:history="1">
        <w:r>
          <w:rPr>
            <w:rFonts w:ascii="arial" w:eastAsia="arial" w:hAnsi="arial" w:cs="arial"/>
            <w:i/>
            <w:color w:val="0077CC"/>
            <w:sz w:val="20"/>
            <w:u w:val="single"/>
            <w:shd w:val="clear" w:color="auto" w:fill="FFFFFF"/>
            <w:lang w:val="en-US" w:eastAsia="en-US" w:bidi="ar-SA"/>
          </w:rPr>
          <w:t>2006 SCC 6</w:t>
        </w:r>
      </w:hyperlink>
      <w:r>
        <w:rPr>
          <w:rFonts w:ascii="arial" w:eastAsia="arial" w:hAnsi="arial" w:cs="arial"/>
          <w:color w:val="000000"/>
          <w:sz w:val="20"/>
          <w:lang w:val="en-US" w:eastAsia="en-US" w:bidi="ar-SA"/>
        </w:rPr>
        <w:t>. The acts of government agents acting under such regimes are not the necessary result or "effect" of the law, but of the government agent's applying a discretion conferred by the law in an unconstitutional manner. Section 52(1) is thus not applicable. The appropriate remedy lies under s. 24(1).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She went on to say (at paras. 61-64):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61 It thus becomes apparent that ss. 52(1) and 24(1) serve different remedial purposes. Section 52(1) provides a remedy for </w:t>
      </w:r>
      <w:r>
        <w:rPr>
          <w:rFonts w:ascii="arial" w:eastAsia="arial" w:hAnsi="arial" w:cs="arial"/>
          <w:i/>
          <w:color w:val="000000"/>
          <w:sz w:val="20"/>
          <w:lang w:val="en-US" w:eastAsia="en-US" w:bidi="ar-SA"/>
        </w:rPr>
        <w:t>laws</w:t>
      </w:r>
      <w:r>
        <w:rPr>
          <w:rFonts w:ascii="arial" w:eastAsia="arial" w:hAnsi="arial" w:cs="arial"/>
          <w:color w:val="000000"/>
          <w:sz w:val="20"/>
          <w:lang w:val="en-US" w:eastAsia="en-US" w:bidi="ar-SA"/>
        </w:rPr>
        <w:t xml:space="preserve"> that violate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either in purpose or in effect. Section 24(1), by contrast, provides a remedy for </w:t>
      </w:r>
      <w:r>
        <w:rPr>
          <w:rFonts w:ascii="arial" w:eastAsia="arial" w:hAnsi="arial" w:cs="arial"/>
          <w:i/>
          <w:color w:val="000000"/>
          <w:sz w:val="20"/>
          <w:lang w:val="en-US" w:eastAsia="en-US" w:bidi="ar-SA"/>
        </w:rPr>
        <w:t>government acts</w:t>
      </w:r>
      <w:r>
        <w:rPr>
          <w:rFonts w:ascii="arial" w:eastAsia="arial" w:hAnsi="arial" w:cs="arial"/>
          <w:color w:val="000000"/>
          <w:sz w:val="20"/>
          <w:lang w:val="en-US" w:eastAsia="en-US" w:bidi="ar-SA"/>
        </w:rPr>
        <w:t xml:space="preserve"> that violate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It provides a personal remedy against unconstitutional government action and so, unlike s. 52(1), can be invoked only by a party alleging a violation of that party's own constitutional rights: </w:t>
      </w:r>
      <w:r>
        <w:rPr>
          <w:rFonts w:ascii="arial" w:eastAsia="arial" w:hAnsi="arial" w:cs="arial"/>
          <w:i/>
          <w:color w:val="000000"/>
          <w:sz w:val="20"/>
          <w:lang w:val="en-US" w:eastAsia="en-US" w:bidi="ar-SA"/>
        </w:rPr>
        <w:t>Big M</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Edwards</w:t>
      </w:r>
      <w:r>
        <w:rPr>
          <w:rFonts w:ascii="arial" w:eastAsia="arial" w:hAnsi="arial" w:cs="arial"/>
          <w:color w:val="000000"/>
          <w:sz w:val="20"/>
          <w:lang w:val="en-US" w:eastAsia="en-US" w:bidi="ar-SA"/>
        </w:rPr>
        <w:t xml:space="preserve">, </w:t>
      </w:r>
      <w:hyperlink r:id="rId779" w:history="1">
        <w:r>
          <w:rPr>
            <w:rFonts w:ascii="arial" w:eastAsia="arial" w:hAnsi="arial" w:cs="arial"/>
            <w:i/>
            <w:color w:val="0077CC"/>
            <w:sz w:val="20"/>
            <w:u w:val="single"/>
            <w:shd w:val="clear" w:color="auto" w:fill="FFFFFF"/>
            <w:lang w:val="en-US" w:eastAsia="en-US" w:bidi="ar-SA"/>
          </w:rPr>
          <w:t>[1996] 1 S.C.R. 128</w:t>
        </w:r>
      </w:hyperlink>
      <w:r>
        <w:rPr>
          <w:rFonts w:ascii="arial" w:eastAsia="arial" w:hAnsi="arial" w:cs="arial"/>
          <w:color w:val="000000"/>
          <w:sz w:val="20"/>
          <w:lang w:val="en-US" w:eastAsia="en-US" w:bidi="ar-SA"/>
        </w:rPr>
        <w:t xml:space="preserve">. Thus this Court has repeatedly affirmed that the validity of laws is determined by s. 52 of the </w:t>
      </w:r>
      <w:r>
        <w:rPr>
          <w:rFonts w:ascii="arial" w:eastAsia="arial" w:hAnsi="arial" w:cs="arial"/>
          <w:i/>
          <w:color w:val="000000"/>
          <w:sz w:val="20"/>
          <w:lang w:val="en-US" w:eastAsia="en-US" w:bidi="ar-SA"/>
        </w:rPr>
        <w:t>Constitution Act, 1982</w:t>
      </w:r>
      <w:r>
        <w:rPr>
          <w:rFonts w:ascii="arial" w:eastAsia="arial" w:hAnsi="arial" w:cs="arial"/>
          <w:color w:val="000000"/>
          <w:sz w:val="20"/>
          <w:lang w:val="en-US" w:eastAsia="en-US" w:bidi="ar-SA"/>
        </w:rPr>
        <w:t xml:space="preserve">, while the validity of government action falls to be determined under s. 24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Schachter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974649 Ontario Inc.</w:t>
      </w:r>
      <w:r>
        <w:rPr>
          <w:rFonts w:ascii="arial" w:eastAsia="arial" w:hAnsi="arial" w:cs="arial"/>
          <w:color w:val="000000"/>
          <w:sz w:val="20"/>
          <w:lang w:val="en-US" w:eastAsia="en-US" w:bidi="ar-SA"/>
        </w:rPr>
        <w:t xml:space="preserve">, </w:t>
      </w:r>
      <w:hyperlink r:id="rId780" w:history="1">
        <w:r>
          <w:rPr>
            <w:rFonts w:ascii="arial" w:eastAsia="arial" w:hAnsi="arial" w:cs="arial"/>
            <w:i/>
            <w:color w:val="0077CC"/>
            <w:sz w:val="20"/>
            <w:u w:val="single"/>
            <w:shd w:val="clear" w:color="auto" w:fill="FFFFFF"/>
            <w:lang w:val="en-US" w:eastAsia="en-US" w:bidi="ar-SA"/>
          </w:rPr>
          <w:t>[2001] 3 S.C.R. 575</w:t>
        </w:r>
      </w:hyperlink>
      <w:r>
        <w:rPr>
          <w:rFonts w:ascii="arial" w:eastAsia="arial" w:hAnsi="arial" w:cs="arial"/>
          <w:color w:val="000000"/>
          <w:sz w:val="20"/>
          <w:lang w:val="en-US" w:eastAsia="en-US" w:bidi="ar-SA"/>
        </w:rPr>
        <w:t xml:space="preserve">, </w:t>
      </w:r>
      <w:hyperlink r:id="rId780" w:history="1">
        <w:r>
          <w:rPr>
            <w:rFonts w:ascii="arial" w:eastAsia="arial" w:hAnsi="arial" w:cs="arial"/>
            <w:i/>
            <w:color w:val="0077CC"/>
            <w:sz w:val="20"/>
            <w:u w:val="single"/>
            <w:shd w:val="clear" w:color="auto" w:fill="FFFFFF"/>
            <w:lang w:val="en-US" w:eastAsia="en-US" w:bidi="ar-SA"/>
          </w:rPr>
          <w:t>2001 SCC 81</w:t>
        </w:r>
      </w:hyperlink>
      <w:r>
        <w:rPr>
          <w:rFonts w:ascii="arial" w:eastAsia="arial" w:hAnsi="arial" w:cs="arial"/>
          <w:color w:val="000000"/>
          <w:sz w:val="20"/>
          <w:lang w:val="en-US" w:eastAsia="en-US" w:bidi="ar-SA"/>
        </w:rPr>
        <w:t xml:space="preserve">. We are here concerned with a </w:t>
      </w:r>
      <w:r>
        <w:rPr>
          <w:rFonts w:ascii="arial" w:eastAsia="arial" w:hAnsi="arial" w:cs="arial"/>
          <w:i/>
          <w:color w:val="000000"/>
          <w:sz w:val="20"/>
          <w:lang w:val="en-US" w:eastAsia="en-US" w:bidi="ar-SA"/>
        </w:rPr>
        <w:t>law</w:t>
      </w:r>
      <w:r>
        <w:rPr>
          <w:rFonts w:ascii="arial" w:eastAsia="arial" w:hAnsi="arial" w:cs="arial"/>
          <w:color w:val="000000"/>
          <w:sz w:val="20"/>
          <w:lang w:val="en-US" w:eastAsia="en-US" w:bidi="ar-SA"/>
        </w:rPr>
        <w:t xml:space="preserve"> that is alleged to violate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 This suggests that s. 52(1) provides the proper remedy.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62 It is argued that s. 24(1), while normally applicable to government acts, can also be used to provide a stand-alone remedy for the unconstitutional effects of mandatory minimum sentence laws. The wording of s. 24(1) is generous enough to permit this, it is argued, conferring a discretion on judges to grant "such remedy as the court considers appropriate and just in the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64 The highly discretionary language in s. 24(1), "such remedy as the court considers appropriate and just in the circumstances", is appropriate for control of unconstitutional acts. By contrast, s. 52(1) targets the unconstitutionality of laws in a direct non-discretionary way: laws are of no force or effect to the extent that they are unconstitutional.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With this background, let me start by addressing the claims by the petitioners and the defences raised by the Province.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Should the Declaration of Invalidity have Retroactive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major issue to be grappled with under this topic is whether the s. 52 declaration of invalidity should have retroactive effect, although subsidiary issues concerning general remedial principles also come into play.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petitioners say that the declaration should have retroactive effect, and the Province disagrees.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Retroactivity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Supreme Court in </w:t>
      </w:r>
      <w:r>
        <w:rPr>
          <w:rFonts w:ascii="arial" w:eastAsia="arial" w:hAnsi="arial" w:cs="arial"/>
          <w:i/>
          <w:color w:val="000000"/>
          <w:sz w:val="20"/>
          <w:lang w:val="en-US" w:eastAsia="en-US" w:bidi="ar-SA"/>
        </w:rPr>
        <w:t>Hislop</w:t>
      </w:r>
      <w:r>
        <w:rPr>
          <w:rFonts w:ascii="arial" w:eastAsia="arial" w:hAnsi="arial" w:cs="arial"/>
          <w:color w:val="000000"/>
          <w:sz w:val="20"/>
          <w:lang w:val="en-US" w:eastAsia="en-US" w:bidi="ar-SA"/>
        </w:rPr>
        <w:t>, described how a judicial decision is normally retroactive and how a s. 52 declaration of invalidity can be seen to have retroactive remedial effects (at para. 82):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[82] Section 52(1) instructs courts to declare unconstitutional legislation of no force or effect. When a court issues a declaration of invalidity, it declares that, henceforth, the unconstitutional law cannot be enforced. The nullification of a law is thus prospective. However, s. 52(1) may also operate retroactively so far as the parties are concerned, reaching into the past to annul the effects of the unconstitutional law: see, e.g., </w:t>
      </w:r>
      <w:r>
        <w:rPr>
          <w:rFonts w:ascii="arial" w:eastAsia="arial" w:hAnsi="arial" w:cs="arial"/>
          <w:i/>
          <w:color w:val="000000"/>
          <w:sz w:val="20"/>
          <w:lang w:val="en-US" w:eastAsia="en-US" w:bidi="ar-SA"/>
        </w:rPr>
        <w:t>Miron v. Trudel</w:t>
      </w:r>
      <w:r>
        <w:rPr>
          <w:rFonts w:ascii="arial" w:eastAsia="arial" w:hAnsi="arial" w:cs="arial"/>
          <w:color w:val="000000"/>
          <w:sz w:val="20"/>
          <w:lang w:val="en-US" w:eastAsia="en-US" w:bidi="ar-SA"/>
        </w:rPr>
        <w:t xml:space="preserve">, </w:t>
      </w:r>
      <w:hyperlink r:id="rId768" w:history="1">
        <w:r>
          <w:rPr>
            <w:rFonts w:ascii="arial" w:eastAsia="arial" w:hAnsi="arial" w:cs="arial"/>
            <w:i/>
            <w:color w:val="0077CC"/>
            <w:sz w:val="20"/>
            <w:u w:val="single"/>
            <w:shd w:val="clear" w:color="auto" w:fill="FFFFFF"/>
            <w:lang w:val="en-US" w:eastAsia="en-US" w:bidi="ar-SA"/>
          </w:rPr>
          <w:t>[1995] 2 S.C.R. 418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Quoting Peter Hogg, the Court went on to discuss the declaratory approach to constitutional remedies and how this approach can be seen to favour retroactive remedies under s. 52 (at para. 83):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[83] In the words of Professor Hogg, a declaration of constitutional invalidity "</w:t>
      </w:r>
      <w:r>
        <w:rPr>
          <w:rFonts w:ascii="arial" w:eastAsia="arial" w:hAnsi="arial" w:cs="arial"/>
          <w:color w:val="000000"/>
          <w:sz w:val="20"/>
          <w:u w:val="single"/>
          <w:lang w:val="en-US" w:eastAsia="en-US" w:bidi="ar-SA"/>
        </w:rPr>
        <w:t>involves the nullification of the law from the outset</w:t>
      </w:r>
      <w:r>
        <w:rPr>
          <w:rFonts w:ascii="arial" w:eastAsia="arial" w:hAnsi="arial" w:cs="arial"/>
          <w:color w:val="000000"/>
          <w:sz w:val="20"/>
          <w:lang w:val="en-US" w:eastAsia="en-US" w:bidi="ar-SA"/>
        </w:rPr>
        <w:t xml:space="preserve">" (P. W. Hogg, </w:t>
      </w:r>
      <w:r>
        <w:rPr>
          <w:rFonts w:ascii="arial" w:eastAsia="arial" w:hAnsi="arial" w:cs="arial"/>
          <w:i/>
          <w:color w:val="000000"/>
          <w:sz w:val="20"/>
          <w:lang w:val="en-US" w:eastAsia="en-US" w:bidi="ar-SA"/>
        </w:rPr>
        <w:t>Constitutional Law of Canada</w:t>
      </w:r>
      <w:r>
        <w:rPr>
          <w:rFonts w:ascii="arial" w:eastAsia="arial" w:hAnsi="arial" w:cs="arial"/>
          <w:color w:val="000000"/>
          <w:sz w:val="20"/>
          <w:lang w:val="en-US" w:eastAsia="en-US" w:bidi="ar-SA"/>
        </w:rPr>
        <w:t xml:space="preserve"> (loose-leaf ed.), vol. 2, at p. 55-2 (emphasis added)). If the law was invalid from the outset, then any government action taken pursuant to that law is also invalid, and consequently, those affected by it have a right to redress which reaches back into the past.</w:t>
      </w:r>
    </w:p>
    <w:p>
      <w:pPr>
        <w:spacing w:before="120"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However, although the Court in </w:t>
      </w:r>
      <w:r>
        <w:rPr>
          <w:rFonts w:ascii="arial" w:eastAsia="arial" w:hAnsi="arial" w:cs="arial"/>
          <w:i/>
          <w:color w:val="000000"/>
          <w:sz w:val="20"/>
          <w:lang w:val="en-US" w:eastAsia="en-US" w:bidi="ar-SA"/>
        </w:rPr>
        <w:t>Hislop</w:t>
      </w:r>
      <w:r>
        <w:rPr>
          <w:rFonts w:ascii="arial" w:eastAsia="arial" w:hAnsi="arial" w:cs="arial"/>
          <w:color w:val="000000"/>
          <w:sz w:val="20"/>
          <w:lang w:val="en-US" w:eastAsia="en-US" w:bidi="ar-SA"/>
        </w:rPr>
        <w:t xml:space="preserve"> held that retroactivity is the general rule with respect to remedies for successful litigants, it also pointed out that the general rule will not be applicable in all circumstances (at para 86):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[86] Because courts are adjudicative bodies that, in the usual course of things, are called upon to decide the legal consequences of past happenings, </w:t>
      </w:r>
      <w:r>
        <w:rPr>
          <w:rFonts w:ascii="arial" w:eastAsia="arial" w:hAnsi="arial" w:cs="arial"/>
          <w:color w:val="000000"/>
          <w:sz w:val="20"/>
          <w:u w:val="single"/>
          <w:lang w:val="en-US" w:eastAsia="en-US" w:bidi="ar-SA"/>
        </w:rPr>
        <w:t>they generally grant remedies that are retroactive to the extent necessary to ensure that successful litigants will have the benefit of the ruling</w:t>
      </w:r>
      <w:r>
        <w:rPr>
          <w:rFonts w:ascii="arial" w:eastAsia="arial" w:hAnsi="arial" w:cs="arial"/>
          <w:color w:val="000000"/>
          <w:sz w:val="20"/>
          <w:lang w:val="en-US" w:eastAsia="en-US" w:bidi="ar-SA"/>
        </w:rPr>
        <w:t xml:space="preserve">: see S. Choudhry and K. Roach, "Putting the Past Behind Us? Prospective Judicial and Legislative Constitutional Remedies" </w:t>
      </w:r>
      <w:hyperlink r:id="rId781" w:history="1">
        <w:r>
          <w:rPr>
            <w:rFonts w:ascii="arial" w:eastAsia="arial" w:hAnsi="arial" w:cs="arial"/>
            <w:i/>
            <w:color w:val="0077CC"/>
            <w:sz w:val="20"/>
            <w:u w:val="single"/>
            <w:shd w:val="clear" w:color="auto" w:fill="FFFFFF"/>
            <w:lang w:val="en-US" w:eastAsia="en-US" w:bidi="ar-SA"/>
          </w:rPr>
          <w:t>(2003), 21 S.C.L.R. (2d) 205</w:t>
        </w:r>
      </w:hyperlink>
      <w:r>
        <w:rPr>
          <w:rFonts w:ascii="arial" w:eastAsia="arial" w:hAnsi="arial" w:cs="arial"/>
          <w:color w:val="000000"/>
          <w:sz w:val="20"/>
          <w:lang w:val="en-US" w:eastAsia="en-US" w:bidi="ar-SA"/>
        </w:rPr>
        <w:t xml:space="preserve">, at pp. 211 and 218. </w:t>
      </w:r>
      <w:r>
        <w:rPr>
          <w:rFonts w:ascii="arial" w:eastAsia="arial" w:hAnsi="arial" w:cs="arial"/>
          <w:color w:val="000000"/>
          <w:sz w:val="20"/>
          <w:u w:val="single"/>
          <w:lang w:val="en-US" w:eastAsia="en-US" w:bidi="ar-SA"/>
        </w:rPr>
        <w:t xml:space="preserve">There is, however, an important difference between saying that judicial decisions are </w:t>
      </w:r>
      <w:r>
        <w:rPr>
          <w:rFonts w:ascii="arial" w:eastAsia="arial" w:hAnsi="arial" w:cs="arial"/>
          <w:i/>
          <w:color w:val="000000"/>
          <w:sz w:val="20"/>
          <w:u w:val="single"/>
          <w:lang w:val="en-US" w:eastAsia="en-US" w:bidi="ar-SA"/>
        </w:rPr>
        <w:t>generally</w:t>
      </w:r>
      <w:r>
        <w:rPr>
          <w:rFonts w:ascii="arial" w:eastAsia="arial" w:hAnsi="arial" w:cs="arial"/>
          <w:color w:val="000000"/>
          <w:sz w:val="20"/>
          <w:u w:val="single"/>
          <w:lang w:val="en-US" w:eastAsia="en-US" w:bidi="ar-SA"/>
        </w:rPr>
        <w:t xml:space="preserve"> retroactive and that they are </w:t>
      </w:r>
      <w:r>
        <w:rPr>
          <w:rFonts w:ascii="arial" w:eastAsia="arial" w:hAnsi="arial" w:cs="arial"/>
          <w:i/>
          <w:color w:val="000000"/>
          <w:sz w:val="20"/>
          <w:u w:val="single"/>
          <w:lang w:val="en-US" w:eastAsia="en-US" w:bidi="ar-SA"/>
        </w:rPr>
        <w:t>necessarily</w:t>
      </w:r>
      <w:r>
        <w:rPr>
          <w:rFonts w:ascii="arial" w:eastAsia="arial" w:hAnsi="arial" w:cs="arial"/>
          <w:color w:val="000000"/>
          <w:sz w:val="20"/>
          <w:u w:val="single"/>
          <w:lang w:val="en-US" w:eastAsia="en-US" w:bidi="ar-SA"/>
        </w:rPr>
        <w:t xml:space="preserve"> retroactive. When the law changes through judicial intervention, courts operate outside of the Blackstonian paradigm. In those situations, it may be appropriate for the court to issue a prospective rather than a retroactive remedy.</w:t>
      </w:r>
      <w:r>
        <w:rPr>
          <w:rFonts w:ascii="arial" w:eastAsia="arial" w:hAnsi="arial" w:cs="arial"/>
          <w:color w:val="000000"/>
          <w:sz w:val="20"/>
          <w:lang w:val="en-US" w:eastAsia="en-US" w:bidi="ar-SA"/>
        </w:rPr>
        <w:t xml:space="preserve"> The question then becomes what kind of change and which conditions will justify the crafting of judicial prospective remedies.</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Court articulated that when a court is "declaring the law as it has existed", then it is appropriate to award a fully retroactive remedy; however, when the nature and effect of the judgment of the court represents a "substantial change in the law", fairness may dictate that the retroactive effect of the judgment be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One might ask why this topic must be addressed, when there are still possible defences to claims where government legislation is declared invalid. The Court in </w:t>
      </w:r>
      <w:r>
        <w:rPr>
          <w:rFonts w:ascii="arial" w:eastAsia="arial" w:hAnsi="arial" w:cs="arial"/>
          <w:i/>
          <w:color w:val="000000"/>
          <w:sz w:val="20"/>
          <w:lang w:val="en-US" w:eastAsia="en-US" w:bidi="ar-SA"/>
        </w:rPr>
        <w:t>Hislop</w:t>
      </w:r>
      <w:r>
        <w:rPr>
          <w:rFonts w:ascii="arial" w:eastAsia="arial" w:hAnsi="arial" w:cs="arial"/>
          <w:color w:val="000000"/>
          <w:sz w:val="20"/>
          <w:lang w:val="en-US" w:eastAsia="en-US" w:bidi="ar-SA"/>
        </w:rPr>
        <w:t xml:space="preserve"> noted that legitimate defences available to government when it adopts an invalid law and the declaration is retroactive do not cover all circumstances(at para. 101):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101 A careful consideration of reliance interests is critical to this analytical process. Although legal mechanisms, such as the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doctrine,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or the law of limitations, may mitigate the consequences of declaratory rulings in certain circumstances, they do not address every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Hislop</w:t>
      </w:r>
      <w:r>
        <w:rPr>
          <w:rFonts w:ascii="arial" w:eastAsia="arial" w:hAnsi="arial" w:cs="arial"/>
          <w:color w:val="000000"/>
          <w:sz w:val="20"/>
          <w:lang w:val="en-US" w:eastAsia="en-US" w:bidi="ar-SA"/>
        </w:rPr>
        <w:t xml:space="preserve"> set out a two-part test for determining whether or not a declaration of invalidity should have retroactive effect. The analysis begins with a threshold consideration of whether there has been a substantial change in the law. If that threshold test is met, the court still must consider an additional series of factors as part of an overall balancing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At para. 99 of </w:t>
      </w:r>
      <w:r>
        <w:rPr>
          <w:rFonts w:ascii="arial" w:eastAsia="arial" w:hAnsi="arial" w:cs="arial"/>
          <w:i/>
          <w:color w:val="000000"/>
          <w:sz w:val="20"/>
          <w:lang w:val="en-US" w:eastAsia="en-US" w:bidi="ar-SA"/>
        </w:rPr>
        <w:t>Hislop</w:t>
      </w:r>
      <w:r>
        <w:rPr>
          <w:rFonts w:ascii="arial" w:eastAsia="arial" w:hAnsi="arial" w:cs="arial"/>
          <w:color w:val="000000"/>
          <w:sz w:val="20"/>
          <w:lang w:val="en-US" w:eastAsia="en-US" w:bidi="ar-SA"/>
        </w:rPr>
        <w:t>, the Court articulated circumstances when a "substantial change" can be said to have occurred: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[99] Change in the law occurs in many ways. "Clear break with the past" catches some of its diversity. It can be best identified with those situations where, in Canadian law, the Supreme Court departs from its own jurisprudence by expressly overruling or implicitly repudiating a prior decision. Such clear situations would justify recourse to prospective remedies in a proper context. But other forms of substantial change may be as relevant, especially in constitutional adjudication, where courts must give content to broad, but previously undefined, rights, principles or norms. The definition of a yet undetermined standard or the recognition that a situation is now covered by a constitutional guarantee also often expresses a substantial change in the law. The right may have been there, but it finds an expression in a new or newly recognized technological or social environment. Such a legal response to these developments properly grounds the use of prospective remedies, when the appropriate circumstances are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Court was clear that a "substantial change" in and of itself will not be enough "to justify purely prospective remedies", and went on to describe the additional list of factors which also require consideration (at para. 100):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[100] Although the list of such factors should not be considered as closed, some of them appear more clearly compelling. They may include reasonable or in good faith reliance by governments (</w:t>
      </w:r>
      <w:r>
        <w:rPr>
          <w:rFonts w:ascii="arial" w:eastAsia="arial" w:hAnsi="arial" w:cs="arial"/>
          <w:i/>
          <w:color w:val="000000"/>
          <w:sz w:val="20"/>
          <w:lang w:val="en-US" w:eastAsia="en-US" w:bidi="ar-SA"/>
        </w:rPr>
        <w:t>Miron</w:t>
      </w:r>
      <w:r>
        <w:rPr>
          <w:rFonts w:ascii="arial" w:eastAsia="arial" w:hAnsi="arial" w:cs="arial"/>
          <w:color w:val="000000"/>
          <w:sz w:val="20"/>
          <w:lang w:val="en-US" w:eastAsia="en-US" w:bidi="ar-SA"/>
        </w:rPr>
        <w:t xml:space="preserve">, at para. 173; </w:t>
      </w:r>
      <w:r>
        <w:rPr>
          <w:rFonts w:ascii="arial" w:eastAsia="arial" w:hAnsi="arial" w:cs="arial"/>
          <w:i/>
          <w:color w:val="000000"/>
          <w:sz w:val="20"/>
          <w:lang w:val="en-US" w:eastAsia="en-US" w:bidi="ar-SA"/>
        </w:rPr>
        <w:t>Mackin v. New Brunswick (Minister of Finance)</w:t>
      </w:r>
      <w:r>
        <w:rPr>
          <w:rFonts w:ascii="arial" w:eastAsia="arial" w:hAnsi="arial" w:cs="arial"/>
          <w:color w:val="000000"/>
          <w:sz w:val="20"/>
          <w:lang w:val="en-US" w:eastAsia="en-US" w:bidi="ar-SA"/>
        </w:rPr>
        <w:t xml:space="preserve">, </w:t>
      </w:r>
      <w:hyperlink r:id="rId782" w:history="1">
        <w:r>
          <w:rPr>
            <w:rFonts w:ascii="arial" w:eastAsia="arial" w:hAnsi="arial" w:cs="arial"/>
            <w:i/>
            <w:color w:val="0077CC"/>
            <w:sz w:val="20"/>
            <w:u w:val="single"/>
            <w:shd w:val="clear" w:color="auto" w:fill="FFFFFF"/>
            <w:lang w:val="en-US" w:eastAsia="en-US" w:bidi="ar-SA"/>
          </w:rPr>
          <w:t>[2002] 1 S.C.R. 405</w:t>
        </w:r>
      </w:hyperlink>
      <w:r>
        <w:rPr>
          <w:rFonts w:ascii="arial" w:eastAsia="arial" w:hAnsi="arial" w:cs="arial"/>
          <w:color w:val="000000"/>
          <w:sz w:val="20"/>
          <w:lang w:val="en-US" w:eastAsia="en-US" w:bidi="ar-SA"/>
        </w:rPr>
        <w:t xml:space="preserve">, </w:t>
      </w:r>
      <w:hyperlink r:id="rId782" w:history="1">
        <w:r>
          <w:rPr>
            <w:rFonts w:ascii="arial" w:eastAsia="arial" w:hAnsi="arial" w:cs="arial"/>
            <w:i/>
            <w:color w:val="0077CC"/>
            <w:sz w:val="20"/>
            <w:u w:val="single"/>
            <w:shd w:val="clear" w:color="auto" w:fill="FFFFFF"/>
            <w:lang w:val="en-US" w:eastAsia="en-US" w:bidi="ar-SA"/>
          </w:rPr>
          <w:t>2002 SCC 13</w:t>
        </w:r>
      </w:hyperlink>
      <w:r>
        <w:rPr>
          <w:rFonts w:ascii="arial" w:eastAsia="arial" w:hAnsi="arial" w:cs="arial"/>
          <w:color w:val="000000"/>
          <w:sz w:val="20"/>
          <w:lang w:val="en-US" w:eastAsia="en-US" w:bidi="ar-SA"/>
        </w:rPr>
        <w:t>, at para. 78), or the fairness of the limitation of the retroactivity of the remedy to the litigants. Courts ought also consider whether a retroactive remedy would unduly interfere with the constitutional role of legislatures and democratic governments in the allocation of public resources (</w:t>
      </w:r>
      <w:r>
        <w:rPr>
          <w:rFonts w:ascii="arial" w:eastAsia="arial" w:hAnsi="arial" w:cs="arial"/>
          <w:i/>
          <w:color w:val="000000"/>
          <w:sz w:val="20"/>
          <w:lang w:val="en-US" w:eastAsia="en-US" w:bidi="ar-SA"/>
        </w:rPr>
        <w:t>Benner</w:t>
      </w:r>
      <w:r>
        <w:rPr>
          <w:rFonts w:ascii="arial" w:eastAsia="arial" w:hAnsi="arial" w:cs="arial"/>
          <w:color w:val="000000"/>
          <w:sz w:val="20"/>
          <w:lang w:val="en-US" w:eastAsia="en-US" w:bidi="ar-SA"/>
        </w:rPr>
        <w:t xml:space="preserve">, </w:t>
      </w:r>
      <w:hyperlink r:id="rId783" w:history="1">
        <w:r>
          <w:rPr>
            <w:rFonts w:ascii="arial" w:eastAsia="arial" w:hAnsi="arial" w:cs="arial"/>
            <w:i/>
            <w:color w:val="0077CC"/>
            <w:sz w:val="20"/>
            <w:u w:val="single"/>
            <w:shd w:val="clear" w:color="auto" w:fill="FFFFFF"/>
            <w:lang w:val="en-US" w:eastAsia="en-US" w:bidi="ar-SA"/>
          </w:rPr>
          <w:t>[1997] 1 S.C.R. 358</w:t>
        </w:r>
      </w:hyperlink>
      <w:r>
        <w:rPr>
          <w:rFonts w:ascii="arial" w:eastAsia="arial" w:hAnsi="arial" w:cs="arial"/>
          <w:color w:val="000000"/>
          <w:sz w:val="20"/>
          <w:lang w:val="en-US" w:eastAsia="en-US" w:bidi="ar-SA"/>
        </w:rPr>
        <w:t xml:space="preserve">, at para. 103; </w:t>
      </w:r>
      <w:r>
        <w:rPr>
          <w:rFonts w:ascii="arial" w:eastAsia="arial" w:hAnsi="arial" w:cs="arial"/>
          <w:i/>
          <w:color w:val="000000"/>
          <w:sz w:val="20"/>
          <w:lang w:val="en-US" w:eastAsia="en-US" w:bidi="ar-SA"/>
        </w:rPr>
        <w:t>Schachter</w:t>
      </w:r>
      <w:r>
        <w:rPr>
          <w:rFonts w:ascii="arial" w:eastAsia="arial" w:hAnsi="arial" w:cs="arial"/>
          <w:color w:val="000000"/>
          <w:sz w:val="20"/>
          <w:lang w:val="en-US" w:eastAsia="en-US" w:bidi="ar-SA"/>
        </w:rPr>
        <w:t>, at p. 710).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this case, the Province argues vigorously against the granting of retroactive, personal, non-monetary remedies. The argument of the Province on this point is broken down into two parts. First, it argues that this Court's decision in </w:t>
      </w:r>
      <w:r>
        <w:rPr>
          <w:rFonts w:ascii="arial" w:eastAsia="arial" w:hAnsi="arial" w:cs="arial"/>
          <w:i/>
          <w:color w:val="000000"/>
          <w:sz w:val="20"/>
          <w:lang w:val="en-US" w:eastAsia="en-US" w:bidi="ar-SA"/>
        </w:rPr>
        <w:t>Sivia</w:t>
      </w:r>
      <w:r>
        <w:rPr>
          <w:rFonts w:ascii="arial" w:eastAsia="arial" w:hAnsi="arial" w:cs="arial"/>
          <w:color w:val="000000"/>
          <w:sz w:val="20"/>
          <w:lang w:val="en-US" w:eastAsia="en-US" w:bidi="ar-SA"/>
        </w:rPr>
        <w:t xml:space="preserve"> #1 represented a "substantial change in the law"; the threshold question in the </w:t>
      </w:r>
      <w:r>
        <w:rPr>
          <w:rFonts w:ascii="arial" w:eastAsia="arial" w:hAnsi="arial" w:cs="arial"/>
          <w:i/>
          <w:color w:val="000000"/>
          <w:sz w:val="20"/>
          <w:lang w:val="en-US" w:eastAsia="en-US" w:bidi="ar-SA"/>
        </w:rPr>
        <w:t>Hislop</w:t>
      </w:r>
      <w:r>
        <w:rPr>
          <w:rFonts w:ascii="arial" w:eastAsia="arial" w:hAnsi="arial" w:cs="arial"/>
          <w:color w:val="000000"/>
          <w:sz w:val="20"/>
          <w:lang w:val="en-US" w:eastAsia="en-US" w:bidi="ar-SA"/>
        </w:rPr>
        <w:t xml:space="preserve"> analysis. It says that the "substantial change" arose because the decision, for the first time, recognized that provincial legislation which used the results of an approved screening device "ASD" was "a law that authorized a search and seizure" and, therefore, the decision represented "recognition that a situation is now covered by a constitutional guarantee" (</w:t>
      </w:r>
      <w:r>
        <w:rPr>
          <w:rFonts w:ascii="arial" w:eastAsia="arial" w:hAnsi="arial" w:cs="arial"/>
          <w:i/>
          <w:color w:val="000000"/>
          <w:sz w:val="20"/>
          <w:lang w:val="en-US" w:eastAsia="en-US" w:bidi="ar-SA"/>
        </w:rPr>
        <w:t>Hislop,</w:t>
      </w:r>
      <w:r>
        <w:rPr>
          <w:rFonts w:ascii="arial" w:eastAsia="arial" w:hAnsi="arial" w:cs="arial"/>
          <w:color w:val="000000"/>
          <w:sz w:val="20"/>
          <w:lang w:val="en-US" w:eastAsia="en-US" w:bidi="ar-SA"/>
        </w:rPr>
        <w:t xml:space="preserve"> at para. 99). The Province posits that the case was without precedent with respect to analysing the provincial legislative scheme as working with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to create a search subject to s. 8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and that the particular analysis of "reasonableness" with respect to the search and seizure in an administrative context in the event of a "fail" reading on an ASD represented a novel approach in an area without settled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Second, and in recognition that something more than a "substantial change in the law" is necessary, the Province argues that each of the additional criteria enunciated in </w:t>
      </w:r>
      <w:r>
        <w:rPr>
          <w:rFonts w:ascii="arial" w:eastAsia="arial" w:hAnsi="arial" w:cs="arial"/>
          <w:i/>
          <w:color w:val="000000"/>
          <w:sz w:val="20"/>
          <w:lang w:val="en-US" w:eastAsia="en-US" w:bidi="ar-SA"/>
        </w:rPr>
        <w:t>Hislop</w:t>
      </w:r>
      <w:r>
        <w:rPr>
          <w:rFonts w:ascii="arial" w:eastAsia="arial" w:hAnsi="arial" w:cs="arial"/>
          <w:color w:val="000000"/>
          <w:sz w:val="20"/>
          <w:lang w:val="en-US" w:eastAsia="en-US" w:bidi="ar-SA"/>
        </w:rPr>
        <w:t>, namely reasonable reliance, good faith, fairness to the litigants and respect for the role of the legislature, favour a purely prospective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On the other side, the petitioners argue that based on the Blackstonian view that courts only ever "discover" laws which have always been in existence, the general rule that a declaration of invalidity is to be given retroactive effect should prevail. It is their position that </w:t>
      </w:r>
      <w:r>
        <w:rPr>
          <w:rFonts w:ascii="arial" w:eastAsia="arial" w:hAnsi="arial" w:cs="arial"/>
          <w:i/>
          <w:color w:val="000000"/>
          <w:sz w:val="20"/>
          <w:lang w:val="en-US" w:eastAsia="en-US" w:bidi="ar-SA"/>
        </w:rPr>
        <w:t>Sivia</w:t>
      </w:r>
      <w:r>
        <w:rPr>
          <w:rFonts w:ascii="arial" w:eastAsia="arial" w:hAnsi="arial" w:cs="arial"/>
          <w:color w:val="000000"/>
          <w:sz w:val="20"/>
          <w:lang w:val="en-US" w:eastAsia="en-US" w:bidi="ar-SA"/>
        </w:rPr>
        <w:t xml:space="preserve"> #1 applied well-established s. 8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principles, and that the Province's claim that the decision represents a "substantial change in the law" is improperly focused on only one step in a broader s. 8 analysis. The petitioners argue that simply because this Court found that the ARP regime authorizes a search by use and reference to the results of the ASD, does not mean that the regime is "now covered by a constitutional guarantee", because this finding does not automatically determine whether a guarantee applies. They say that this Court's finding was only the first step in the s. 8 analysis, and that after making that finding, this Court still had to determine whether the regime violated s. 8; the well-established s. 8 analysis. The petitioners point out that this Court gave several examples of decisions where the taking of a breath sample by an ASD as part of a criminal investigation constituted a search and seizure under s.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Because, say the petitioners, the </w:t>
      </w:r>
      <w:r>
        <w:rPr>
          <w:rFonts w:ascii="arial" w:eastAsia="arial" w:hAnsi="arial" w:cs="arial"/>
          <w:i/>
          <w:color w:val="000000"/>
          <w:sz w:val="20"/>
          <w:lang w:val="en-US" w:eastAsia="en-US" w:bidi="ar-SA"/>
        </w:rPr>
        <w:t>Sivia</w:t>
      </w:r>
      <w:r>
        <w:rPr>
          <w:rFonts w:ascii="arial" w:eastAsia="arial" w:hAnsi="arial" w:cs="arial"/>
          <w:color w:val="000000"/>
          <w:sz w:val="20"/>
          <w:lang w:val="en-US" w:eastAsia="en-US" w:bidi="ar-SA"/>
        </w:rPr>
        <w:t xml:space="preserve"> decision does not represent a "substantial change in the law", the </w:t>
      </w:r>
      <w:r>
        <w:rPr>
          <w:rFonts w:ascii="arial" w:eastAsia="arial" w:hAnsi="arial" w:cs="arial"/>
          <w:i/>
          <w:color w:val="000000"/>
          <w:sz w:val="20"/>
          <w:lang w:val="en-US" w:eastAsia="en-US" w:bidi="ar-SA"/>
        </w:rPr>
        <w:t>Hislop</w:t>
      </w:r>
      <w:r>
        <w:rPr>
          <w:rFonts w:ascii="arial" w:eastAsia="arial" w:hAnsi="arial" w:cs="arial"/>
          <w:color w:val="000000"/>
          <w:sz w:val="20"/>
          <w:lang w:val="en-US" w:eastAsia="en-US" w:bidi="ar-SA"/>
        </w:rPr>
        <w:t xml:space="preserve"> analysis yields the result that retroactive relief should not be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Even if the threshold issue of "substantial change" has been satisfied, the petitioners argue that the remaining criteria articulated in </w:t>
      </w:r>
      <w:r>
        <w:rPr>
          <w:rFonts w:ascii="arial" w:eastAsia="arial" w:hAnsi="arial" w:cs="arial"/>
          <w:i/>
          <w:color w:val="000000"/>
          <w:sz w:val="20"/>
          <w:lang w:val="en-US" w:eastAsia="en-US" w:bidi="ar-SA"/>
        </w:rPr>
        <w:t>Hislop</w:t>
      </w:r>
      <w:r>
        <w:rPr>
          <w:rFonts w:ascii="arial" w:eastAsia="arial" w:hAnsi="arial" w:cs="arial"/>
          <w:color w:val="000000"/>
          <w:sz w:val="20"/>
          <w:lang w:val="en-US" w:eastAsia="en-US" w:bidi="ar-SA"/>
        </w:rPr>
        <w:t>, on balance, weigh in favour of granting retroactive relief.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Before applying the </w:t>
      </w:r>
      <w:r>
        <w:rPr>
          <w:rFonts w:ascii="arial" w:eastAsia="arial" w:hAnsi="arial" w:cs="arial"/>
          <w:i/>
          <w:color w:val="000000"/>
          <w:sz w:val="20"/>
          <w:lang w:val="en-US" w:eastAsia="en-US" w:bidi="ar-SA"/>
        </w:rPr>
        <w:t>Hislop</w:t>
      </w:r>
      <w:r>
        <w:rPr>
          <w:rFonts w:ascii="arial" w:eastAsia="arial" w:hAnsi="arial" w:cs="arial"/>
          <w:color w:val="000000"/>
          <w:sz w:val="20"/>
          <w:lang w:val="en-US" w:eastAsia="en-US" w:bidi="ar-SA"/>
        </w:rPr>
        <w:t xml:space="preserve"> test to the factual scenario in the case at bar, it is important to note that although the Court in </w:t>
      </w:r>
      <w:r>
        <w:rPr>
          <w:rFonts w:ascii="arial" w:eastAsia="arial" w:hAnsi="arial" w:cs="arial"/>
          <w:i/>
          <w:color w:val="000000"/>
          <w:sz w:val="20"/>
          <w:lang w:val="en-US" w:eastAsia="en-US" w:bidi="ar-SA"/>
        </w:rPr>
        <w:t>Hislop</w:t>
      </w:r>
      <w:r>
        <w:rPr>
          <w:rFonts w:ascii="arial" w:eastAsia="arial" w:hAnsi="arial" w:cs="arial"/>
          <w:color w:val="000000"/>
          <w:sz w:val="20"/>
          <w:lang w:val="en-US" w:eastAsia="en-US" w:bidi="ar-SA"/>
        </w:rPr>
        <w:t xml:space="preserve"> suggested that granting a suspended declaration of invalidity may be inconsistent with the general rule of retroactivity of relief (</w:t>
      </w:r>
      <w:r>
        <w:rPr>
          <w:rFonts w:ascii="arial" w:eastAsia="arial" w:hAnsi="arial" w:cs="arial"/>
          <w:i/>
          <w:color w:val="000000"/>
          <w:sz w:val="20"/>
          <w:lang w:val="en-US" w:eastAsia="en-US" w:bidi="ar-SA"/>
        </w:rPr>
        <w:t>Hislop,</w:t>
      </w:r>
      <w:r>
        <w:rPr>
          <w:rFonts w:ascii="arial" w:eastAsia="arial" w:hAnsi="arial" w:cs="arial"/>
          <w:color w:val="000000"/>
          <w:sz w:val="20"/>
          <w:lang w:val="en-US" w:eastAsia="en-US" w:bidi="ar-SA"/>
        </w:rPr>
        <w:t xml:space="preserve"> at para. 92), I made a point in my earlier judgement that the suspension, in and of itself, was not intended to deprive anyone of an appropriate remedy (see </w:t>
      </w:r>
      <w:r>
        <w:rPr>
          <w:rFonts w:ascii="arial" w:eastAsia="arial" w:hAnsi="arial" w:cs="arial"/>
          <w:i/>
          <w:color w:val="000000"/>
          <w:sz w:val="20"/>
          <w:lang w:val="en-US" w:eastAsia="en-US" w:bidi="ar-SA"/>
        </w:rPr>
        <w:t>Sivia</w:t>
      </w:r>
      <w:r>
        <w:rPr>
          <w:rFonts w:ascii="arial" w:eastAsia="arial" w:hAnsi="arial" w:cs="arial"/>
          <w:color w:val="000000"/>
          <w:sz w:val="20"/>
          <w:lang w:val="en-US" w:eastAsia="en-US" w:bidi="ar-SA"/>
        </w:rPr>
        <w:t xml:space="preserve"> #2 at para. 22). However, I did not decide at that time whether the declaration of invalidity should be retroactive or prospective.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the issue of "substantial change" I find myself in agreement with the Province. I find my ruling on November 30, 2011 qualifies as a substantial change to the law. There are a number of aspects to this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Although previous jurisprudence has held that a breath sample can be construed as a search and seizure in a criminal investigation, the use of that breath sample for provincial regulatory purposes, and the broader recognition that the provincial and federal regimes work together to create the search and seizure subject to s. 8, is, I believe, a new application of s. 8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to a provincial regulatory regime.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Moreover, it is my view that finding that the lack of a meaningful appeal process within the ARP regime made the regime "unreasonable" under s. 8, is part of a novel way of assessing reasonableness generally under s. 8 and, therefore, in connection with an administrative regulatory scheme, can be seen to represent a "definition of a yet undetermined standard" (</w:t>
      </w:r>
      <w:r>
        <w:rPr>
          <w:rFonts w:ascii="arial" w:eastAsia="arial" w:hAnsi="arial" w:cs="arial"/>
          <w:i/>
          <w:color w:val="000000"/>
          <w:sz w:val="20"/>
          <w:lang w:val="en-US" w:eastAsia="en-US" w:bidi="ar-SA"/>
        </w:rPr>
        <w:t>Hislop</w:t>
      </w:r>
      <w:r>
        <w:rPr>
          <w:rFonts w:ascii="arial" w:eastAsia="arial" w:hAnsi="arial" w:cs="arial"/>
          <w:color w:val="000000"/>
          <w:sz w:val="20"/>
          <w:lang w:val="en-US" w:eastAsia="en-US" w:bidi="ar-SA"/>
        </w:rPr>
        <w:t xml:space="preserve"> at para. 99). For these reasons, I find that the threshold question of "substantial change" in the </w:t>
      </w:r>
      <w:r>
        <w:rPr>
          <w:rFonts w:ascii="arial" w:eastAsia="arial" w:hAnsi="arial" w:cs="arial"/>
          <w:i/>
          <w:color w:val="000000"/>
          <w:sz w:val="20"/>
          <w:lang w:val="en-US" w:eastAsia="en-US" w:bidi="ar-SA"/>
        </w:rPr>
        <w:t>Hislop</w:t>
      </w:r>
      <w:r>
        <w:rPr>
          <w:rFonts w:ascii="arial" w:eastAsia="arial" w:hAnsi="arial" w:cs="arial"/>
          <w:color w:val="000000"/>
          <w:sz w:val="20"/>
          <w:lang w:val="en-US" w:eastAsia="en-US" w:bidi="ar-SA"/>
        </w:rPr>
        <w:t xml:space="preserve"> analysis has been satisfied.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What then of the remaining criteria?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Hislop</w:t>
      </w:r>
      <w:r>
        <w:rPr>
          <w:rFonts w:ascii="arial" w:eastAsia="arial" w:hAnsi="arial" w:cs="arial"/>
          <w:color w:val="000000"/>
          <w:sz w:val="20"/>
          <w:lang w:val="en-US" w:eastAsia="en-US" w:bidi="ar-SA"/>
        </w:rPr>
        <w:t xml:space="preserve"> emphasised that the determination of retroactivity of a constitutional remedy will be based on a balancing of the factors articulated above, and that the result will very much be determined on the facts of the particular case (at para. 107):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factors may pull in different directions, with some factors favouring a retroactive remedy and others favouring a purely prospective remedy. In such cases, once the "substantial change" threshold criterion is met, it may be appropriate to limit the retroactive effect of the remedy based on a balancing of these other factors. This balance must be struck on a case-by-case basis.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Reasonable Reliance and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On the point of reasonable reliance and good faith the Province points to </w:t>
      </w:r>
      <w:r>
        <w:rPr>
          <w:rFonts w:ascii="arial" w:eastAsia="arial" w:hAnsi="arial" w:cs="arial"/>
          <w:i/>
          <w:color w:val="000000"/>
          <w:sz w:val="20"/>
          <w:lang w:val="en-US" w:eastAsia="en-US" w:bidi="ar-SA"/>
        </w:rPr>
        <w:t>Buhlers v. British Columbia (Superintendent of Motor Vehicles)</w:t>
      </w:r>
      <w:r>
        <w:rPr>
          <w:rFonts w:ascii="arial" w:eastAsia="arial" w:hAnsi="arial" w:cs="arial"/>
          <w:color w:val="000000"/>
          <w:sz w:val="20"/>
          <w:lang w:val="en-US" w:eastAsia="en-US" w:bidi="ar-SA"/>
        </w:rPr>
        <w:t xml:space="preserve">, </w:t>
      </w:r>
      <w:hyperlink r:id="rId784" w:history="1">
        <w:r>
          <w:rPr>
            <w:rFonts w:ascii="arial" w:eastAsia="arial" w:hAnsi="arial" w:cs="arial"/>
            <w:i/>
            <w:color w:val="0077CC"/>
            <w:sz w:val="20"/>
            <w:u w:val="single"/>
            <w:shd w:val="clear" w:color="auto" w:fill="FFFFFF"/>
            <w:lang w:val="en-US" w:eastAsia="en-US" w:bidi="ar-SA"/>
          </w:rPr>
          <w:t>[1998] B.C.J. No. 1242</w:t>
        </w:r>
      </w:hyperlink>
      <w:r>
        <w:rPr>
          <w:rFonts w:ascii="arial" w:eastAsia="arial" w:hAnsi="arial" w:cs="arial"/>
          <w:color w:val="000000"/>
          <w:sz w:val="20"/>
          <w:lang w:val="en-US" w:eastAsia="en-US" w:bidi="ar-SA"/>
        </w:rPr>
        <w:t xml:space="preserve"> (SC), aff'd </w:t>
      </w:r>
      <w:hyperlink r:id="rId785" w:history="1">
        <w:r>
          <w:rPr>
            <w:rFonts w:ascii="arial" w:eastAsia="arial" w:hAnsi="arial" w:cs="arial"/>
            <w:i/>
            <w:color w:val="0077CC"/>
            <w:sz w:val="20"/>
            <w:u w:val="single"/>
            <w:shd w:val="clear" w:color="auto" w:fill="FFFFFF"/>
            <w:lang w:val="en-US" w:eastAsia="en-US" w:bidi="ar-SA"/>
          </w:rPr>
          <w:t>1999 BCCA 114</w:t>
        </w:r>
      </w:hyperlink>
      <w:r>
        <w:rPr>
          <w:rFonts w:ascii="arial" w:eastAsia="arial" w:hAnsi="arial" w:cs="arial"/>
          <w:color w:val="000000"/>
          <w:sz w:val="20"/>
          <w:lang w:val="en-US" w:eastAsia="en-US" w:bidi="ar-SA"/>
        </w:rPr>
        <w:t xml:space="preserve">, where, in the face of constitutional challenges under ss. 8, 9, 10, 11(d) and 11(h)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both levels of Court upheld a provincial regime, similar to the ARP regime, which relied on the results of a roadside screening device to impose penalties on drivers. Application for leave to appeal the decision to the Supreme Court was dismissed: </w:t>
      </w:r>
      <w:hyperlink r:id="rId786" w:history="1">
        <w:r>
          <w:rPr>
            <w:rFonts w:ascii="arial" w:eastAsia="arial" w:hAnsi="arial" w:cs="arial"/>
            <w:i/>
            <w:color w:val="0077CC"/>
            <w:sz w:val="20"/>
            <w:u w:val="single"/>
            <w:shd w:val="clear" w:color="auto" w:fill="FFFFFF"/>
            <w:lang w:val="en-US" w:eastAsia="en-US" w:bidi="ar-SA"/>
          </w:rPr>
          <w:t>[1999] S.C.C.A. No. 219</w:t>
        </w:r>
      </w:hyperlink>
      <w:r>
        <w:rPr>
          <w:rFonts w:ascii="arial" w:eastAsia="arial" w:hAnsi="arial" w:cs="arial"/>
          <w:color w:val="000000"/>
          <w:sz w:val="20"/>
          <w:lang w:val="en-US" w:eastAsia="en-US" w:bidi="ar-SA"/>
        </w:rPr>
        <w:t xml:space="preserve">, No. 27268 (February 24, 2000). On this basis, the Province argues that it was appropriate for the legislature to rely on the analysis in </w:t>
      </w:r>
      <w:r>
        <w:rPr>
          <w:rFonts w:ascii="arial" w:eastAsia="arial" w:hAnsi="arial" w:cs="arial"/>
          <w:i/>
          <w:color w:val="000000"/>
          <w:sz w:val="20"/>
          <w:lang w:val="en-US" w:eastAsia="en-US" w:bidi="ar-SA"/>
        </w:rPr>
        <w:t>Buhlers</w:t>
      </w:r>
      <w:r>
        <w:rPr>
          <w:rFonts w:ascii="arial" w:eastAsia="arial" w:hAnsi="arial" w:cs="arial"/>
          <w:color w:val="000000"/>
          <w:sz w:val="20"/>
          <w:lang w:val="en-US" w:eastAsia="en-US" w:bidi="ar-SA"/>
        </w:rPr>
        <w:t xml:space="preserve"> in enacting substantially similar legislation. On the issue of good faith, the Province points out that as soon as the legislature became aware of the constitutional defect found by the Court, it announced that it would fix the defect with new legislation, which it has purported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reply to these submissions, the petitioners argue that the legislation was, in a number of ways, without precedent, and, therefore, government's possible reliance on jurisprudence analysing other similar regimes does not equate to reasonable reliance. In support of this position and the further position that the legislation was passed in bad faith, the petitioners point to a number of passages taken from the legislative debates which talk about the new regime introducing "significant changes" and "unprecedented measures". The petitioners emphasise that articulated concerns with the regime were discussed both by the official opposition, and by the majority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It is the position of the petitioners that the extensive discussion of the new regime in Hansard, in particular, the discussions of the seriousness of the consequences and the numerous specific constitutional concerns, shows that the government was aware of the potential unconstitutionality of the legislative regime. In the result, the petitioners argue that because of this knowledge, the government could and should have referred the proposed legislation to the courts by way of constitutional reference.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It is my view that in enacting the ARP regime, the Province reasonably relied on past jurisprudence considering similar legislative schemes, and that simply because they knew of the possibility, or even likelihood, that the legislation would be challenged in court, does not mean that there was a lack of good faith in passing it. </w:t>
      </w:r>
      <w:r>
        <w:rPr>
          <w:rFonts w:ascii="arial" w:eastAsia="arial" w:hAnsi="arial" w:cs="arial"/>
          <w:i/>
          <w:color w:val="000000"/>
          <w:sz w:val="20"/>
          <w:lang w:val="en-US" w:eastAsia="en-US" w:bidi="ar-SA"/>
        </w:rPr>
        <w:t>Buhlers</w:t>
      </w:r>
      <w:r>
        <w:rPr>
          <w:rFonts w:ascii="arial" w:eastAsia="arial" w:hAnsi="arial" w:cs="arial"/>
          <w:color w:val="000000"/>
          <w:sz w:val="20"/>
          <w:lang w:val="en-US" w:eastAsia="en-US" w:bidi="ar-SA"/>
        </w:rPr>
        <w:t>, as well as other cases cited in my earlier decision (</w:t>
      </w:r>
      <w:r>
        <w:rPr>
          <w:rFonts w:ascii="arial" w:eastAsia="arial" w:hAnsi="arial" w:cs="arial"/>
          <w:i/>
          <w:color w:val="000000"/>
          <w:sz w:val="20"/>
          <w:lang w:val="en-US" w:eastAsia="en-US" w:bidi="ar-SA"/>
        </w:rPr>
        <w:t>Sivia</w:t>
      </w:r>
      <w:r>
        <w:rPr>
          <w:rFonts w:ascii="arial" w:eastAsia="arial" w:hAnsi="arial" w:cs="arial"/>
          <w:color w:val="000000"/>
          <w:sz w:val="20"/>
          <w:lang w:val="en-US" w:eastAsia="en-US" w:bidi="ar-SA"/>
        </w:rPr>
        <w:t xml:space="preserve"> #1), dealt with similar legislative regimes, and similar constitutional issues were raised in the judicial analysis of those regimes. It is also important to note that the decision of this Court in </w:t>
      </w:r>
      <w:r>
        <w:rPr>
          <w:rFonts w:ascii="arial" w:eastAsia="arial" w:hAnsi="arial" w:cs="arial"/>
          <w:i/>
          <w:color w:val="000000"/>
          <w:sz w:val="20"/>
          <w:lang w:val="en-US" w:eastAsia="en-US" w:bidi="ar-SA"/>
        </w:rPr>
        <w:t>Sivia</w:t>
      </w:r>
      <w:r>
        <w:rPr>
          <w:rFonts w:ascii="arial" w:eastAsia="arial" w:hAnsi="arial" w:cs="arial"/>
          <w:color w:val="000000"/>
          <w:sz w:val="20"/>
          <w:lang w:val="en-US" w:eastAsia="en-US" w:bidi="ar-SA"/>
        </w:rPr>
        <w:t xml:space="preserve"> #1 recognized that for the most part, the ARP regime in question did pass constitutional scrutiny.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On the topic of good faith, although I question the Province's argument that its stated commitment to remedy the legislation subsequent to the decision of this Court declaring it unconstitutional is a factor that can bear on the analysis of good faith in the enactment of the impugned legislation, I am unable to agree with the petitioners that if the government has knowledge of the potential for constitutional challenge, that the only options open to it are to forgo passing the legislation, or to refer it for a constitutional reference. This line of reasoning would lead to the absurd result that every time the legislature wanted to enact any legislation with controversial elements to it, it should consult the courts first. Moreover, this kind of process could seriously delay the enactment of laws, like the present regime, which are addressed at remedying pressing and serious public problems. It should not be forgotten that drinking and driving is a very serious issue, with very serious consequences and that the legislature, not the court, is in the best position to decide on the best way of addressing the issue. It simply is not feasible or realistic to refer every constitutionally questionable bill to the courts for judicial input.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Furthermore, most, if not all, of the excerpts of the legislative debates cited by the petitioners raised concerns with respect to the constitutionality of provisions of the ARP regime which were ultimately upheld by this Court. Further, in one particular excerpt selected by the petitioners, the Minister responsible for introducing the legislation commented that before creating the legislation, the government "sought and relied upon the advice of those who have scrutinised closely the constitutional jurisprudence" and further that government had "sought the advice" and "relied on the jurisprudence that exists now in terms of applying the tests that a court would likely apply": British Columbia, Legislative Assembly, </w:t>
      </w:r>
      <w:r>
        <w:rPr>
          <w:rFonts w:ascii="arial" w:eastAsia="arial" w:hAnsi="arial" w:cs="arial"/>
          <w:i/>
          <w:color w:val="000000"/>
          <w:sz w:val="20"/>
          <w:lang w:val="en-US" w:eastAsia="en-US" w:bidi="ar-SA"/>
        </w:rPr>
        <w:t>Hansard</w:t>
      </w:r>
      <w:r>
        <w:rPr>
          <w:rFonts w:ascii="arial" w:eastAsia="arial" w:hAnsi="arial" w:cs="arial"/>
          <w:color w:val="000000"/>
          <w:sz w:val="20"/>
          <w:lang w:val="en-US" w:eastAsia="en-US" w:bidi="ar-SA"/>
        </w:rPr>
        <w:t xml:space="preserve"> Vol. 18 No. 4, (20 May 2010) at 5607 (Hon M. de Jong). These comments, I think, are admissible for the limited purpose of showing that the government exercised some due diligence, rather than an absence of good faith in passing a law in the face of obvious constitutional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the result, this factor weighs in favour of limiting the retroactive effect of the declaration of invalidity.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Fairness to Litigants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One submission of the Province on this point is that although the regime was found to be unconstitutional, primarily because of a lack of a meaningful appeal process which could consider factors such as whether the ASD was working properly, it is important to consider that "in the absence of a wholesale malfunction of some of all of the roadside screening devices ... the overwhelming majority of drivers who blew a 'fail' were in fact a menace on the road due to the consumption of alcohol". The petitioners respond that this submission represents a "baseless allegation which cannot possibly be verified for the exact reasons which led to the determination of the unconstitutionality of the ARP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On this point I am generally in agreement with the petitioners. While many drivers who blew a 'fail' may well have been over 0.08, some may not have been. A primary reason that this Court found the ARP regime unconstitutional is because there was no meaningful way to challenge the result of the ASD, therefore, it is unreasonable to conclude that these petitioners were necessarily driving while impaired at the 'fail' or 0.08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Province also argues that a prospective remedy for the petitioners and the public is what constitutes the most fair outcome in the case at bar as a prospective remedy will not deny the public the protection of the legislation which the Province says is "manifestly in the public interest". The Province elaborated in oral argument that even though this proposed outcome denies the petitioners any meaningful remedy, that there are many cases in the past that have denied retroactive application of a s. 52 declaration. The Province cites </w:t>
      </w:r>
      <w:r>
        <w:rPr>
          <w:rFonts w:ascii="arial" w:eastAsia="arial" w:hAnsi="arial" w:cs="arial"/>
          <w:i/>
          <w:color w:val="000000"/>
          <w:sz w:val="20"/>
          <w:lang w:val="en-US" w:eastAsia="en-US" w:bidi="ar-SA"/>
        </w:rPr>
        <w:t>Hislop</w:t>
      </w:r>
      <w:r>
        <w:rPr>
          <w:rFonts w:ascii="arial" w:eastAsia="arial" w:hAnsi="arial" w:cs="arial"/>
          <w:color w:val="000000"/>
          <w:sz w:val="20"/>
          <w:lang w:val="en-US" w:eastAsia="en-US" w:bidi="ar-SA"/>
        </w:rPr>
        <w:t xml:space="preserve"> as authority for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It is my view that the considerations under this factor include whether the petitioners will be denied a meaningful remedy if a retroactive remedy is limited, and the broader potential consequence of the chilling effect on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litigation. Bringing a case to court which challenges the constitutionality of legislation affecting the public involves a large amount of time and expense. Individual petitioners expose themselves to costs and put their privacy interest to one side. Moreover, a successful challenge to this kind of legislation results in the upholding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values for persons extending beyond the individual litigants themselves. By denying a retroactive remedy in cases like this, where a purely prospective remedy would be of little value to the successful parties, the effect may be to chill potentially beneficial litigation in the public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the result, this factor weighs in favour of granting a retroactive remedy.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Respecting Parliament's Role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Hislop</w:t>
      </w:r>
      <w:r>
        <w:rPr>
          <w:rFonts w:ascii="arial" w:eastAsia="arial" w:hAnsi="arial" w:cs="arial"/>
          <w:color w:val="000000"/>
          <w:sz w:val="20"/>
          <w:lang w:val="en-US" w:eastAsia="en-US" w:bidi="ar-SA"/>
        </w:rPr>
        <w:t xml:space="preserve"> decided that respect for the role of the legislature was a factor which weighed in favour of limiting the retroactive remedy in the particular case. At para. 117 of the decision the Court made the following comments with respect to the analysis under this factor: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Achieving an appropriate balance between fairness to individual litigants and respecting the legislative role of Parliament may mean that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remedies will be directed more toward government action in the future and less toward the correction of past wrongs. In the present case, the Hislop class' claim for a retroactive remedy is tantamount to a claim for compensatory damages flowing from the underinclusiveness of the former </w:t>
      </w:r>
      <w:r>
        <w:rPr>
          <w:rFonts w:ascii="arial" w:eastAsia="arial" w:hAnsi="arial" w:cs="arial"/>
          <w:i/>
          <w:color w:val="000000"/>
          <w:sz w:val="20"/>
          <w:lang w:val="en-US" w:eastAsia="en-US" w:bidi="ar-SA"/>
        </w:rPr>
        <w:t>CPP</w:t>
      </w:r>
      <w:r>
        <w:rPr>
          <w:rFonts w:ascii="arial" w:eastAsia="arial" w:hAnsi="arial" w:cs="arial"/>
          <w:color w:val="000000"/>
          <w:sz w:val="20"/>
          <w:lang w:val="en-US" w:eastAsia="en-US" w:bidi="ar-SA"/>
        </w:rPr>
        <w:t>. Imposing that sort of liability on the government, absent bad faith, unreasonable reliance or conduct that is clearly wrong, would undermine the important balance between the protection of constitutional rights and the need for effective government that is struck by the general rule of qualified immunity. A retroactive remedy in the instant case would encroach unduly on the inherently legislative domain of the distribution of government resources and of policy making in respect of this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rule of qualified immunity is significant here and operates to protect government and its agents from claims when laws turn out to be invalid. The ARP law was passed in good faith and established a regime to deal, on a comprehensive basis, with the problem of drinking and driving. Imposing liability of the type sought by the petitioners in the absence of bad faith, unreasonable reliance and conduct clearly wrong would, in the case at bar, like in </w:t>
      </w:r>
      <w:r>
        <w:rPr>
          <w:rFonts w:ascii="arial" w:eastAsia="arial" w:hAnsi="arial" w:cs="arial"/>
          <w:i/>
          <w:color w:val="000000"/>
          <w:sz w:val="20"/>
          <w:lang w:val="en-US" w:eastAsia="en-US" w:bidi="ar-SA"/>
        </w:rPr>
        <w:t>Hislop</w:t>
      </w:r>
      <w:r>
        <w:rPr>
          <w:rFonts w:ascii="arial" w:eastAsia="arial" w:hAnsi="arial" w:cs="arial"/>
          <w:color w:val="000000"/>
          <w:sz w:val="20"/>
          <w:lang w:val="en-US" w:eastAsia="en-US" w:bidi="ar-SA"/>
        </w:rPr>
        <w:t>, undermine the balance between the need for effective government and the protection of constitutional rights that is also struck in this case by the application of the rule of qualified immunity. I think that the balance weighs in favour of prospectivity when government seeks to address a difficult social issue, like drinking and driving, in good faith, as it has done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Accordingly, the last factor weighs in a modest degree against granting retroactive relief.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Conclusion on Retroactivity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 have found that the threshold issue of whether there has been a substantial change in the law is met in the case at bar. Further, I have found that the first two additional </w:t>
      </w:r>
      <w:r>
        <w:rPr>
          <w:rFonts w:ascii="arial" w:eastAsia="arial" w:hAnsi="arial" w:cs="arial"/>
          <w:i/>
          <w:color w:val="000000"/>
          <w:sz w:val="20"/>
          <w:lang w:val="en-US" w:eastAsia="en-US" w:bidi="ar-SA"/>
        </w:rPr>
        <w:t>Hislop</w:t>
      </w:r>
      <w:r>
        <w:rPr>
          <w:rFonts w:ascii="arial" w:eastAsia="arial" w:hAnsi="arial" w:cs="arial"/>
          <w:color w:val="000000"/>
          <w:sz w:val="20"/>
          <w:lang w:val="en-US" w:eastAsia="en-US" w:bidi="ar-SA"/>
        </w:rPr>
        <w:t xml:space="preserve"> criteria, reasonable reliance and good faith, as well as respect for the legislature's role, weigh in favour of limiting the retroactive effect of this Court's declaration of invalidity.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 declaration of invalidity, if applied retroactively, will have consequences beyond these parties. I think in the circumstances, given the various factors, and the balancing that is required, the declaration of invalidity should apply prospectively.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Because the declaration of invalidity is prospective, the petitioners are not entitled to the monetary and personal remedies that they seek as the law was valid at the time it applied to the petitioners and that is an answer to the petitioners' damages claims and claims for return of monies and other expenses. However, the petitioners' claims are, or at least may have been, advanced on an alternative basis, and I therefore will consider them as such.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Charter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Are the petitioners entitled to damages under s. 24(1) of the </w:t>
      </w:r>
      <w:r>
        <w:rPr>
          <w:rFonts w:ascii="arial" w:eastAsia="arial" w:hAnsi="arial" w:cs="arial"/>
          <w:i/>
          <w:color w:val="000000"/>
          <w:sz w:val="20"/>
          <w:lang w:val="en-US" w:eastAsia="en-US" w:bidi="ar-SA"/>
        </w:rPr>
        <w:t>Charter?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petitioners say that there is a broad discretion under s. 24(1) to determine what is appropriate and just in the circumstances of the case, and they say that the claimant simply has to establish that the award functionally fulfills one or more of the objects of (a) compensating the claimant for loss and suffering caused by the breach; (b) vindicating the right by emphasizing its importance and the gravity of the breach; and (c) deterring state agents from committing future breaches.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petitioners' claim for damages relies essentially on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The case concerned the violation of Mr. Ward's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when he was detained, strip searched, and had his car seized without cause. The trial judge had awarded damages for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 </w:t>
      </w:r>
      <w:hyperlink r:id="rId787" w:history="1">
        <w:r>
          <w:rPr>
            <w:rFonts w:ascii="arial" w:eastAsia="arial" w:hAnsi="arial" w:cs="arial"/>
            <w:i/>
            <w:color w:val="0077CC"/>
            <w:sz w:val="20"/>
            <w:u w:val="single"/>
            <w:shd w:val="clear" w:color="auto" w:fill="FFFFFF"/>
            <w:lang w:val="en-US" w:eastAsia="en-US" w:bidi="ar-SA"/>
          </w:rPr>
          <w:t>[2007] B.C.J. No. 9</w:t>
        </w:r>
      </w:hyperlink>
      <w:r>
        <w:rPr>
          <w:rFonts w:ascii="arial" w:eastAsia="arial" w:hAnsi="arial" w:cs="arial"/>
          <w:color w:val="000000"/>
          <w:sz w:val="20"/>
          <w:lang w:val="en-US" w:eastAsia="en-US" w:bidi="ar-SA"/>
        </w:rPr>
        <w:t xml:space="preserve">, and the majority of the Court of Appeal upheld that award, </w:t>
      </w:r>
      <w:hyperlink r:id="rId788" w:history="1">
        <w:r>
          <w:rPr>
            <w:rFonts w:ascii="arial" w:eastAsia="arial" w:hAnsi="arial" w:cs="arial"/>
            <w:i/>
            <w:color w:val="0077CC"/>
            <w:sz w:val="20"/>
            <w:u w:val="single"/>
            <w:shd w:val="clear" w:color="auto" w:fill="FFFFFF"/>
            <w:lang w:val="en-US" w:eastAsia="en-US" w:bidi="ar-SA"/>
          </w:rPr>
          <w:t>[2009] B.C.J. No. 91</w:t>
        </w:r>
      </w:hyperlink>
      <w:r>
        <w:rPr>
          <w:rFonts w:ascii="arial" w:eastAsia="arial" w:hAnsi="arial" w:cs="arial"/>
          <w:color w:val="000000"/>
          <w:sz w:val="20"/>
          <w:lang w:val="en-US" w:eastAsia="en-US" w:bidi="ar-SA"/>
        </w:rPr>
        <w:t>. The Supreme Court of Canada upheld the award for damages for the strip search, but not for the seizure of Mr. Ward's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the Chief Justice described the nature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at the beginning of her analysis (at paras. 16-20):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Section 24(1) empowers courts of competent jurisdiction to grant "appropriate and just" remedies for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breaches. This language invites a number of observations.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First, the language of the grant is broad. As McIntyre J. observed, "[i]t is difficult to imagine language which could give the court a wider and less fettered discretion": </w:t>
      </w:r>
      <w:r>
        <w:rPr>
          <w:rFonts w:ascii="arial" w:eastAsia="arial" w:hAnsi="arial" w:cs="arial"/>
          <w:i/>
          <w:color w:val="000000"/>
          <w:sz w:val="20"/>
          <w:lang w:val="en-US" w:eastAsia="en-US" w:bidi="ar-SA"/>
        </w:rPr>
        <w:t>Mills v. The Queen</w:t>
      </w:r>
      <w:r>
        <w:rPr>
          <w:rFonts w:ascii="arial" w:eastAsia="arial" w:hAnsi="arial" w:cs="arial"/>
          <w:color w:val="000000"/>
          <w:sz w:val="20"/>
          <w:lang w:val="en-US" w:eastAsia="en-US" w:bidi="ar-SA"/>
        </w:rPr>
        <w:t xml:space="preserve">, </w:t>
      </w:r>
      <w:hyperlink r:id="rId789" w:history="1">
        <w:r>
          <w:rPr>
            <w:rFonts w:ascii="arial" w:eastAsia="arial" w:hAnsi="arial" w:cs="arial"/>
            <w:i/>
            <w:color w:val="0077CC"/>
            <w:sz w:val="20"/>
            <w:u w:val="single"/>
            <w:shd w:val="clear" w:color="auto" w:fill="FFFFFF"/>
            <w:lang w:val="en-US" w:eastAsia="en-US" w:bidi="ar-SA"/>
          </w:rPr>
          <w:t>[1986] 1 S.C.R. 863</w:t>
        </w:r>
      </w:hyperlink>
      <w:r>
        <w:rPr>
          <w:rFonts w:ascii="arial" w:eastAsia="arial" w:hAnsi="arial" w:cs="arial"/>
          <w:color w:val="000000"/>
          <w:sz w:val="20"/>
          <w:lang w:val="en-US" w:eastAsia="en-US" w:bidi="ar-SA"/>
        </w:rPr>
        <w:t>, at p. 965. The judge of "competent jurisdiction" has broad discretion to determine what remedy is appropriate and just in the circumstances of a particular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Second, it is improper for courts to reduce this discretion by casting it in a strait-jacket of judicially prescribed conditions. To quote McIntyre J. in </w:t>
      </w:r>
      <w:r>
        <w:rPr>
          <w:rFonts w:ascii="arial" w:eastAsia="arial" w:hAnsi="arial" w:cs="arial"/>
          <w:i/>
          <w:color w:val="000000"/>
          <w:sz w:val="20"/>
          <w:lang w:val="en-US" w:eastAsia="en-US" w:bidi="ar-SA"/>
        </w:rPr>
        <w:t>Mills</w:t>
      </w:r>
      <w:r>
        <w:rPr>
          <w:rFonts w:ascii="arial" w:eastAsia="arial" w:hAnsi="arial" w:cs="arial"/>
          <w:color w:val="000000"/>
          <w:sz w:val="20"/>
          <w:lang w:val="en-US" w:eastAsia="en-US" w:bidi="ar-SA"/>
        </w:rPr>
        <w:t xml:space="preserve"> once more, "[i]t is impossible to reduce this wide discretion to some sort of binding formula for general application in all cases, and it is not for appellate courts to pre-empt or cut down this wide discretion": </w:t>
      </w:r>
      <w:r>
        <w:rPr>
          <w:rFonts w:ascii="arial" w:eastAsia="arial" w:hAnsi="arial" w:cs="arial"/>
          <w:i/>
          <w:color w:val="000000"/>
          <w:sz w:val="20"/>
          <w:lang w:val="en-US" w:eastAsia="en-US" w:bidi="ar-SA"/>
        </w:rPr>
        <w:t>Mills</w:t>
      </w:r>
      <w:r>
        <w:rPr>
          <w:rFonts w:ascii="arial" w:eastAsia="arial" w:hAnsi="arial" w:cs="arial"/>
          <w:color w:val="000000"/>
          <w:sz w:val="20"/>
          <w:lang w:val="en-US" w:eastAsia="en-US" w:bidi="ar-SA"/>
        </w:rPr>
        <w:t>, at p. 965.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Third, the prohibition on cutting down the ambit of s. 24(1) does not preclude judicial clarification of when it may be "appropriate and just" to award damages. The phrase "appropriate and just" limits what remedies are available. The court's discretion, while broad, is not unfettered. What is appropriate and just will depend on the facts and circumstances of the particular case. Prior cases may offer guidance on what is appropriate and just in a particular situation.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The general considerations governing what constitutes an appropriate and just remedy under s. 24(1) were set out by Iacobucci and Arbour JJ. in </w:t>
      </w:r>
      <w:r>
        <w:rPr>
          <w:rFonts w:ascii="arial" w:eastAsia="arial" w:hAnsi="arial" w:cs="arial"/>
          <w:i/>
          <w:color w:val="000000"/>
          <w:sz w:val="20"/>
          <w:lang w:val="en-US" w:eastAsia="en-US" w:bidi="ar-SA"/>
        </w:rPr>
        <w:t>Doucet-Boudreau v. Nova Scotia (Minister of Education)</w:t>
      </w:r>
      <w:r>
        <w:rPr>
          <w:rFonts w:ascii="arial" w:eastAsia="arial" w:hAnsi="arial" w:cs="arial"/>
          <w:color w:val="000000"/>
          <w:sz w:val="20"/>
          <w:lang w:val="en-US" w:eastAsia="en-US" w:bidi="ar-SA"/>
        </w:rPr>
        <w:t xml:space="preserve">, </w:t>
      </w:r>
      <w:hyperlink r:id="rId790" w:history="1">
        <w:r>
          <w:rPr>
            <w:rFonts w:ascii="arial" w:eastAsia="arial" w:hAnsi="arial" w:cs="arial"/>
            <w:i/>
            <w:color w:val="0077CC"/>
            <w:sz w:val="20"/>
            <w:u w:val="single"/>
            <w:shd w:val="clear" w:color="auto" w:fill="FFFFFF"/>
            <w:lang w:val="en-US" w:eastAsia="en-US" w:bidi="ar-SA"/>
          </w:rPr>
          <w:t>2003 SCC 62</w:t>
        </w:r>
      </w:hyperlink>
      <w:r>
        <w:rPr>
          <w:rFonts w:ascii="arial" w:eastAsia="arial" w:hAnsi="arial" w:cs="arial"/>
          <w:color w:val="000000"/>
          <w:sz w:val="20"/>
          <w:lang w:val="en-US" w:eastAsia="en-US" w:bidi="ar-SA"/>
        </w:rPr>
        <w:t xml:space="preserve">, </w:t>
      </w:r>
      <w:hyperlink r:id="rId790" w:history="1">
        <w:r>
          <w:rPr>
            <w:rFonts w:ascii="arial" w:eastAsia="arial" w:hAnsi="arial" w:cs="arial"/>
            <w:i/>
            <w:color w:val="0077CC"/>
            <w:sz w:val="20"/>
            <w:u w:val="single"/>
            <w:shd w:val="clear" w:color="auto" w:fill="FFFFFF"/>
            <w:lang w:val="en-US" w:eastAsia="en-US" w:bidi="ar-SA"/>
          </w:rPr>
          <w:t>[2003] 3 S.C.R. 3</w:t>
        </w:r>
      </w:hyperlink>
      <w:r>
        <w:rPr>
          <w:rFonts w:ascii="arial" w:eastAsia="arial" w:hAnsi="arial" w:cs="arial"/>
          <w:color w:val="000000"/>
          <w:sz w:val="20"/>
          <w:lang w:val="en-US" w:eastAsia="en-US" w:bidi="ar-SA"/>
        </w:rPr>
        <w:t xml:space="preserve">. Briefly, an appropriate and just remedy will: (1) meaningfully vindicate the rights and freedoms of the claimants; (2) employ means that are legitimate within the framework of our constitutional democracy; (3) be a judicial remedy which vindicates the right while invoking the function and powers of a court; and (4) be fair to the party against whom the order is made: </w:t>
      </w:r>
      <w:r>
        <w:rPr>
          <w:rFonts w:ascii="arial" w:eastAsia="arial" w:hAnsi="arial" w:cs="arial"/>
          <w:i/>
          <w:color w:val="000000"/>
          <w:sz w:val="20"/>
          <w:lang w:val="en-US" w:eastAsia="en-US" w:bidi="ar-SA"/>
        </w:rPr>
        <w:t>Doucet-Boudreau</w:t>
      </w:r>
      <w:r>
        <w:rPr>
          <w:rFonts w:ascii="arial" w:eastAsia="arial" w:hAnsi="arial" w:cs="arial"/>
          <w:color w:val="000000"/>
          <w:sz w:val="20"/>
          <w:lang w:val="en-US" w:eastAsia="en-US" w:bidi="ar-SA"/>
        </w:rPr>
        <w:t>, at paras. 55-58.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Court explained the functional justification of damages and whether there are other considerations that render s. 24(1) damages inappropriate or unjust as follows (at paras. 32-34):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As discussed, the basic requirement for the award of damages to be "appropriate and just" is that the award must be functionally required to fulfill one or more of the objects of compensation, vindication of the right, or deterrence of future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However, even if the claimant establishes that damages are functionally justified, the state may establish that other considerations render s. 24(1) damages inappropriate or unjust. A complete catalogue of countervailing considerations remains to be developed as the law in this area matures. At this point, however, two considerations are apparent: the existence of alternative remedies and concerns for good governance.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A functional approach to damages under s. 24(1) means that if other remedies adequately meet the need for compensation, vindication and/or deterrence, a further award of damages under s. 24(1) would serve no function and would not be "appropriate and just".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entered an existent remedial arena which already housed tools to correct violative state conduct. Section 24(1) operates concurrently with, and does not replace, these areas of law. Alternative remedies include private law remedies for actions for personal injury, other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remedies like declarations under s. 24(1), and remedies for actions covered by legislation permitting proceedings against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One of the countervailing considerations referred to was described as the need for good governance. In that respect, the Chief Justice said (at paras. 38-40):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Another consideration that may negate the appropriateness of s. 24(1) damages is concern for effective governance. Good governance concerns may take different forms. At one extreme, it may be argued that any award of s. 24(1) damages will always have a chilling effect on government conduct, and hence will impact negatively on good governance. The logical conclusion of this argument is that s. 24(1) damages would never be appropriate. Clearly, this is not what the Constitution intends. Moreover, insofar as s. 24(1) damages deter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breaches, they promote good governance. Compliance with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standards is a foundational principle of good governance.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In some situations, however, the state may establish that an award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would interfere with good governance such that damages should not be awarded unless the state conduct meets a minimum threshold of gravity. This was the situation in </w:t>
      </w:r>
      <w:r>
        <w:rPr>
          <w:rFonts w:ascii="arial" w:eastAsia="arial" w:hAnsi="arial" w:cs="arial"/>
          <w:i/>
          <w:color w:val="000000"/>
          <w:sz w:val="20"/>
          <w:lang w:val="en-US" w:eastAsia="en-US" w:bidi="ar-SA"/>
        </w:rPr>
        <w:t>Mackin v. New Brunswick (Minister of Finance)</w:t>
      </w:r>
      <w:r>
        <w:rPr>
          <w:rFonts w:ascii="arial" w:eastAsia="arial" w:hAnsi="arial" w:cs="arial"/>
          <w:color w:val="000000"/>
          <w:sz w:val="20"/>
          <w:lang w:val="en-US" w:eastAsia="en-US" w:bidi="ar-SA"/>
        </w:rPr>
        <w:t xml:space="preserve">, </w:t>
      </w:r>
      <w:hyperlink r:id="rId782" w:history="1">
        <w:r>
          <w:rPr>
            <w:rFonts w:ascii="arial" w:eastAsia="arial" w:hAnsi="arial" w:cs="arial"/>
            <w:i/>
            <w:color w:val="0077CC"/>
            <w:sz w:val="20"/>
            <w:u w:val="single"/>
            <w:shd w:val="clear" w:color="auto" w:fill="FFFFFF"/>
            <w:lang w:val="en-US" w:eastAsia="en-US" w:bidi="ar-SA"/>
          </w:rPr>
          <w:t>2002 SCC 13</w:t>
        </w:r>
      </w:hyperlink>
      <w:r>
        <w:rPr>
          <w:rFonts w:ascii="arial" w:eastAsia="arial" w:hAnsi="arial" w:cs="arial"/>
          <w:color w:val="000000"/>
          <w:sz w:val="20"/>
          <w:lang w:val="en-US" w:eastAsia="en-US" w:bidi="ar-SA"/>
        </w:rPr>
        <w:t xml:space="preserve">, </w:t>
      </w:r>
      <w:hyperlink r:id="rId782" w:history="1">
        <w:r>
          <w:rPr>
            <w:rFonts w:ascii="arial" w:eastAsia="arial" w:hAnsi="arial" w:cs="arial"/>
            <w:i/>
            <w:color w:val="0077CC"/>
            <w:sz w:val="20"/>
            <w:u w:val="single"/>
            <w:shd w:val="clear" w:color="auto" w:fill="FFFFFF"/>
            <w:lang w:val="en-US" w:eastAsia="en-US" w:bidi="ar-SA"/>
          </w:rPr>
          <w:t>[2002] 1 S.C.R. 405</w:t>
        </w:r>
      </w:hyperlink>
      <w:r>
        <w:rPr>
          <w:rFonts w:ascii="arial" w:eastAsia="arial" w:hAnsi="arial" w:cs="arial"/>
          <w:color w:val="000000"/>
          <w:sz w:val="20"/>
          <w:lang w:val="en-US" w:eastAsia="en-US" w:bidi="ar-SA"/>
        </w:rPr>
        <w:t xml:space="preserve">, where the claimant sought damages for state conduct pursuant to a valid statute. The Court held that the action must be struck on the ground that duly enacted laws should be enforced until declared invalid, unless the state conduct under the law was "clearly wrong, in bad faith or an abuse of power": para. 78. The rule of law would be undermined if governments were deterred from enforcing the law by the possibility of future damage awards in the event the law was, at some future date, to be declared invalid. </w:t>
      </w:r>
      <w:r>
        <w:rPr>
          <w:rFonts w:ascii="arial" w:eastAsia="arial" w:hAnsi="arial" w:cs="arial"/>
          <w:color w:val="000000"/>
          <w:sz w:val="20"/>
          <w:u w:val="single"/>
          <w:lang w:val="en-US" w:eastAsia="en-US" w:bidi="ar-SA"/>
        </w:rPr>
        <w:t xml:space="preserve">Thus, absent threshold misconduct, an action for damages under s. 24(1) of the </w:t>
      </w:r>
      <w:r>
        <w:rPr>
          <w:rFonts w:ascii="arial" w:eastAsia="arial" w:hAnsi="arial" w:cs="arial"/>
          <w:i/>
          <w:color w:val="000000"/>
          <w:sz w:val="20"/>
          <w:u w:val="single"/>
          <w:lang w:val="en-US" w:eastAsia="en-US" w:bidi="ar-SA"/>
        </w:rPr>
        <w:t>Charter</w:t>
      </w:r>
      <w:r>
        <w:rPr>
          <w:rFonts w:ascii="arial" w:eastAsia="arial" w:hAnsi="arial" w:cs="arial"/>
          <w:color w:val="000000"/>
          <w:sz w:val="20"/>
          <w:u w:val="single"/>
          <w:lang w:val="en-US" w:eastAsia="en-US" w:bidi="ar-SA"/>
        </w:rPr>
        <w:t xml:space="preserve"> cannot be combined with an action for invalidity based on s. 52 of the </w:t>
      </w:r>
      <w:r>
        <w:rPr>
          <w:rFonts w:ascii="arial" w:eastAsia="arial" w:hAnsi="arial" w:cs="arial"/>
          <w:i/>
          <w:color w:val="000000"/>
          <w:sz w:val="20"/>
          <w:u w:val="single"/>
          <w:lang w:val="en-US" w:eastAsia="en-US" w:bidi="ar-SA"/>
        </w:rPr>
        <w:t>Constitution Act, 1982</w:t>
      </w:r>
      <w:r>
        <w:rPr>
          <w:rFonts w:ascii="arial" w:eastAsia="arial" w:hAnsi="arial" w:cs="arial"/>
          <w:color w:val="000000"/>
          <w:sz w:val="20"/>
          <w:u w:val="single"/>
          <w:lang w:val="en-US" w:eastAsia="en-US" w:bidi="ar-SA"/>
        </w:rPr>
        <w:t xml:space="preserve">: </w:t>
      </w:r>
      <w:r>
        <w:rPr>
          <w:rFonts w:ascii="arial" w:eastAsia="arial" w:hAnsi="arial" w:cs="arial"/>
          <w:i/>
          <w:color w:val="000000"/>
          <w:sz w:val="20"/>
          <w:u w:val="single"/>
          <w:lang w:val="en-US" w:eastAsia="en-US" w:bidi="ar-SA"/>
        </w:rPr>
        <w:t>Mackin</w:t>
      </w:r>
      <w:r>
        <w:rPr>
          <w:rFonts w:ascii="arial" w:eastAsia="arial" w:hAnsi="arial" w:cs="arial"/>
          <w:color w:val="000000"/>
          <w:sz w:val="20"/>
          <w:u w:val="single"/>
          <w:lang w:val="en-US" w:eastAsia="en-US" w:bidi="ar-SA"/>
        </w:rPr>
        <w:t>, at para. 81.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The </w:t>
      </w:r>
      <w:r>
        <w:rPr>
          <w:rFonts w:ascii="arial" w:eastAsia="arial" w:hAnsi="arial" w:cs="arial"/>
          <w:i/>
          <w:color w:val="000000"/>
          <w:sz w:val="20"/>
          <w:lang w:val="en-US" w:eastAsia="en-US" w:bidi="ar-SA"/>
        </w:rPr>
        <w:t>Mackin</w:t>
      </w:r>
      <w:r>
        <w:rPr>
          <w:rFonts w:ascii="arial" w:eastAsia="arial" w:hAnsi="arial" w:cs="arial"/>
          <w:color w:val="000000"/>
          <w:sz w:val="20"/>
          <w:lang w:val="en-US" w:eastAsia="en-US" w:bidi="ar-SA"/>
        </w:rPr>
        <w:t xml:space="preserve"> principle recognizes that the state must be afforded some immunity from liability in damages resulting from the conduct of certain functions that only the state can perform. Legislative and policy-making functions are one such area of state activity. The immunity is justified because the law does not wish to chill the exercise of policy-making discretion. As Gonthier J. explained: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limited immunity given to government is specifically a means of creating a balance between the protection of constitutional rights and the need for effective government. In other words, this doctrine makes it possible to determine whether a remedy is appropriate and just in the circumstances. Consequently, the reasons that inform the general principle of public law are also relevant in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context. [para. 79]</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I emphasize the Chief Justice's comment in para. 39: "absent threshold misconduct, an action for damages under s.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cannot be combined with an action for invalidity based on s. 52 of the </w:t>
      </w:r>
      <w:r>
        <w:rPr>
          <w:rFonts w:ascii="arial" w:eastAsia="arial" w:hAnsi="arial" w:cs="arial"/>
          <w:i/>
          <w:color w:val="000000"/>
          <w:sz w:val="20"/>
          <w:lang w:val="en-US" w:eastAsia="en-US" w:bidi="ar-SA"/>
        </w:rPr>
        <w:t>Constitution Act, 1982</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 petitioners argue that the losses suffered by the petitioners are, unlike Mr. Ward's damages, easily quantifiable as they have provided an extensive list of pecuniary losses, that vindication and deterrence may be assessed in connection with the seriousness of the breach, and that the state misconduct was serious. They refer to para. 319 of the judgment in </w:t>
      </w:r>
      <w:r>
        <w:rPr>
          <w:rFonts w:ascii="arial" w:eastAsia="arial" w:hAnsi="arial" w:cs="arial"/>
          <w:i/>
          <w:color w:val="000000"/>
          <w:sz w:val="20"/>
          <w:lang w:val="en-US" w:eastAsia="en-US" w:bidi="ar-SA"/>
        </w:rPr>
        <w:t>Sivia</w:t>
      </w:r>
      <w:r>
        <w:rPr>
          <w:rFonts w:ascii="arial" w:eastAsia="arial" w:hAnsi="arial" w:cs="arial"/>
          <w:color w:val="000000"/>
          <w:sz w:val="20"/>
          <w:lang w:val="en-US" w:eastAsia="en-US" w:bidi="ar-SA"/>
        </w:rPr>
        <w:t xml:space="preserve">#1, where I concluded that the ARP regime that imposes prohibitions on drivers who fail at the roadside does not appropriately balance the rights of the individuals and society at large. The petitioners argue that "this government enacted an unconstitutional law that intentionally or recklessly deviated from a similar regime with a more meaningful review process". Moreover, they argue that there was serious misconduct on behalf of government which led to a serious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 which resulted in significant and substantial consequences to the petitioners.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disagree with each of these submissions of the petitioners, particularly with respect to the idea of state misconduct in this case. Although I ruled that the review process was inadequate, I am unable on the evidence of this case to consider the unconstitutional parts of the ARP regime to be an intentional or reckless deviation from the parts of the regime that were determined to be constitutional.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Peter Hogg in, </w:t>
      </w:r>
      <w:r>
        <w:rPr>
          <w:rFonts w:ascii="arial" w:eastAsia="arial" w:hAnsi="arial" w:cs="arial"/>
          <w:i/>
          <w:color w:val="000000"/>
          <w:sz w:val="20"/>
          <w:lang w:val="en-US" w:eastAsia="en-US" w:bidi="ar-SA"/>
        </w:rPr>
        <w:t>Constitutional law of Canada,</w:t>
      </w:r>
      <w:r>
        <w:rPr>
          <w:rFonts w:ascii="arial" w:eastAsia="arial" w:hAnsi="arial" w:cs="arial"/>
          <w:color w:val="000000"/>
          <w:sz w:val="20"/>
          <w:lang w:val="en-US" w:eastAsia="en-US" w:bidi="ar-SA"/>
        </w:rPr>
        <w:t xml:space="preserve"> 5th ed loose-leaf (Vol. 2 Ch. 40) (Toronto: Thomson Reuters, 2007) says (at p. 40-40):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second consideration that could negate the appropriateness of Charter damages is "concern for effective governance". Of course, Charter damages would usually promote good governance, since they should deter Charter breaches by government. However, what the Chief Justice had in mind was the line of cases holding that no damages are available "for the harm suffered as the result of the mere enactment or application of a law that is subsequently held to be unconstitutional. Nor does s. 24(1) authorize damages for harm caused by government officials who act in good faith and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under the "claim of right" of a statute subsequently held to be unconstitutional for breach of the Charter." According to McLachlin CJ in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these doctrines are exemplary of the principle of good governance, because damages awards would "chill the exercise of policy making discretion" and deter public officials from carrying out their duties under apparently valid statutes.</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Those words are applicable here. In the case at bar, the statute was lawfully passed and the actions of which the petitioners complain were actions taken in good faith under that statute. There was no misconduct or bad faith in the passing of the legislation or the conduct of the officials carrying out their duties under the legislation. It is not just and appropriate to award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in the circumstances of this case and the claim for monetary damages under s.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must be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Other Monetary Claims by the Petitioners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petitioners, in alternative to their main arguments, seek monetary relief on the basis that they are entitled to a restitutionary remedy because of an invalid law passed in bad faith, because the monies recovered (in some circumstances) can be characterized as taxes pursuant to a statute that has been declared invalid, and because of the principles of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These arguments involve analysis of the defence of qualified immunity and the circumstances under which taxes recovered under an invalid law are recoverable, and after careful consideration of the arguments and jurisprudence, I find that the petitioners are not entitled to monetary relief on either of these grounds.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Invalid Law Passed in Bad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payments that are claimed as damages are monies paid by way of fines and payments to third parties, all pursuant to legislation that was valid at the time it was adopted.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 basis of the claim is that part of the ARP regime underlying the collection of these monies has been declared unconstitutional. However, in the absence of conduct that is "clearly wrong, in bad faith or an abuse of power", the law is clear that the court will not award damages suffered as a result of the "mere enactment or application of a law that is subsequently declared to be unconstitutional": </w:t>
      </w:r>
      <w:r>
        <w:rPr>
          <w:rFonts w:ascii="arial" w:eastAsia="arial" w:hAnsi="arial" w:cs="arial"/>
          <w:i/>
          <w:color w:val="000000"/>
          <w:sz w:val="20"/>
          <w:lang w:val="en-US" w:eastAsia="en-US" w:bidi="ar-SA"/>
        </w:rPr>
        <w:t>Mackin v. New Brunswick (Minister of Finance),</w:t>
      </w:r>
      <w:r>
        <w:rPr>
          <w:rFonts w:ascii="arial" w:eastAsia="arial" w:hAnsi="arial" w:cs="arial"/>
          <w:color w:val="000000"/>
          <w:sz w:val="20"/>
          <w:lang w:val="en-US" w:eastAsia="en-US" w:bidi="ar-SA"/>
        </w:rPr>
        <w:t xml:space="preserve"> </w:t>
      </w:r>
      <w:hyperlink r:id="rId782" w:history="1">
        <w:r>
          <w:rPr>
            <w:rFonts w:ascii="arial" w:eastAsia="arial" w:hAnsi="arial" w:cs="arial"/>
            <w:i/>
            <w:color w:val="0077CC"/>
            <w:sz w:val="20"/>
            <w:u w:val="single"/>
            <w:shd w:val="clear" w:color="auto" w:fill="FFFFFF"/>
            <w:lang w:val="en-US" w:eastAsia="en-US" w:bidi="ar-SA"/>
          </w:rPr>
          <w:t>2002 SCC 13</w:t>
        </w:r>
      </w:hyperlink>
      <w:r>
        <w:rPr>
          <w:rFonts w:ascii="arial" w:eastAsia="arial" w:hAnsi="arial" w:cs="arial"/>
          <w:color w:val="000000"/>
          <w:sz w:val="20"/>
          <w:lang w:val="en-US" w:eastAsia="en-US" w:bidi="ar-SA"/>
        </w:rPr>
        <w:t xml:space="preserve">, at para. 78. This immunity was described in </w:t>
      </w:r>
      <w:r>
        <w:rPr>
          <w:rFonts w:ascii="arial" w:eastAsia="arial" w:hAnsi="arial" w:cs="arial"/>
          <w:i/>
          <w:color w:val="000000"/>
          <w:sz w:val="20"/>
          <w:lang w:val="en-US" w:eastAsia="en-US" w:bidi="ar-SA"/>
        </w:rPr>
        <w:t>Mackin</w:t>
      </w:r>
      <w:r>
        <w:rPr>
          <w:rFonts w:ascii="arial" w:eastAsia="arial" w:hAnsi="arial" w:cs="arial"/>
          <w:color w:val="000000"/>
          <w:sz w:val="20"/>
          <w:lang w:val="en-US" w:eastAsia="en-US" w:bidi="ar-SA"/>
        </w:rPr>
        <w:t xml:space="preserve"> in the following way (at para. 79):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79 The limited immunity given to government is specifically a means of creating a balance between the protection of constitutional rights and the need for effective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Although the petitioners acknowledge that the defence of qualified immunity exists unless the state action is clearly wrong, in bad faith or an abuse of power, they say that bad faith is present here because the state could have fulfilled their objective in a manner that did not violate individual rights. I think that the evidence is far short of showing any such minimum threshold of gravity and that the defence of immunity for state action pursuant to a lawfully passed statute is made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Accordingly, absent an award for damages under s.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which, as I have found, is not appropriate here, the claims by the petitioners for the return of monies paid to the government (directly or through its agents) are met with the argument in </w:t>
      </w:r>
      <w:r>
        <w:rPr>
          <w:rFonts w:ascii="arial" w:eastAsia="arial" w:hAnsi="arial" w:cs="arial"/>
          <w:i/>
          <w:color w:val="000000"/>
          <w:sz w:val="20"/>
          <w:lang w:val="en-US" w:eastAsia="en-US" w:bidi="ar-SA"/>
        </w:rPr>
        <w:t>Mackin</w:t>
      </w:r>
      <w:r>
        <w:rPr>
          <w:rFonts w:ascii="arial" w:eastAsia="arial" w:hAnsi="arial" w:cs="arial"/>
          <w:color w:val="000000"/>
          <w:sz w:val="20"/>
          <w:lang w:val="en-US" w:eastAsia="en-US" w:bidi="ar-SA"/>
        </w:rPr>
        <w:t xml:space="preserve"> that in the absence of bad faith, conduct that is clearly wrong, or an abuse of power, the government enjoys limited immunity and the claims of the petitioner based on a subsequent declaration of invalidity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next argument to consider is the petitioners' alternative position that the monetary payments are recoverable as an invalid tax.</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Kingstreet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petitioners seek recovery of certain items recovered from the petitioners: the license fee of $250 for reinstatement of a driver's license paid to ICBC; a hearing fee of $100 for a review of an ARP paid to the Superintendent; and the amount paid to the Superintendent for the Responsible Driver Program of $880. It is those items that the petitioners say amount to an unlawful tax and argue should be repaid on the basis of </w:t>
      </w:r>
      <w:r>
        <w:rPr>
          <w:rFonts w:ascii="arial" w:eastAsia="arial" w:hAnsi="arial" w:cs="arial"/>
          <w:i/>
          <w:color w:val="000000"/>
          <w:sz w:val="20"/>
          <w:lang w:val="en-US" w:eastAsia="en-US" w:bidi="ar-SA"/>
        </w:rPr>
        <w:t>Kingstreet Investments Ltd. v. New Brunswick (Finance)</w:t>
      </w:r>
      <w:r>
        <w:rPr>
          <w:rFonts w:ascii="arial" w:eastAsia="arial" w:hAnsi="arial" w:cs="arial"/>
          <w:color w:val="000000"/>
          <w:sz w:val="20"/>
          <w:lang w:val="en-US" w:eastAsia="en-US" w:bidi="ar-SA"/>
        </w:rPr>
        <w:t xml:space="preserve">, </w:t>
      </w:r>
      <w:hyperlink r:id="rId791" w:history="1">
        <w:r>
          <w:rPr>
            <w:rFonts w:ascii="arial" w:eastAsia="arial" w:hAnsi="arial" w:cs="arial"/>
            <w:i/>
            <w:color w:val="0077CC"/>
            <w:sz w:val="20"/>
            <w:u w:val="single"/>
            <w:shd w:val="clear" w:color="auto" w:fill="FFFFFF"/>
            <w:lang w:val="en-US" w:eastAsia="en-US" w:bidi="ar-SA"/>
          </w:rPr>
          <w:t>2007 SCC 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Kingstreet</w:t>
      </w:r>
      <w:r>
        <w:rPr>
          <w:rFonts w:ascii="arial" w:eastAsia="arial" w:hAnsi="arial" w:cs="arial"/>
          <w:color w:val="000000"/>
          <w:sz w:val="20"/>
          <w:lang w:val="en-US" w:eastAsia="en-US" w:bidi="ar-SA"/>
        </w:rPr>
        <w:t xml:space="preserve">, the Province of New Brunswick had been levying a user charge on clubs that were licensed to sell alcohol. The nightclubs sued to recover the charges on the basis that they were unconstitutional. The Supreme Court of Canada rejected the argument of Crown immunity, and held that the collection of what amounted to an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tax was recoverable.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 issue here is whether the amounts claimed are recoverable under </w:t>
      </w:r>
      <w:r>
        <w:rPr>
          <w:rFonts w:ascii="arial" w:eastAsia="arial" w:hAnsi="arial" w:cs="arial"/>
          <w:i/>
          <w:color w:val="000000"/>
          <w:sz w:val="20"/>
          <w:lang w:val="en-US" w:eastAsia="en-US" w:bidi="ar-SA"/>
        </w:rPr>
        <w:t>Kingstreet</w:t>
      </w:r>
      <w:r>
        <w:rPr>
          <w:rFonts w:ascii="arial" w:eastAsia="arial" w:hAnsi="arial" w:cs="arial"/>
          <w:color w:val="000000"/>
          <w:sz w:val="20"/>
          <w:lang w:val="en-US" w:eastAsia="en-US" w:bidi="ar-SA"/>
        </w:rPr>
        <w:t xml:space="preserve"> principles. The petitioners say that they are, but the Province disagrees.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Mr. Copley, for the Province, argues that although </w:t>
      </w:r>
      <w:r>
        <w:rPr>
          <w:rFonts w:ascii="arial" w:eastAsia="arial" w:hAnsi="arial" w:cs="arial"/>
          <w:i/>
          <w:color w:val="000000"/>
          <w:sz w:val="20"/>
          <w:lang w:val="en-US" w:eastAsia="en-US" w:bidi="ar-SA"/>
        </w:rPr>
        <w:t>Kingstreet</w:t>
      </w:r>
      <w:r>
        <w:rPr>
          <w:rFonts w:ascii="arial" w:eastAsia="arial" w:hAnsi="arial" w:cs="arial"/>
          <w:color w:val="000000"/>
          <w:sz w:val="20"/>
          <w:lang w:val="en-US" w:eastAsia="en-US" w:bidi="ar-SA"/>
        </w:rPr>
        <w:t xml:space="preserve"> characterized the issue as to whether money paid to a public authority pursuant to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legislation was recoverable, the judgment as a whole shows that the intent was to only deal with unconstitutional taxes. He submits that the limitation on the application of the legal principle in </w:t>
      </w:r>
      <w:r>
        <w:rPr>
          <w:rFonts w:ascii="arial" w:eastAsia="arial" w:hAnsi="arial" w:cs="arial"/>
          <w:i/>
          <w:color w:val="000000"/>
          <w:sz w:val="20"/>
          <w:lang w:val="en-US" w:eastAsia="en-US" w:bidi="ar-SA"/>
        </w:rPr>
        <w:t>Kingstreet</w:t>
      </w:r>
      <w:r>
        <w:rPr>
          <w:rFonts w:ascii="arial" w:eastAsia="arial" w:hAnsi="arial" w:cs="arial"/>
          <w:color w:val="000000"/>
          <w:sz w:val="20"/>
          <w:lang w:val="en-US" w:eastAsia="en-US" w:bidi="ar-SA"/>
        </w:rPr>
        <w:t xml:space="preserve"> was affirmed in </w:t>
      </w:r>
      <w:r>
        <w:rPr>
          <w:rFonts w:ascii="arial" w:eastAsia="arial" w:hAnsi="arial" w:cs="arial"/>
          <w:i/>
          <w:color w:val="000000"/>
          <w:sz w:val="20"/>
          <w:lang w:val="en-US" w:eastAsia="en-US" w:bidi="ar-SA"/>
        </w:rPr>
        <w:t>Alberta v. Elder Advocates of Alberta Society</w:t>
      </w:r>
      <w:r>
        <w:rPr>
          <w:rFonts w:ascii="arial" w:eastAsia="arial" w:hAnsi="arial" w:cs="arial"/>
          <w:color w:val="000000"/>
          <w:sz w:val="20"/>
          <w:lang w:val="en-US" w:eastAsia="en-US" w:bidi="ar-SA"/>
        </w:rPr>
        <w:t xml:space="preserve">, </w:t>
      </w:r>
      <w:hyperlink r:id="rId792" w:history="1">
        <w:r>
          <w:rPr>
            <w:rFonts w:ascii="arial" w:eastAsia="arial" w:hAnsi="arial" w:cs="arial"/>
            <w:i/>
            <w:color w:val="0077CC"/>
            <w:sz w:val="20"/>
            <w:u w:val="single"/>
            <w:shd w:val="clear" w:color="auto" w:fill="FFFFFF"/>
            <w:lang w:val="en-US" w:eastAsia="en-US" w:bidi="ar-SA"/>
          </w:rPr>
          <w:t>2011 SCC 24</w:t>
        </w:r>
      </w:hyperlink>
      <w:r>
        <w:rPr>
          <w:rFonts w:ascii="arial" w:eastAsia="arial" w:hAnsi="arial" w:cs="arial"/>
          <w:color w:val="000000"/>
          <w:sz w:val="20"/>
          <w:lang w:val="en-US" w:eastAsia="en-US" w:bidi="ar-SA"/>
        </w:rPr>
        <w:t xml:space="preserve">, and refers to Peter Maddaugh and John D. McCamus, </w:t>
      </w:r>
      <w:r>
        <w:rPr>
          <w:rFonts w:ascii="arial" w:eastAsia="arial" w:hAnsi="arial" w:cs="arial"/>
          <w:i/>
          <w:color w:val="000000"/>
          <w:sz w:val="20"/>
          <w:lang w:val="en-US" w:eastAsia="en-US" w:bidi="ar-SA"/>
        </w:rPr>
        <w:t>The Law of Restitution</w:t>
      </w:r>
      <w:r>
        <w:rPr>
          <w:rFonts w:ascii="arial" w:eastAsia="arial" w:hAnsi="arial" w:cs="arial"/>
          <w:color w:val="000000"/>
          <w:sz w:val="20"/>
          <w:lang w:val="en-US" w:eastAsia="en-US" w:bidi="ar-SA"/>
        </w:rPr>
        <w:t>, Vol. 2, loose-leaf, (consolidated June 2012)(Aurora: Canada Law Book, 2004), where the authors say (at page 22-30):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its recent decision in </w:t>
      </w:r>
      <w:r>
        <w:rPr>
          <w:rFonts w:ascii="arial" w:eastAsia="arial" w:hAnsi="arial" w:cs="arial"/>
          <w:i/>
          <w:color w:val="000000"/>
          <w:sz w:val="20"/>
          <w:lang w:val="en-US" w:eastAsia="en-US" w:bidi="ar-SA"/>
        </w:rPr>
        <w:t>Elder Advocates of Alberta Society v. Alberta</w:t>
      </w:r>
      <w:r>
        <w:rPr>
          <w:rFonts w:ascii="arial" w:eastAsia="arial" w:hAnsi="arial" w:cs="arial"/>
          <w:color w:val="000000"/>
          <w:sz w:val="20"/>
          <w:lang w:val="en-US" w:eastAsia="en-US" w:bidi="ar-SA"/>
        </w:rPr>
        <w:t xml:space="preserve">, the Supreme Court of Canada has asserted a very narrow reading of the scope of the </w:t>
      </w:r>
      <w:r>
        <w:rPr>
          <w:rFonts w:ascii="arial" w:eastAsia="arial" w:hAnsi="arial" w:cs="arial"/>
          <w:i/>
          <w:color w:val="000000"/>
          <w:sz w:val="20"/>
          <w:lang w:val="en-US" w:eastAsia="en-US" w:bidi="ar-SA"/>
        </w:rPr>
        <w:t>Kingstreet</w:t>
      </w:r>
      <w:r>
        <w:rPr>
          <w:rFonts w:ascii="arial" w:eastAsia="arial" w:hAnsi="arial" w:cs="arial"/>
          <w:color w:val="000000"/>
          <w:sz w:val="20"/>
          <w:lang w:val="en-US" w:eastAsia="en-US" w:bidi="ar-SA"/>
        </w:rPr>
        <w:t xml:space="preserve"> doctrine. The Court has essentially limited </w:t>
      </w:r>
      <w:r>
        <w:rPr>
          <w:rFonts w:ascii="arial" w:eastAsia="arial" w:hAnsi="arial" w:cs="arial"/>
          <w:i/>
          <w:color w:val="000000"/>
          <w:sz w:val="20"/>
          <w:lang w:val="en-US" w:eastAsia="en-US" w:bidi="ar-SA"/>
        </w:rPr>
        <w:t>Kingstreet</w:t>
      </w:r>
      <w:r>
        <w:rPr>
          <w:rFonts w:ascii="arial" w:eastAsia="arial" w:hAnsi="arial" w:cs="arial"/>
          <w:color w:val="000000"/>
          <w:sz w:val="20"/>
          <w:lang w:val="en-US" w:eastAsia="en-US" w:bidi="ar-SA"/>
        </w:rPr>
        <w:t xml:space="preserve"> to its facts, that is, to claims for the recovery of "taxes" paid under constitutionally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legislation.</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I accept Mr. Copley's argument that the principles in </w:t>
      </w:r>
      <w:r>
        <w:rPr>
          <w:rFonts w:ascii="arial" w:eastAsia="arial" w:hAnsi="arial" w:cs="arial"/>
          <w:i/>
          <w:color w:val="000000"/>
          <w:sz w:val="20"/>
          <w:lang w:val="en-US" w:eastAsia="en-US" w:bidi="ar-SA"/>
        </w:rPr>
        <w:t>Kingstreet</w:t>
      </w:r>
      <w:r>
        <w:rPr>
          <w:rFonts w:ascii="arial" w:eastAsia="arial" w:hAnsi="arial" w:cs="arial"/>
          <w:color w:val="000000"/>
          <w:sz w:val="20"/>
          <w:lang w:val="en-US" w:eastAsia="en-US" w:bidi="ar-SA"/>
        </w:rPr>
        <w:t xml:space="preserve"> are limited to the return of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taxes. Therefore, the issue to decide with respect to the Petitioners' arguments regarding restitution in the case at bar is whether certain monies collected amount to taxes, or whether they are other regulatory charges which may or may not be subject to recovery under the doctrine of unjust enrichment (</w:t>
      </w:r>
      <w:r>
        <w:rPr>
          <w:rFonts w:ascii="arial" w:eastAsia="arial" w:hAnsi="arial" w:cs="arial"/>
          <w:i/>
          <w:color w:val="000000"/>
          <w:sz w:val="20"/>
          <w:lang w:val="en-US" w:eastAsia="en-US" w:bidi="ar-SA"/>
        </w:rPr>
        <w:t>Elder Advocates</w:t>
      </w:r>
      <w:r>
        <w:rPr>
          <w:rFonts w:ascii="arial" w:eastAsia="arial" w:hAnsi="arial" w:cs="arial"/>
          <w:color w:val="000000"/>
          <w:sz w:val="20"/>
          <w:lang w:val="en-US" w:eastAsia="en-US" w:bidi="ar-SA"/>
        </w:rPr>
        <w:t xml:space="preserve"> at para. 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Mr. Copley describes the distinction between taxes, including indirect taxes, and user fees. He relies on </w:t>
      </w:r>
      <w:r>
        <w:rPr>
          <w:rFonts w:ascii="arial" w:eastAsia="arial" w:hAnsi="arial" w:cs="arial"/>
          <w:i/>
          <w:color w:val="000000"/>
          <w:sz w:val="20"/>
          <w:lang w:val="en-US" w:eastAsia="en-US" w:bidi="ar-SA"/>
        </w:rPr>
        <w:t>Eurig Estate (Re)</w:t>
      </w:r>
      <w:r>
        <w:rPr>
          <w:rFonts w:ascii="arial" w:eastAsia="arial" w:hAnsi="arial" w:cs="arial"/>
          <w:color w:val="000000"/>
          <w:sz w:val="20"/>
          <w:lang w:val="en-US" w:eastAsia="en-US" w:bidi="ar-SA"/>
        </w:rPr>
        <w:t xml:space="preserve">, </w:t>
      </w:r>
      <w:hyperlink r:id="rId793" w:history="1">
        <w:r>
          <w:rPr>
            <w:rFonts w:ascii="arial" w:eastAsia="arial" w:hAnsi="arial" w:cs="arial"/>
            <w:i/>
            <w:color w:val="0077CC"/>
            <w:sz w:val="20"/>
            <w:u w:val="single"/>
            <w:shd w:val="clear" w:color="auto" w:fill="FFFFFF"/>
            <w:lang w:val="en-US" w:eastAsia="en-US" w:bidi="ar-SA"/>
          </w:rPr>
          <w:t>[1998] 2 S.C.R. 565</w:t>
        </w:r>
      </w:hyperlink>
      <w:r>
        <w:rPr>
          <w:rFonts w:ascii="arial" w:eastAsia="arial" w:hAnsi="arial" w:cs="arial"/>
          <w:color w:val="000000"/>
          <w:sz w:val="20"/>
          <w:lang w:val="en-US" w:eastAsia="en-US" w:bidi="ar-SA"/>
        </w:rPr>
        <w:t>, for the proposition that monies paid to government will have the indicia of taxation where the impugned charges are (at para.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 (1) enforceable by law; (2) imposed under the authority of the legislature; (3) levied by a public body; and (4) intended for a public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While Mr. Copley, as I understand his position, concedes that the above criteria are met in the case at bar, he argues that </w:t>
      </w:r>
      <w:r>
        <w:rPr>
          <w:rFonts w:ascii="arial" w:eastAsia="arial" w:hAnsi="arial" w:cs="arial"/>
          <w:i/>
          <w:color w:val="000000"/>
          <w:sz w:val="20"/>
          <w:lang w:val="en-US" w:eastAsia="en-US" w:bidi="ar-SA"/>
        </w:rPr>
        <w:t>Eurig Estate</w:t>
      </w:r>
      <w:r>
        <w:rPr>
          <w:rFonts w:ascii="arial" w:eastAsia="arial" w:hAnsi="arial" w:cs="arial"/>
          <w:color w:val="000000"/>
          <w:sz w:val="20"/>
          <w:lang w:val="en-US" w:eastAsia="en-US" w:bidi="ar-SA"/>
        </w:rPr>
        <w:t xml:space="preserve"> established another factor to distinguish between taxes and user fees, which is that there must be a "nexus ... between the quantum charged and the cost of the service provided" (at para. 21). Mr Copley points out that if such a nexus exists, a charge in the nature of a user fee is a regulatory charge, not a tax, notwithstanding that it otherwise meets the other four indicia for taxation; in other words, it is Mr. Copley's position that the four indicia discussed in </w:t>
      </w:r>
      <w:r>
        <w:rPr>
          <w:rFonts w:ascii="arial" w:eastAsia="arial" w:hAnsi="arial" w:cs="arial"/>
          <w:i/>
          <w:color w:val="000000"/>
          <w:sz w:val="20"/>
          <w:lang w:val="en-US" w:eastAsia="en-US" w:bidi="ar-SA"/>
        </w:rPr>
        <w:t>Eurig Estate</w:t>
      </w:r>
      <w:r>
        <w:rPr>
          <w:rFonts w:ascii="arial" w:eastAsia="arial" w:hAnsi="arial" w:cs="arial"/>
          <w:color w:val="000000"/>
          <w:sz w:val="20"/>
          <w:lang w:val="en-US" w:eastAsia="en-US" w:bidi="ar-SA"/>
        </w:rPr>
        <w:t xml:space="preserve"> can also be indicia of a regulatory 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In describing the indicia of charges collected under a regulatory scheme, Mr. Copley refers to the decision of </w:t>
      </w:r>
      <w:r>
        <w:rPr>
          <w:rFonts w:ascii="arial" w:eastAsia="arial" w:hAnsi="arial" w:cs="arial"/>
          <w:i/>
          <w:color w:val="000000"/>
          <w:sz w:val="20"/>
          <w:lang w:val="en-US" w:eastAsia="en-US" w:bidi="ar-SA"/>
        </w:rPr>
        <w:t>Westbank First Nation v. British Columbia Hydro and Power Authority</w:t>
      </w:r>
      <w:r>
        <w:rPr>
          <w:rFonts w:ascii="arial" w:eastAsia="arial" w:hAnsi="arial" w:cs="arial"/>
          <w:color w:val="000000"/>
          <w:sz w:val="20"/>
          <w:lang w:val="en-US" w:eastAsia="en-US" w:bidi="ar-SA"/>
        </w:rPr>
        <w:t xml:space="preserve">, </w:t>
      </w:r>
      <w:hyperlink r:id="rId794" w:history="1">
        <w:r>
          <w:rPr>
            <w:rFonts w:ascii="arial" w:eastAsia="arial" w:hAnsi="arial" w:cs="arial"/>
            <w:i/>
            <w:color w:val="0077CC"/>
            <w:sz w:val="20"/>
            <w:u w:val="single"/>
            <w:shd w:val="clear" w:color="auto" w:fill="FFFFFF"/>
            <w:lang w:val="en-US" w:eastAsia="en-US" w:bidi="ar-SA"/>
          </w:rPr>
          <w:t>[1999] 3 S.C.R. 134</w:t>
        </w:r>
      </w:hyperlink>
      <w:r>
        <w:rPr>
          <w:rFonts w:ascii="arial" w:eastAsia="arial" w:hAnsi="arial" w:cs="arial"/>
          <w:color w:val="000000"/>
          <w:sz w:val="20"/>
          <w:lang w:val="en-US" w:eastAsia="en-US" w:bidi="ar-SA"/>
        </w:rPr>
        <w:t>, where Justice Gonthier set out the indicia as follows (at para.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It goes without saying that in order for charges to be imposed for regulatory purposes, or to otherwise be "necessarily incidental to a broader regulatory scheme", one must first identify a "regulatory scheme". Certain indicia have been present when this Court has found a "regulatory scheme". The factors to consider when identifying a regulatory scheme include the presence of: (1) a complete and detailed code of regulation; (2) a specific regulatory purpose which seeks to affect the behaviour of individuals; (3) actual or properly estimated costs of the regulation; and (4) a relationship between the regulation and the person being regulated, where the person being regulated either causes the need for the regulation, or benefits from it. This is only a list of factors to consider; not all of these factors must be present to find a regulatory scheme. Nor is this list of factors exhaustive.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Mr. Copley argues that the relevant legislation in this case,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Insurance Corporation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228</w:t>
      </w:r>
      <w:r>
        <w:rPr>
          <w:rFonts w:ascii="arial" w:eastAsia="arial" w:hAnsi="arial" w:cs="arial"/>
          <w:color w:val="000000"/>
          <w:sz w:val="20"/>
          <w:lang w:val="en-US" w:eastAsia="en-US" w:bidi="ar-SA"/>
        </w:rPr>
        <w:t xml:space="preserve"> are all part of a regulatory scheme, and that the monies paid to the government by the petitioners are regulatory charges connected with the scheme and are not taxes. He says that there is a nexus between the charges and the service provided, in that the charges help fund the regulatory scheme. Mr. Copley points out, with reference to the affidavit of Anwar Chaudhry, Corporate Controller for the Insurance Corporation of British Columbia, that the revenues generated by the 90 day prohibition penalty and the license reinstatement fee do not exceed the cost of the regulatory scheme, nor do the fees and charges collected, in the aggregate, exceed the cost of the regulatory scheme. Therefore, he submits, </w:t>
      </w:r>
      <w:r>
        <w:rPr>
          <w:rFonts w:ascii="arial" w:eastAsia="arial" w:hAnsi="arial" w:cs="arial"/>
          <w:i/>
          <w:color w:val="000000"/>
          <w:sz w:val="20"/>
          <w:lang w:val="en-US" w:eastAsia="en-US" w:bidi="ar-SA"/>
        </w:rPr>
        <w:t>Kingstreet,</w:t>
      </w:r>
      <w:r>
        <w:rPr>
          <w:rFonts w:ascii="arial" w:eastAsia="arial" w:hAnsi="arial" w:cs="arial"/>
          <w:color w:val="000000"/>
          <w:sz w:val="20"/>
          <w:lang w:val="en-US" w:eastAsia="en-US" w:bidi="ar-SA"/>
        </w:rPr>
        <w:t xml:space="preserve"> which applies to taxes under an invalid statute, has no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To determine whether a levy is a tax or a regulatory charge requires a consideration of its pith and substance: its most important or dominant characteristic: see </w:t>
      </w:r>
      <w:r>
        <w:rPr>
          <w:rFonts w:ascii="arial" w:eastAsia="arial" w:hAnsi="arial" w:cs="arial"/>
          <w:i/>
          <w:color w:val="000000"/>
          <w:sz w:val="20"/>
          <w:lang w:val="en-US" w:eastAsia="en-US" w:bidi="ar-SA"/>
        </w:rPr>
        <w:t>620 Connaught Ltd. v. Canada (Attorney General)</w:t>
      </w:r>
      <w:r>
        <w:rPr>
          <w:rFonts w:ascii="arial" w:eastAsia="arial" w:hAnsi="arial" w:cs="arial"/>
          <w:color w:val="000000"/>
          <w:sz w:val="20"/>
          <w:lang w:val="en-US" w:eastAsia="en-US" w:bidi="ar-SA"/>
        </w:rPr>
        <w:t xml:space="preserve">, </w:t>
      </w:r>
      <w:hyperlink r:id="rId795" w:history="1">
        <w:r>
          <w:rPr>
            <w:rFonts w:ascii="arial" w:eastAsia="arial" w:hAnsi="arial" w:cs="arial"/>
            <w:i/>
            <w:color w:val="0077CC"/>
            <w:sz w:val="20"/>
            <w:u w:val="single"/>
            <w:shd w:val="clear" w:color="auto" w:fill="FFFFFF"/>
            <w:lang w:val="en-US" w:eastAsia="en-US" w:bidi="ar-SA"/>
          </w:rPr>
          <w:t>2008 SCC 7</w:t>
        </w:r>
      </w:hyperlink>
      <w:r>
        <w:rPr>
          <w:rFonts w:ascii="arial" w:eastAsia="arial" w:hAnsi="arial" w:cs="arial"/>
          <w:color w:val="000000"/>
          <w:sz w:val="20"/>
          <w:lang w:val="en-US" w:eastAsia="en-US" w:bidi="ar-SA"/>
        </w:rPr>
        <w:t>,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620 Connaught</w:t>
      </w:r>
      <w:r>
        <w:rPr>
          <w:rFonts w:ascii="arial" w:eastAsia="arial" w:hAnsi="arial" w:cs="arial"/>
          <w:color w:val="000000"/>
          <w:sz w:val="20"/>
          <w:lang w:val="en-US" w:eastAsia="en-US" w:bidi="ar-SA"/>
        </w:rPr>
        <w:t xml:space="preserve">, Rothstein J. said, quoting from Gonthier J. in </w:t>
      </w:r>
      <w:r>
        <w:rPr>
          <w:rFonts w:ascii="arial" w:eastAsia="arial" w:hAnsi="arial" w:cs="arial"/>
          <w:i/>
          <w:color w:val="000000"/>
          <w:sz w:val="20"/>
          <w:lang w:val="en-US" w:eastAsia="en-US" w:bidi="ar-SA"/>
        </w:rPr>
        <w:t>Westbank</w:t>
      </w:r>
      <w:r>
        <w:rPr>
          <w:rFonts w:ascii="arial" w:eastAsia="arial" w:hAnsi="arial" w:cs="arial"/>
          <w:color w:val="000000"/>
          <w:sz w:val="20"/>
          <w:lang w:val="en-US" w:eastAsia="en-US" w:bidi="ar-SA"/>
        </w:rPr>
        <w:t>, "even if the levy has all the other indicia of a tax, it will be a regulatory charge if it is connected to a regulatory scheme" (at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As I understood the argument of the petitioners, their only argument on this point is that there is not a nexus that is sufficiently established between the quantum charged and the cost of the service. Because there was no meaningful review of the determination of whether the petitioners actually registered a fail, they submit they do not deserve to suffer the personal and monetary consequences, and therefore that there is not a nexus established between the relationship of an alleged "fail" and a regulation of risky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disagree. The pith and substance of the monies collected in the case at bar is clearly related to a regulatory scheme. The regulatory scheme in question is a complete and detailed code, and there is a specific regulatory purpose which seeks to affect the behaviour of individuals; that is, to promote safety on the roads and highways for all users. Furthermore, according to the evidence of Mr. Martin from the Superintendent's office concerning estimated regulatory costs, there appears to be a demonstrated relationship between the regulatory scheme and the persons being regulated.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Additionally, the evidence contained in the affidavit of Anwar Chaudhry shows that the revenues generated by the 90 day prohibition penalty and the license reinstatement fee do not exceed the cost of the regulatory scheme, nor do the fees and charges collected in aggregate exceed the cost of the regulatory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Accordingly, I am satisfied on the evidence that the charges in question are not taxes, but are regulatory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next question, therefore, is whether such regulatory charges are recoverable under the doctrine of unjust enrichment.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On this point, Mr. Copley argues once again that because the monies claimed to be recovered by the petitioners are not "taxes", the claim for the return of these fees is answered by the defense of qualified immunity. Mr. Copley suggests that the government, in collecting these monies under legislation passed in good faith, is protected by qualified immunity, because the legislation was valid as of the time of collection.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Pursuant to my discussion of the defense of qualified immunity above, I am satisfied that under the doctrine of unjust enrichment, the claim by the petitioners for the return of these sums is met by the defence of qualified immunity; such sums having been collected under good faith legislation, even if subsequently declared invalid.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Outstanding Suspensions, Penalties and Fines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Even if the declaration of invalidity is prospective from November 30, 2011, when I originally declared certain parts of the ARP regime to be unconstitutional, or June 30, 2012, when the suspended declaration of invalidity expired, the petitioners claim they are entitled to relief from monies not yet paid or parts of suspensions not yet 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It is unnecessary for me to address the arguments of the parties on this point in any great detail because the result of my conclusion that the declaration of invalidity does not have retroactive effect is that the law was not invalid when the petitioners were subject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Even though some or all of the petitioners may have received a stay of proceedings temporarily suspending certain of their obligations under the ARP regime pending the outcome of this matter, the matter has now been concluded (subject to any pending judicial review applications), and the conclusion is that the law, insofar as it was applied to the petitioners, was valid. Outstanding fees and other obligations which have yet to be paid/performed are not, by themselves, enough to give the prospective only ruling retroactive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 Summary of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I have found that the petitioner's argument that the declaration of invalidity under s. 52 should have retroactive effect, must fail. The decision in </w:t>
      </w:r>
      <w:r>
        <w:rPr>
          <w:rFonts w:ascii="arial" w:eastAsia="arial" w:hAnsi="arial" w:cs="arial"/>
          <w:i/>
          <w:color w:val="000000"/>
          <w:sz w:val="20"/>
          <w:lang w:val="en-US" w:eastAsia="en-US" w:bidi="ar-SA"/>
        </w:rPr>
        <w:t>Sivia</w:t>
      </w:r>
      <w:r>
        <w:rPr>
          <w:rFonts w:ascii="arial" w:eastAsia="arial" w:hAnsi="arial" w:cs="arial"/>
          <w:color w:val="000000"/>
          <w:sz w:val="20"/>
          <w:lang w:val="en-US" w:eastAsia="en-US" w:bidi="ar-SA"/>
        </w:rPr>
        <w:t xml:space="preserve"> #1 that parts of the ARP regime violated s. 8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and were, therefore, unconstitutional, represented a substantial change in the law as described in </w:t>
      </w:r>
      <w:r>
        <w:rPr>
          <w:rFonts w:ascii="arial" w:eastAsia="arial" w:hAnsi="arial" w:cs="arial"/>
          <w:i/>
          <w:color w:val="000000"/>
          <w:sz w:val="20"/>
          <w:lang w:val="en-US" w:eastAsia="en-US" w:bidi="ar-SA"/>
        </w:rPr>
        <w:t>Hislop</w:t>
      </w:r>
      <w:r>
        <w:rPr>
          <w:rFonts w:ascii="arial" w:eastAsia="arial" w:hAnsi="arial" w:cs="arial"/>
          <w:color w:val="000000"/>
          <w:sz w:val="20"/>
          <w:lang w:val="en-US" w:eastAsia="en-US" w:bidi="ar-SA"/>
        </w:rPr>
        <w:t xml:space="preserve">. Further, the additional </w:t>
      </w:r>
      <w:r>
        <w:rPr>
          <w:rFonts w:ascii="arial" w:eastAsia="arial" w:hAnsi="arial" w:cs="arial"/>
          <w:i/>
          <w:color w:val="000000"/>
          <w:sz w:val="20"/>
          <w:lang w:val="en-US" w:eastAsia="en-US" w:bidi="ar-SA"/>
        </w:rPr>
        <w:t>Hislop</w:t>
      </w:r>
      <w:r>
        <w:rPr>
          <w:rFonts w:ascii="arial" w:eastAsia="arial" w:hAnsi="arial" w:cs="arial"/>
          <w:color w:val="000000"/>
          <w:sz w:val="20"/>
          <w:lang w:val="en-US" w:eastAsia="en-US" w:bidi="ar-SA"/>
        </w:rPr>
        <w:t xml:space="preserve"> factors, on balance, weigh in favour of a prospective only application of the declaration.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Although the prospective declaration of invalidity answers the majority of the petitioner's additional or alternative claims, I have further found that even when assessed independently, the petitioner's additional or alternative claims must also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With respect to the petitioners' contention that they are entitled to Charter damages under s. 24(1), I have found that it would not be "appropriate and just" to order such damages as the government, in adopting the ARP regime and applying it to the petitioners and collecting monies from them, did not engage in any misconduct or bad faith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With respect to the arguments that the monies were collected under an invalid law enacted in bad faith, and with respect to the claim for restitution of the monies collected on the basis of the principle of unjust enrichment, I have found that the doctrine of qualified immunity provides a complete defence to both of these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With respect to the argument that certain of the monies collected represent taxes which were unlawfully collected, I have found that those monies are regulatory charges, not taxes, and are not recoverable under the </w:t>
      </w:r>
      <w:r>
        <w:rPr>
          <w:rFonts w:ascii="arial" w:eastAsia="arial" w:hAnsi="arial" w:cs="arial"/>
          <w:i/>
          <w:color w:val="000000"/>
          <w:sz w:val="20"/>
          <w:lang w:val="en-US" w:eastAsia="en-US" w:bidi="ar-SA"/>
        </w:rPr>
        <w:t>Kingstreet</w:t>
      </w:r>
      <w:r>
        <w:rPr>
          <w:rFonts w:ascii="arial" w:eastAsia="arial" w:hAnsi="arial" w:cs="arial"/>
          <w:color w:val="000000"/>
          <w:sz w:val="20"/>
          <w:lang w:val="en-US" w:eastAsia="en-US" w:bidi="ar-SA"/>
        </w:rPr>
        <w:t xml:space="preserv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Finally, I have found that as a result of the prospective only application of the declaration of invalidity, any petitioner with any outstanding fees, penalties or suspensions is still subject to paying/serving such fees, penalties, and/or suspensions.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For these reasons, I have concluded that the petitioners are not entitled to the personal and monetary remedies that they seek. The parties may arrange to appear before me to discuss the issue of costs, or if they agree, they may file written submissions on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J.S. SIGURDSON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5" style="position:absolute;z-index:2518937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96"/>
          <w:headerReference w:type="default" r:id="rId797"/>
          <w:footerReference w:type="even" r:id="rId798"/>
          <w:footerReference w:type="default" r:id="rId799"/>
          <w:headerReference w:type="first" r:id="rId800"/>
          <w:footerReference w:type="first" r:id="rId80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02" w:history="1">
        <w:r>
          <w:rPr>
            <w:rFonts w:ascii="arial" w:eastAsia="arial" w:hAnsi="arial" w:cs="arial"/>
            <w:b/>
            <w:bCs/>
            <w:i/>
            <w:color w:val="0077CC"/>
            <w:kern w:val="32"/>
            <w:sz w:val="28"/>
            <w:szCs w:val="32"/>
            <w:u w:val="single"/>
            <w:shd w:val="clear" w:color="auto" w:fill="FFFFFF"/>
            <w:lang w:val="en-US" w:eastAsia="en-US" w:bidi="ar-SA"/>
          </w:rPr>
          <w:t>Strata Plan LMS 2599 v. 328354 B.C. Ltd., [2010] B.C.J. No. 1102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J.E.D. Savage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31,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10,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S093920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1102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819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95 C.L.R. (3d) 286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 B.C.L.R. (5th) 259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190 A.C.W.S. (3d) 692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1414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Owners, Strata Plan LMS 2599, Plaintiff, and 328354 B.C. Ltd., Able Masonry Ltd., All Season Roofing Ltd., 0113426 B.C. Ltd. (formerly known as Allied Windows, a division of A.A.P. Windows Ltd.), Richard A. McWhinney doing business as Artisan Building Consultants, Barclay Construction Corporation, Robert Tischer a.k.a. Bob Tischer, carrying on business as Bob's Plastering &amp; Stucco, Bogdonov Pao Associates Ltd., Cascadia Construction Ltd., also known as 467628 B.C. Ltd., Circadian Project Management Ltd., D.W. Thomson Consultants Ltd., Dan Friesen, The Corporation of the District of Squamish, Doug Hamilton, Edward Vernon, Forma Design Inc., General Aluminum Railings Ltd., Vic Pimiskern, Herwig Pimiskern carrying on business as Herwig Pimiskern Architect, Insul-Twin Systems Ltd., James A. Thompson a.k.a. Jim Thompson, KCT Construction Ltd., Leo Olaf Lund carrying on business as L.O. Lund &amp; Associates, Levelton Engineering Ltd., Lund Architecture Ltd., NU-Form Exteriors Ltd., Pacific Restorations Ltd., Pattar Roofing Ltd., Pattar Roofing (a Division of Pattar Cedar Products Ltd.), Peter Ross Limited, Richard A. McWhinney, Ricki L. Vernon, Systems I Mechanical Limited, T. Moscone &amp; Bros. Landscaping Ltd., Trimera Construction Ltd. and Westcoast Stucco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6"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2" w:name="Keywords_36"/>
      <w:bookmarkEnd w:id="242"/>
      <w:r>
        <w:rPr>
          <w:rFonts w:ascii="arial" w:eastAsia="arial" w:hAnsi="arial" w:cs="arial"/>
          <w:b/>
          <w:color w:val="000000"/>
          <w:sz w:val="20"/>
          <w:lang w:val="en-US" w:eastAsia="en-US" w:bidi="ar-SA"/>
        </w:rPr>
        <w:t>Civil litigation — Pleadings — Institution of proceedings — Writ of summons — General endorsement — Reasonable cause of action — Striking out pleadings or allegations — Grounds — Failure to disclose a cause of action or defence — Judgments and orders — Summary judgments — No triable issue — To dismiss action — Application by one defendant for a declaration that the endorsed writ of summons was a nullity and for the writ to be struck — Application by two of the defendants for judgment on the basis that there was no merit to the claim against them and to strike the writ because it was plain and obvious that it disclosed no reasonable claim — Both applications dismissed — Endorsement was general but it brought to the attention of the defendants the type of case they would have to meet — It was not plain and obvious that the claim could not succeed — Case raised triable issues — It was not certain that the plaintiff would lose this case — British Columbia Supreme Court Rules, Rules 18(6), 19(24). Construction law — Proceedings — Pleadings — Application by one defendant for a declaration that the endorsed writ of summons was a nullity and for the writ to be struck — Application by two of the defendants for judgment on the basis that there was no merit to the claim against them and to strike the writ because it was plain and obvious that it disclosed no reasonable claim — Both applications dismissed — Endorsement was general but it brought to the attention of the defendants the type of case they would have to meet — It was not plain and obvious that the claim could not succeed — Case raised triable issues — It was not certain that the plaintiff would lose this case — British Columbia Supreme Court Rules, Rules 18(6), 19(24).</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3" w:name="Case Summary_32"/>
            <w:bookmarkEnd w:id="24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Levelton Engineering Ltd. for a declaration that the endorsed writ of summons in this action was a nullity and for the writ to be struck. Application by the defendants Edward and Ricki Vernon for judgment under Rule 18(6), based on the fact that there was no merit in all or part of the claim, and to strike the claim under Rule 19(24) on the basis that it was plain and obvious that it disclosed no reasonable claim. The plaintiff Strata Plan LMS 2599 was the owner of three residential strata buildings and an amenities building. The buildings were constructed in 1995. Strata commenced this action in May 2009 because of water leakage in the buildings. Moisture ingress was known prior to 2003. A comprehensive building envelope survey was done in June 2003. The writ was served in March 2010. There were a substantial number of defendants. Levelton claimed that a general endorsement made against all of the parties was inadequate.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44" w:name="Holdings of Court_29"/>
            <w:bookmarkEnd w:id="244"/>
            <w:r>
              <w:rPr>
                <w:rFonts w:ascii="arial" w:eastAsia="arial" w:hAnsi="arial" w:cs="arial"/>
                <w:color w:val="000000"/>
                <w:sz w:val="20"/>
                <w:lang w:val="en-US" w:eastAsia="en-US" w:bidi="ar-SA"/>
              </w:rPr>
              <w:t>HELD: Applications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endorsement was general but it brought to the attention of the defendants the type of case they would have to meet. It informed them that their work or their participation in the condominium development caused or contributed to property loss and damage for which they were legally responsible under the various theories advanced. The difficulties the defendants faced because of the timing of the litigation and the fact that remedial action commenced did not impact on the analysis of the sufficiency of the writ. Alternatively, even if the writ was not sufficiently endorsed it was at most an irregularity that could be cured by the issuance of a statement of claim. The writ would therefore not be struck. Regarding the application under Rule 19(24), even though the Vernons offered a defence, this did not mean that it was plain and obvious that the claim could not succeed. Regarding the application under Rule 18(6) there were triable issues or it was not certain that Strata would lose this case. The applications under Rules 18(6) and 19(24) were therefore denied.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5" w:name="Legislation Cited_30"/>
      <w:bookmarkEnd w:id="24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7" style="position:absolute;z-index:2517473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1(5), Rule 2(1), Rule 8(2), Rule 18(6), Rule 19(24), Rule 57(3)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Real Estate Development Marketing Act, </w:t>
      </w:r>
      <w:hyperlink r:id="rId803" w:history="1">
        <w:r>
          <w:rPr>
            <w:rFonts w:ascii="arial" w:eastAsia="arial" w:hAnsi="arial" w:cs="arial"/>
            <w:i/>
            <w:color w:val="0077CC"/>
            <w:sz w:val="20"/>
            <w:u w:val="single"/>
            <w:shd w:val="clear" w:color="auto" w:fill="FFFFFF"/>
            <w:lang w:val="en-US" w:eastAsia="en-US" w:bidi="ar-SA"/>
          </w:rPr>
          <w:t>SBC 2004, CHAPTER 41, s. 22</w:t>
        </w:r>
      </w:hyperlink>
      <w:r>
        <w:rPr>
          <w:rFonts w:ascii="arial" w:eastAsia="arial" w:hAnsi="arial" w:cs="arial"/>
          <w:color w:val="000000"/>
          <w:sz w:val="20"/>
          <w:lang w:val="en-US" w:eastAsia="en-US" w:bidi="ar-SA"/>
        </w:rPr>
        <w:t>(7)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6" w:name="Counsel_36"/>
      <w:bookmarkEnd w:id="24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8" style="position:absolute;z-index:251798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 DeJong and R. Mennie.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Levelton Engineering Ltd.: M. Pratchett,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328354 B.C. Ltd. and E. Vernon and R.L. Vernon: C.A. Wallace and V.L. Reakes.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District of Squamish: J.G. Yardley.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7" w:name="Judgment_36"/>
      <w:bookmarkEnd w:id="247"/>
      <w:r>
        <w:pict>
          <v:line id="_x0000_s1209" style="position:absolute;z-index:2518497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8" w:name="J.E.D. SAVAGE J."/>
            <w:bookmarkEnd w:id="248"/>
            <w:r>
              <w:rPr>
                <w:rFonts w:ascii="arial" w:eastAsia="arial" w:hAnsi="arial" w:cs="arial"/>
                <w:b/>
                <w:color w:val="000000"/>
                <w:sz w:val="30"/>
                <w:lang w:val="en-US" w:eastAsia="en-US" w:bidi="ar-SA"/>
              </w:rPr>
              <w:t>J.E.D. SAVAGE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There are broadly speaking two applications before me brought by some of the defendants in this "leaky condo" litigation. The project which is the subject of the litigation is referred to as Marina Estates and is comprised of three separate residential strata buildings and an amenities building. The Owners, Strata Plan LMS 2599 ("the Owners") commenced action in May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buildings were constructed in about 1995. Moisture ingress was known prior to 2003. A comprehensive building envelope survey was done generating a written report in June 2003. Repair work was tendered in 2009 and the writ was issued in May 2009. Service of the writ was affected March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first application is brought by the defendant Levelton Engineering Ltd. ("Levelton") seeking a declaration that the endorsed writ of summons is a nullity and asking that the writ of summons be struck. It is supported by various other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second application is brought by Edward and Ricki L. Vernon (the "Vernons") for judgment under Rule 18(6) and to strike the claim under Rule 19(24). The applications were set for 40 minutes but argument proceeded over three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Nullity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endorsement on the writ is a general endorsement made against all parties. There are at least 36 parties named in the writ. The endorsement reads as follows:</w:t>
      </w:r>
      <w:r>
        <w:rPr>
          <w:rFonts w:ascii="arial" w:eastAsia="arial" w:hAnsi="arial" w:cs="arial"/>
          <w:sz w:val="20"/>
          <w:lang w:val="en-US" w:eastAsia="en-US" w:bidi="ar-SA"/>
        </w:rPr>
        <w:cr/>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brings this action on its own behalf and on behalf of the owners of the strata lots in the Condominium, which is legally described as: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Strata Lots 1-90</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District Lot 486, Group 1, New Westminster District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Strata Plan LMS 2599</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along with others, were responsible for the design, construction, development, manufacturing and inspection services, approvals and supervision and supplied materials in connection with the construction and subsequent repairs to the Condominium.</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Condominium contains a number of building deficiencies and construction defects, including defects and deficiencies that have given rise to conditions which pose substantial danger to person and property (the "Construction Deficiencies").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Construction Deficiencies have resulted in continuous property damage and loss to the Condominium's strata lots, common property, common facilities and other common assets and property (the "Resultant Damage"), and loss of use of the same.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Construction Deficiencies and Resultant Damage were caused or contributed to by each of the Defendants' deficient design, construction, development, manufacturing, approval, provision and use of improper materials and inspection and supervision of construction and repairs to the Condominium (collectively, the "Breaches").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Breaches have caused and continue to cause the Plaintiff to suffer loss, damage and expense arising from and in connection with the Construction Deficiencies and Resultant Damage.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claims against each of the Defendants for the loss, damage and expense suffered by the Plaintiff as a result of the Defendants' breaches of contract, breaches of warranty,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negligent failure to warn, negligent misrepresentation, and breaches of statutory duties.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are jointly and severally liable for all of the loss, damage and expense suffered by the Plaintiff and the Plaintiff pleads and relies on the provisions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and the applicable provisions of the Building Codes and other bylaws, codes and building regulations, as amended.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claims against each of the Defendants for: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damages;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relief that this Honourable Court deems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Levelton says that a general endorsement made against all parties is inadequate. It says that it is entitled to have the writ struck as void and as a nullity or, alternatively, as a defective endorsement not cured, citing </w:t>
      </w:r>
      <w:r>
        <w:rPr>
          <w:rFonts w:ascii="arial" w:eastAsia="arial" w:hAnsi="arial" w:cs="arial"/>
          <w:i/>
          <w:color w:val="000000"/>
          <w:sz w:val="20"/>
          <w:lang w:val="en-US" w:eastAsia="en-US" w:bidi="ar-SA"/>
        </w:rPr>
        <w:t>Elloway v. British Columbia Electric Railway Company Limited</w:t>
      </w:r>
      <w:r>
        <w:rPr>
          <w:rFonts w:ascii="arial" w:eastAsia="arial" w:hAnsi="arial" w:cs="arial"/>
          <w:color w:val="000000"/>
          <w:sz w:val="20"/>
          <w:lang w:val="en-US" w:eastAsia="en-US" w:bidi="ar-SA"/>
        </w:rPr>
        <w:t xml:space="preserve"> (1956), 19 W.W.R. 408, </w:t>
      </w:r>
      <w:hyperlink r:id="rId804" w:history="1">
        <w:r>
          <w:rPr>
            <w:rFonts w:ascii="arial" w:eastAsia="arial" w:hAnsi="arial" w:cs="arial"/>
            <w:i/>
            <w:color w:val="0077CC"/>
            <w:sz w:val="20"/>
            <w:u w:val="single"/>
            <w:shd w:val="clear" w:color="auto" w:fill="FFFFFF"/>
            <w:lang w:val="en-US" w:eastAsia="en-US" w:bidi="ar-SA"/>
          </w:rPr>
          <w:t>4 D.L.R. (2d) 734</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Hicks v. Beaver Lumber</w:t>
      </w:r>
      <w:r>
        <w:rPr>
          <w:rFonts w:ascii="arial" w:eastAsia="arial" w:hAnsi="arial" w:cs="arial"/>
          <w:color w:val="000000"/>
          <w:sz w:val="20"/>
          <w:lang w:val="en-US" w:eastAsia="en-US" w:bidi="ar-SA"/>
        </w:rPr>
        <w:t xml:space="preserve"> </w:t>
      </w:r>
      <w:hyperlink r:id="rId805" w:history="1">
        <w:r>
          <w:rPr>
            <w:rFonts w:ascii="arial" w:eastAsia="arial" w:hAnsi="arial" w:cs="arial"/>
            <w:i/>
            <w:color w:val="0077CC"/>
            <w:sz w:val="20"/>
            <w:u w:val="single"/>
            <w:shd w:val="clear" w:color="auto" w:fill="FFFFFF"/>
            <w:lang w:val="en-US" w:eastAsia="en-US" w:bidi="ar-SA"/>
          </w:rPr>
          <w:t>(1993), 98 B.C.L.R. (2d) 206</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Searchlight Systems Ltd. v. Liu</w:t>
      </w:r>
      <w:r>
        <w:rPr>
          <w:rFonts w:ascii="arial" w:eastAsia="arial" w:hAnsi="arial" w:cs="arial"/>
          <w:color w:val="000000"/>
          <w:sz w:val="20"/>
          <w:lang w:val="en-US" w:eastAsia="en-US" w:bidi="ar-SA"/>
        </w:rPr>
        <w:t xml:space="preserve">, </w:t>
      </w:r>
      <w:hyperlink r:id="rId806" w:history="1">
        <w:r>
          <w:rPr>
            <w:rFonts w:ascii="arial" w:eastAsia="arial" w:hAnsi="arial" w:cs="arial"/>
            <w:i/>
            <w:color w:val="0077CC"/>
            <w:sz w:val="20"/>
            <w:u w:val="single"/>
            <w:shd w:val="clear" w:color="auto" w:fill="FFFFFF"/>
            <w:lang w:val="en-US" w:eastAsia="en-US" w:bidi="ar-SA"/>
          </w:rPr>
          <w:t>2006 BCSC 349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McDuff Estate v. St. Paul's Hospital</w:t>
      </w:r>
      <w:r>
        <w:rPr>
          <w:rFonts w:ascii="arial" w:eastAsia="arial" w:hAnsi="arial" w:cs="arial"/>
          <w:color w:val="000000"/>
          <w:sz w:val="20"/>
          <w:lang w:val="en-US" w:eastAsia="en-US" w:bidi="ar-SA"/>
        </w:rPr>
        <w:t xml:space="preserve">, </w:t>
      </w:r>
      <w:hyperlink r:id="rId807" w:history="1">
        <w:r>
          <w:rPr>
            <w:rFonts w:ascii="arial" w:eastAsia="arial" w:hAnsi="arial" w:cs="arial"/>
            <w:i/>
            <w:color w:val="0077CC"/>
            <w:sz w:val="20"/>
            <w:u w:val="single"/>
            <w:shd w:val="clear" w:color="auto" w:fill="FFFFFF"/>
            <w:lang w:val="en-US" w:eastAsia="en-US" w:bidi="ar-SA"/>
          </w:rPr>
          <w:t>[1994] B.C.J. No. 1432</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Canadian National Railway Company v. Canadian Pacific Limited</w:t>
      </w:r>
      <w:r>
        <w:rPr>
          <w:rFonts w:ascii="arial" w:eastAsia="arial" w:hAnsi="arial" w:cs="arial"/>
          <w:color w:val="000000"/>
          <w:sz w:val="20"/>
          <w:lang w:val="en-US" w:eastAsia="en-US" w:bidi="ar-SA"/>
        </w:rPr>
        <w:t xml:space="preserve"> </w:t>
      </w:r>
      <w:hyperlink r:id="rId808" w:history="1">
        <w:r>
          <w:rPr>
            <w:rFonts w:ascii="arial" w:eastAsia="arial" w:hAnsi="arial" w:cs="arial"/>
            <w:i/>
            <w:color w:val="0077CC"/>
            <w:sz w:val="20"/>
            <w:u w:val="single"/>
            <w:shd w:val="clear" w:color="auto" w:fill="FFFFFF"/>
            <w:lang w:val="en-US" w:eastAsia="en-US" w:bidi="ar-SA"/>
          </w:rPr>
          <w:t>(1978), 5 B.C.L.R. 242</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Affinity Auto Group Inc. v. Manheim Auto Auction</w:t>
      </w:r>
      <w:r>
        <w:rPr>
          <w:rFonts w:ascii="arial" w:eastAsia="arial" w:hAnsi="arial" w:cs="arial"/>
          <w:color w:val="000000"/>
          <w:sz w:val="20"/>
          <w:lang w:val="en-US" w:eastAsia="en-US" w:bidi="ar-SA"/>
        </w:rPr>
        <w:t xml:space="preserve">, </w:t>
      </w:r>
      <w:hyperlink r:id="rId809" w:history="1">
        <w:r>
          <w:rPr>
            <w:rFonts w:ascii="arial" w:eastAsia="arial" w:hAnsi="arial" w:cs="arial"/>
            <w:i/>
            <w:color w:val="0077CC"/>
            <w:sz w:val="20"/>
            <w:u w:val="single"/>
            <w:shd w:val="clear" w:color="auto" w:fill="FFFFFF"/>
            <w:lang w:val="en-US" w:eastAsia="en-US" w:bidi="ar-SA"/>
          </w:rPr>
          <w:t>2009 BCSC 873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Clarke v. Perrick</w:t>
      </w:r>
      <w:r>
        <w:rPr>
          <w:rFonts w:ascii="arial" w:eastAsia="arial" w:hAnsi="arial" w:cs="arial"/>
          <w:color w:val="000000"/>
          <w:sz w:val="20"/>
          <w:lang w:val="en-US" w:eastAsia="en-US" w:bidi="ar-SA"/>
        </w:rPr>
        <w:t xml:space="preserve">, </w:t>
      </w:r>
      <w:hyperlink r:id="rId810" w:history="1">
        <w:r>
          <w:rPr>
            <w:rFonts w:ascii="arial" w:eastAsia="arial" w:hAnsi="arial" w:cs="arial"/>
            <w:i/>
            <w:color w:val="0077CC"/>
            <w:sz w:val="20"/>
            <w:u w:val="single"/>
            <w:shd w:val="clear" w:color="auto" w:fill="FFFFFF"/>
            <w:lang w:val="en-US" w:eastAsia="en-US" w:bidi="ar-SA"/>
          </w:rPr>
          <w:t>[1996] B.C.J. No. 2149</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Elloway</w:t>
      </w:r>
      <w:r>
        <w:rPr>
          <w:rFonts w:ascii="arial" w:eastAsia="arial" w:hAnsi="arial" w:cs="arial"/>
          <w:color w:val="000000"/>
          <w:sz w:val="20"/>
          <w:lang w:val="en-US" w:eastAsia="en-US" w:bidi="ar-SA"/>
        </w:rPr>
        <w:t xml:space="preserve"> the endorsement was "The plaintiff's claim is for damages". It was found to be a nullity.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McDuff Estate</w:t>
      </w:r>
      <w:r>
        <w:rPr>
          <w:rFonts w:ascii="arial" w:eastAsia="arial" w:hAnsi="arial" w:cs="arial"/>
          <w:color w:val="000000"/>
          <w:sz w:val="20"/>
          <w:lang w:val="en-US" w:eastAsia="en-US" w:bidi="ar-SA"/>
        </w:rPr>
        <w:t>, Master Donaldson held that the endorsement there was "clearly defective, if not a nullity". The endorsement was "The Plaintiff's claim is for Medical Malpractice, Nervous Shock, Wrongful Confinement, and Battery".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endorsement in </w:t>
      </w:r>
      <w:r>
        <w:rPr>
          <w:rFonts w:ascii="arial" w:eastAsia="arial" w:hAnsi="arial" w:cs="arial"/>
          <w:i/>
          <w:color w:val="000000"/>
          <w:sz w:val="20"/>
          <w:lang w:val="en-US" w:eastAsia="en-US" w:bidi="ar-SA"/>
        </w:rPr>
        <w:t>Affinity Auto Group Inc.</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Searchlight Systems Ltd.</w:t>
      </w:r>
      <w:r>
        <w:rPr>
          <w:rFonts w:ascii="arial" w:eastAsia="arial" w:hAnsi="arial" w:cs="arial"/>
          <w:color w:val="000000"/>
          <w:sz w:val="20"/>
          <w:lang w:val="en-US" w:eastAsia="en-US" w:bidi="ar-SA"/>
        </w:rPr>
        <w:t xml:space="preserve"> were more complex. In </w:t>
      </w:r>
      <w:r>
        <w:rPr>
          <w:rFonts w:ascii="arial" w:eastAsia="arial" w:hAnsi="arial" w:cs="arial"/>
          <w:i/>
          <w:color w:val="000000"/>
          <w:sz w:val="20"/>
          <w:lang w:val="en-US" w:eastAsia="en-US" w:bidi="ar-SA"/>
        </w:rPr>
        <w:t>Affinity Auto Group Inc.</w:t>
      </w:r>
      <w:r>
        <w:rPr>
          <w:rFonts w:ascii="arial" w:eastAsia="arial" w:hAnsi="arial" w:cs="arial"/>
          <w:color w:val="000000"/>
          <w:sz w:val="20"/>
          <w:lang w:val="en-US" w:eastAsia="en-US" w:bidi="ar-SA"/>
        </w:rPr>
        <w:t xml:space="preserve"> the court found that the essence of the endorsement was a commercial claim under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xml:space="preserve"> for receipt of deficient goods. Satanove J. found only that the endorsement contained no cause of action against the defendants, who were not sellers of the goods. The low threshold of sufficiency for an endorsement did not allow a plaintiff in a statement of claim to "completely change the nature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Searchlight Systems Ltd.</w:t>
      </w:r>
      <w:r>
        <w:rPr>
          <w:rFonts w:ascii="arial" w:eastAsia="arial" w:hAnsi="arial" w:cs="arial"/>
          <w:color w:val="000000"/>
          <w:sz w:val="20"/>
          <w:lang w:val="en-US" w:eastAsia="en-US" w:bidi="ar-SA"/>
        </w:rPr>
        <w:t>, Ehrcke J. considered an endorsement that read, in part, "The plaintiff claims for ... damages against the Defendant, Irwin Cotler, Minister of Justice ("MOJ") for fees and expenses incurred by the Plaintiff in connection with litigation support afforded by the Plaintiff to accused persons in the course of criminal prosecution and due and payable by MOJ". The court found that the endorsement did not meet the low standard as it did not bring to the defendant's attention to the type of case it would have to meet.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Owners say that the endorsed Writ of Summons is sufficient to meet the requirements of Rule 8(2) in that it sets out a "concise statement of the nature of the claim made and the relief required in the action". No specific form of words is required: </w:t>
      </w:r>
      <w:r>
        <w:rPr>
          <w:rFonts w:ascii="arial" w:eastAsia="arial" w:hAnsi="arial" w:cs="arial"/>
          <w:i/>
          <w:color w:val="000000"/>
          <w:sz w:val="20"/>
          <w:lang w:val="en-US" w:eastAsia="en-US" w:bidi="ar-SA"/>
        </w:rPr>
        <w:t>Hicks</w:t>
      </w:r>
      <w:r>
        <w:rPr>
          <w:rFonts w:ascii="arial" w:eastAsia="arial" w:hAnsi="arial" w:cs="arial"/>
          <w:color w:val="000000"/>
          <w:sz w:val="20"/>
          <w:lang w:val="en-US" w:eastAsia="en-US" w:bidi="ar-SA"/>
        </w:rPr>
        <w:t xml:space="preserve">. An endorsement, they say, is sufficient if it brings to the defendants' attention the type of case they would have to meet: </w:t>
      </w:r>
      <w:r>
        <w:rPr>
          <w:rFonts w:ascii="arial" w:eastAsia="arial" w:hAnsi="arial" w:cs="arial"/>
          <w:i/>
          <w:color w:val="000000"/>
          <w:sz w:val="20"/>
          <w:lang w:val="en-US" w:eastAsia="en-US" w:bidi="ar-SA"/>
        </w:rPr>
        <w:t>Searchlight Systems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particular the Owners say that, contrary to the position of the applicants, a general endorsement alleging various causes of action against multiple defendants, without particularizing those allegations, is sufficient to meet the requirements of Rule 8(2). The Owners rely on the decision of the Court of Appeal in </w:t>
      </w:r>
      <w:r>
        <w:rPr>
          <w:rFonts w:ascii="arial" w:eastAsia="arial" w:hAnsi="arial" w:cs="arial"/>
          <w:i/>
          <w:color w:val="000000"/>
          <w:sz w:val="20"/>
          <w:lang w:val="en-US" w:eastAsia="en-US" w:bidi="ar-SA"/>
        </w:rPr>
        <w:t>International Forest Products Ltd. v. Moody</w:t>
      </w:r>
      <w:r>
        <w:rPr>
          <w:rFonts w:ascii="arial" w:eastAsia="arial" w:hAnsi="arial" w:cs="arial"/>
          <w:color w:val="000000"/>
          <w:sz w:val="20"/>
          <w:lang w:val="en-US" w:eastAsia="en-US" w:bidi="ar-SA"/>
        </w:rPr>
        <w:t xml:space="preserve"> </w:t>
      </w:r>
      <w:hyperlink r:id="rId811" w:history="1">
        <w:r>
          <w:rPr>
            <w:rFonts w:ascii="arial" w:eastAsia="arial" w:hAnsi="arial" w:cs="arial"/>
            <w:i/>
            <w:color w:val="0077CC"/>
            <w:sz w:val="20"/>
            <w:u w:val="single"/>
            <w:shd w:val="clear" w:color="auto" w:fill="FFFFFF"/>
            <w:lang w:val="en-US" w:eastAsia="en-US" w:bidi="ar-SA"/>
          </w:rPr>
          <w:t>(1997), 36 B.C.L.R. (3d) 257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International Forest Products Ltd.</w:t>
      </w:r>
      <w:r>
        <w:rPr>
          <w:rFonts w:ascii="arial" w:eastAsia="arial" w:hAnsi="arial" w:cs="arial"/>
          <w:color w:val="000000"/>
          <w:sz w:val="20"/>
          <w:lang w:val="en-US" w:eastAsia="en-US" w:bidi="ar-SA"/>
        </w:rPr>
        <w:t xml:space="preserve"> the endorsement considered by the court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 The plaintiffs' claim is against the defendants and each and every one of them for:</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interference with contractual relations;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obstruction;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intimidation;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nuisance;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conspiracy to do injury to the plaintiffs in their business;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conspiracy to harm the economic interests of the plaintiffs;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trespass;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interim, interlocutory and permanent injunction;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interest;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costs;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relief as this Honourable Court deems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action named certain specific persons as defendants and other persons who were said to be "persons unknown". In this court Paris J. dismissed an application to strike the action on the ground that the endorsement was insufficient. Hall J.A. refused leave to appeal, but the full court reconsidered the application and did so on the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McEachern, C.J.B.C., speaking for the court referred to the "modern view" of these matters expressed by the Court of Appeal in </w:t>
      </w:r>
      <w:r>
        <w:rPr>
          <w:rFonts w:ascii="arial" w:eastAsia="arial" w:hAnsi="arial" w:cs="arial"/>
          <w:i/>
          <w:color w:val="000000"/>
          <w:sz w:val="20"/>
          <w:lang w:val="en-US" w:eastAsia="en-US" w:bidi="ar-SA"/>
        </w:rPr>
        <w:t>Mussell v. Cronhelm</w:t>
      </w:r>
      <w:r>
        <w:rPr>
          <w:rFonts w:ascii="arial" w:eastAsia="arial" w:hAnsi="arial" w:cs="arial"/>
          <w:color w:val="000000"/>
          <w:sz w:val="20"/>
          <w:lang w:val="en-US" w:eastAsia="en-US" w:bidi="ar-SA"/>
        </w:rPr>
        <w:t xml:space="preserve"> </w:t>
      </w:r>
      <w:hyperlink r:id="rId812" w:history="1">
        <w:r>
          <w:rPr>
            <w:rFonts w:ascii="arial" w:eastAsia="arial" w:hAnsi="arial" w:cs="arial"/>
            <w:i/>
            <w:color w:val="0077CC"/>
            <w:sz w:val="20"/>
            <w:u w:val="single"/>
            <w:shd w:val="clear" w:color="auto" w:fill="FFFFFF"/>
            <w:lang w:val="en-US" w:eastAsia="en-US" w:bidi="ar-SA"/>
          </w:rPr>
          <w:t>(1994), 111 D.L.R. (4th) 95</w:t>
        </w:r>
      </w:hyperlink>
      <w:r>
        <w:rPr>
          <w:rFonts w:ascii="arial" w:eastAsia="arial" w:hAnsi="arial" w:cs="arial"/>
          <w:color w:val="000000"/>
          <w:sz w:val="20"/>
          <w:lang w:val="en-US" w:eastAsia="en-US" w:bidi="ar-SA"/>
        </w:rPr>
        <w:t>, where Prowse J.A. wrote for the court at pp. 100-101: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Rule 2 provides that a failure to adhere strictly to the rules will give rise to an irregularity, rather than a nullity. With respect to the latter rule, regard may be had to the words of Lord Denning, speaking of the English counterpart to Rule 2, in </w:t>
      </w:r>
      <w:r>
        <w:rPr>
          <w:rFonts w:ascii="arial" w:eastAsia="arial" w:hAnsi="arial" w:cs="arial"/>
          <w:i/>
          <w:color w:val="000000"/>
          <w:sz w:val="20"/>
          <w:lang w:val="en-US" w:eastAsia="en-US" w:bidi="ar-SA"/>
        </w:rPr>
        <w:t>Harkness v. Bell's Asbestos and Engineering, Ltd.</w:t>
      </w:r>
      <w:r>
        <w:rPr>
          <w:rFonts w:ascii="arial" w:eastAsia="arial" w:hAnsi="arial" w:cs="arial"/>
          <w:color w:val="000000"/>
          <w:sz w:val="20"/>
          <w:lang w:val="en-US" w:eastAsia="en-US" w:bidi="ar-SA"/>
        </w:rPr>
        <w:t>, [1966] 3 All E.R. 843 (leave to appeal to the House of Lords refused) at 845-6: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new rule does away with the old distinction between nullities and irregularities. Every omission or mistake in practice or procedure is henceforward to be regarded as an irregularity which the court can and should rectify so long as it can do so without injustice. It can at last be asserted that "it is not possible ... for an honest litigant in Her Majesty's Supreme Court to be defeated by any mere technicality, any slip, any mistaken step in his litigation." That could not be said in 1963; see </w:t>
      </w:r>
      <w:r>
        <w:rPr>
          <w:rFonts w:ascii="arial" w:eastAsia="arial" w:hAnsi="arial" w:cs="arial"/>
          <w:i/>
          <w:color w:val="000000"/>
          <w:sz w:val="20"/>
          <w:lang w:val="en-US" w:eastAsia="en-US" w:bidi="ar-SA"/>
        </w:rPr>
        <w:t>Re Pritchard</w:t>
      </w:r>
      <w:r>
        <w:rPr>
          <w:rFonts w:ascii="arial" w:eastAsia="arial" w:hAnsi="arial" w:cs="arial"/>
          <w:color w:val="000000"/>
          <w:sz w:val="20"/>
          <w:lang w:val="en-US" w:eastAsia="en-US" w:bidi="ar-SA"/>
        </w:rPr>
        <w:t xml:space="preserve"> (decd.) ([1963] 1 All E.R. 873 at 879, [1963] Ch. 502 at 518); but it can be in 1966. The new rule does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Thus, in </w:t>
      </w:r>
      <w:r>
        <w:rPr>
          <w:rFonts w:ascii="arial" w:eastAsia="arial" w:hAnsi="arial" w:cs="arial"/>
          <w:i/>
          <w:color w:val="000000"/>
          <w:sz w:val="20"/>
          <w:lang w:val="en-US" w:eastAsia="en-US" w:bidi="ar-SA"/>
        </w:rPr>
        <w:t>Sheldon v. Brown Bayley's Steelworks Ltd. and Another</w:t>
      </w:r>
      <w:r>
        <w:rPr>
          <w:rFonts w:ascii="arial" w:eastAsia="arial" w:hAnsi="arial" w:cs="arial"/>
          <w:color w:val="000000"/>
          <w:sz w:val="20"/>
          <w:lang w:val="en-US" w:eastAsia="en-US" w:bidi="ar-SA"/>
        </w:rPr>
        <w:t xml:space="preserve">, [1953] 2 All E.R. 894, the English Court of Appeal held that failure to serve a writ within the prescribed time did not render it a nullity, but an irregularity. Sheldon was referred to with approval by this Court, the Saskatchewan Court of Appeal, and the Ontario Court of Appeal in </w:t>
      </w:r>
      <w:r>
        <w:rPr>
          <w:rFonts w:ascii="arial" w:eastAsia="arial" w:hAnsi="arial" w:cs="arial"/>
          <w:i/>
          <w:color w:val="000000"/>
          <w:sz w:val="20"/>
          <w:lang w:val="en-US" w:eastAsia="en-US" w:bidi="ar-SA"/>
        </w:rPr>
        <w:t>Kelly</w:t>
      </w:r>
      <w:r>
        <w:rPr>
          <w:rFonts w:ascii="arial" w:eastAsia="arial" w:hAnsi="arial" w:cs="arial"/>
          <w:color w:val="000000"/>
          <w:sz w:val="20"/>
          <w:lang w:val="en-US" w:eastAsia="en-US" w:bidi="ar-SA"/>
        </w:rPr>
        <w:t xml:space="preserve">, [ </w:t>
      </w:r>
      <w:hyperlink r:id="rId813" w:history="1">
        <w:r>
          <w:rPr>
            <w:rFonts w:ascii="arial" w:eastAsia="arial" w:hAnsi="arial" w:cs="arial"/>
            <w:i/>
            <w:color w:val="0077CC"/>
            <w:sz w:val="20"/>
            <w:u w:val="single"/>
            <w:shd w:val="clear" w:color="auto" w:fill="FFFFFF"/>
            <w:lang w:val="en-US" w:eastAsia="en-US" w:bidi="ar-SA"/>
          </w:rPr>
          <w:t>46 D.L.R. (2d) 38</w:t>
        </w:r>
      </w:hyperlink>
      <w:r>
        <w:rPr>
          <w:rFonts w:ascii="arial" w:eastAsia="arial" w:hAnsi="arial" w:cs="arial"/>
          <w:color w:val="000000"/>
          <w:sz w:val="20"/>
          <w:lang w:val="en-US" w:eastAsia="en-US" w:bidi="ar-SA"/>
        </w:rPr>
        <w:t xml:space="preserve">], supra, </w:t>
      </w:r>
      <w:r>
        <w:rPr>
          <w:rFonts w:ascii="arial" w:eastAsia="arial" w:hAnsi="arial" w:cs="arial"/>
          <w:i/>
          <w:color w:val="000000"/>
          <w:sz w:val="20"/>
          <w:lang w:val="en-US" w:eastAsia="en-US" w:bidi="ar-SA"/>
        </w:rPr>
        <w:t>Simpson</w:t>
      </w:r>
      <w:r>
        <w:rPr>
          <w:rFonts w:ascii="arial" w:eastAsia="arial" w:hAnsi="arial" w:cs="arial"/>
          <w:color w:val="000000"/>
          <w:sz w:val="20"/>
          <w:lang w:val="en-US" w:eastAsia="en-US" w:bidi="ar-SA"/>
        </w:rPr>
        <w:t>, [</w:t>
      </w:r>
      <w:hyperlink r:id="rId814" w:history="1">
        <w:r>
          <w:rPr>
            <w:rFonts w:ascii="arial" w:eastAsia="arial" w:hAnsi="arial" w:cs="arial"/>
            <w:i/>
            <w:color w:val="0077CC"/>
            <w:sz w:val="20"/>
            <w:u w:val="single"/>
            <w:shd w:val="clear" w:color="auto" w:fill="FFFFFF"/>
            <w:lang w:val="en-US" w:eastAsia="en-US" w:bidi="ar-SA"/>
          </w:rPr>
          <w:t>65 D.L.R. (2d) 324</w:t>
        </w:r>
      </w:hyperlink>
      <w:r>
        <w:rPr>
          <w:rFonts w:ascii="arial" w:eastAsia="arial" w:hAnsi="arial" w:cs="arial"/>
          <w:color w:val="000000"/>
          <w:sz w:val="20"/>
          <w:lang w:val="en-US" w:eastAsia="en-US" w:bidi="ar-SA"/>
        </w:rPr>
        <w:t xml:space="preserve">], supra, and </w:t>
      </w:r>
      <w:r>
        <w:rPr>
          <w:rFonts w:ascii="arial" w:eastAsia="arial" w:hAnsi="arial" w:cs="arial"/>
          <w:i/>
          <w:color w:val="000000"/>
          <w:sz w:val="20"/>
          <w:lang w:val="en-US" w:eastAsia="en-US" w:bidi="ar-SA"/>
        </w:rPr>
        <w:t>Brown v. Humble</w:t>
      </w:r>
      <w:r>
        <w:rPr>
          <w:rFonts w:ascii="arial" w:eastAsia="arial" w:hAnsi="arial" w:cs="arial"/>
          <w:color w:val="000000"/>
          <w:sz w:val="20"/>
          <w:lang w:val="en-US" w:eastAsia="en-US" w:bidi="ar-SA"/>
        </w:rPr>
        <w:t xml:space="preserve">, </w:t>
      </w:r>
      <w:hyperlink r:id="rId815" w:history="1">
        <w:r>
          <w:rPr>
            <w:rFonts w:ascii="arial" w:eastAsia="arial" w:hAnsi="arial" w:cs="arial"/>
            <w:i/>
            <w:color w:val="0077CC"/>
            <w:sz w:val="20"/>
            <w:u w:val="single"/>
            <w:shd w:val="clear" w:color="auto" w:fill="FFFFFF"/>
            <w:lang w:val="en-US" w:eastAsia="en-US" w:bidi="ar-SA"/>
          </w:rPr>
          <w:t>[1959] O.R. 586</w:t>
        </w:r>
      </w:hyperlink>
      <w:r>
        <w:rPr>
          <w:rFonts w:ascii="arial" w:eastAsia="arial" w:hAnsi="arial" w:cs="arial"/>
          <w:color w:val="000000"/>
          <w:sz w:val="20"/>
          <w:lang w:val="en-US" w:eastAsia="en-US" w:bidi="ar-SA"/>
        </w:rPr>
        <w:t>,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Thus the court held in </w:t>
      </w:r>
      <w:r>
        <w:rPr>
          <w:rFonts w:ascii="arial" w:eastAsia="arial" w:hAnsi="arial" w:cs="arial"/>
          <w:i/>
          <w:color w:val="000000"/>
          <w:sz w:val="20"/>
          <w:lang w:val="en-US" w:eastAsia="en-US" w:bidi="ar-SA"/>
        </w:rPr>
        <w:t>International Forest Products Ltd.</w:t>
      </w:r>
      <w:r>
        <w:rPr>
          <w:rFonts w:ascii="arial" w:eastAsia="arial" w:hAnsi="arial" w:cs="arial"/>
          <w:color w:val="000000"/>
          <w:sz w:val="20"/>
          <w:lang w:val="en-US" w:eastAsia="en-US" w:bidi="ar-SA"/>
        </w:rPr>
        <w:t xml:space="preserve"> that "</w:t>
      </w:r>
      <w:r>
        <w:rPr>
          <w:rFonts w:ascii="arial" w:eastAsia="arial" w:hAnsi="arial" w:cs="arial"/>
          <w:i/>
          <w:color w:val="000000"/>
          <w:sz w:val="20"/>
          <w:lang w:val="en-US" w:eastAsia="en-US" w:bidi="ar-SA"/>
        </w:rPr>
        <w:t>... Elloway</w:t>
      </w:r>
      <w:r>
        <w:rPr>
          <w:rFonts w:ascii="arial" w:eastAsia="arial" w:hAnsi="arial" w:cs="arial"/>
          <w:color w:val="000000"/>
          <w:sz w:val="20"/>
          <w:lang w:val="en-US" w:eastAsia="en-US" w:bidi="ar-SA"/>
        </w:rPr>
        <w:t xml:space="preserve"> cannot be regarded as authoritative since the adoption of Rule 2(1)" at para. 15. The appeal was bound to fail on alternate grounds including the "force of Rule 1(5) and 2(1) and the modern authorities":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this case the writ identifies the property at issue, the various strata lots, which comprise a condominium development. It asserts that the defendants were responsible for the design, construction, development, etc. of the condominium. It asserts that the condominium has building deficiencies and construction defects, resulting in continuous property damage and loss. It says that the defendants caused or contributed to those deficiencies and construction defects. The plaintiff claims against the defendants for their losses as a result of "breaches of contract, breaches of warranty,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negligent failure to warn, negligent misrepresentation, and breaches of statutory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my opinion the endorsement, while general, brings to the attention of the defendants in a general way the type of case it will have to meet. That is to say, it brings to the attention of the defendants that their work or participation in the condominium development is said to have caused or contributed to property loss and damage, for which they are legally responsible under the various theories advanced.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Of course, this is construction litigation, and it is notorious that assigning responsibility for losses alleged to have arisen can be difficult and complex. See the decision of Verhoeven J. in </w:t>
      </w:r>
      <w:r>
        <w:rPr>
          <w:rFonts w:ascii="arial" w:eastAsia="arial" w:hAnsi="arial" w:cs="arial"/>
          <w:i/>
          <w:color w:val="000000"/>
          <w:sz w:val="20"/>
          <w:lang w:val="en-US" w:eastAsia="en-US" w:bidi="ar-SA"/>
        </w:rPr>
        <w:t>Strata Plan LMS 2174 v. 387903 B.C. Ltd.,</w:t>
      </w:r>
      <w:r>
        <w:rPr>
          <w:rFonts w:ascii="arial" w:eastAsia="arial" w:hAnsi="arial" w:cs="arial"/>
          <w:color w:val="000000"/>
          <w:sz w:val="20"/>
          <w:lang w:val="en-US" w:eastAsia="en-US" w:bidi="ar-SA"/>
        </w:rPr>
        <w:t xml:space="preserve"> </w:t>
      </w:r>
      <w:hyperlink r:id="rId816" w:history="1">
        <w:r>
          <w:rPr>
            <w:rFonts w:ascii="arial" w:eastAsia="arial" w:hAnsi="arial" w:cs="arial"/>
            <w:i/>
            <w:color w:val="0077CC"/>
            <w:sz w:val="20"/>
            <w:u w:val="single"/>
            <w:shd w:val="clear" w:color="auto" w:fill="FFFFFF"/>
            <w:lang w:val="en-US" w:eastAsia="en-US" w:bidi="ar-SA"/>
          </w:rPr>
          <w:t>2010 BCSC 401</w:t>
        </w:r>
      </w:hyperlink>
      <w:r>
        <w:rPr>
          <w:rFonts w:ascii="arial" w:eastAsia="arial" w:hAnsi="arial" w:cs="arial"/>
          <w:color w:val="000000"/>
          <w:sz w:val="20"/>
          <w:lang w:val="en-US" w:eastAsia="en-US" w:bidi="ar-SA"/>
        </w:rPr>
        <w:t>. In my opinion it would be counselling perfection to require a party to more fully particularize responsibility in an endorsement in this litigation on pain of finding the endorsement a nullity.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am mindful of the difficulties all of the defendants will encounter because of the timing of the litigation and the fact that remedial action has commenced. It may be that unnecessary costs are incurred to protect their positions. Those are serious matters which may need to be separately addressed. In my opinion those matters do not inform the analysis of the sufficiency of the writ.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threshold for finding sufficiency of a writ is low. In my opinion the general endorsement satisfies this threshold, based on the decision of McEachern C.J.B.C., speaking for the Court in </w:t>
      </w:r>
      <w:r>
        <w:rPr>
          <w:rFonts w:ascii="arial" w:eastAsia="arial" w:hAnsi="arial" w:cs="arial"/>
          <w:i/>
          <w:color w:val="000000"/>
          <w:sz w:val="20"/>
          <w:lang w:val="en-US" w:eastAsia="en-US" w:bidi="ar-SA"/>
        </w:rPr>
        <w:t>International Forest Products Ltd.</w:t>
      </w:r>
      <w:r>
        <w:rPr>
          <w:rFonts w:ascii="arial" w:eastAsia="arial" w:hAnsi="arial" w:cs="arial"/>
          <w:color w:val="000000"/>
          <w:sz w:val="20"/>
          <w:lang w:val="en-US" w:eastAsia="en-US" w:bidi="ar-SA"/>
        </w:rPr>
        <w:t xml:space="preserve"> The writ is not a nullity. Alternatively, even if the writ is not </w:t>
      </w:r>
      <w:r>
        <w:rPr>
          <w:rFonts w:ascii="arial" w:eastAsia="arial" w:hAnsi="arial" w:cs="arial"/>
          <w:i/>
          <w:color w:val="000000"/>
          <w:sz w:val="20"/>
          <w:lang w:val="en-US" w:eastAsia="en-US" w:bidi="ar-SA"/>
        </w:rPr>
        <w:t>sufficiently</w:t>
      </w:r>
      <w:r>
        <w:rPr>
          <w:rFonts w:ascii="arial" w:eastAsia="arial" w:hAnsi="arial" w:cs="arial"/>
          <w:color w:val="000000"/>
          <w:sz w:val="20"/>
          <w:lang w:val="en-US" w:eastAsia="en-US" w:bidi="ar-SA"/>
        </w:rPr>
        <w:t xml:space="preserve"> endorsed it is at most an irregularity which, in my opinion, can be cured by issuance of a statement of claim. The application to strike the writ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Rule 19(4)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determining whether an endorsement or statement of claim should be struck on the grounds that it discloses no reasonable claim, the court is required to assume that the facts alleged in the statement of claim can be proved. The court then asks whether it is "plain and obvious" that the plaintiff's claim discloses no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considering the plain and obvious standard the court should consider (1) whether there is a fit question to be tried, regardless of complexity or novelty, (2) whether the outcome of the claim at trial is beyond a reasonable doubt, (3) whether serious questions of law or questions of general importance are raised or if facts should be known before rights should be decided, (4) whether the pleadings might be amended, and (5) whether there is some element of an abuse of process: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says its claims in the endorsed Writ of Summons are against the Directors for negligent misrepresentation, and breaches of statutory duty. The plaintiff says that these arise from the Directors' role in causing and contributing to the defects and deficiencies in the course of development and construction, their representations, and with respect to their statutory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Vernons appear to concede that they "face potential liability for misrepresentation in the disclosure statement". They invoke section 22(7) of the </w:t>
      </w:r>
      <w:r>
        <w:rPr>
          <w:rFonts w:ascii="arial" w:eastAsia="arial" w:hAnsi="arial" w:cs="arial"/>
          <w:i/>
          <w:color w:val="000000"/>
          <w:sz w:val="20"/>
          <w:lang w:val="en-US" w:eastAsia="en-US" w:bidi="ar-SA"/>
        </w:rPr>
        <w:t>Real Estate Development Marketing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41</w:t>
      </w:r>
      <w:r>
        <w:rPr>
          <w:rFonts w:ascii="arial" w:eastAsia="arial" w:hAnsi="arial" w:cs="arial"/>
          <w:color w:val="000000"/>
          <w:sz w:val="20"/>
          <w:lang w:val="en-US" w:eastAsia="en-US" w:bidi="ar-SA"/>
        </w:rPr>
        <w:t xml:space="preserve"> relying on the authority of professionals on which they relied.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 agree with the plaintiff that the Vernons have offered up a defence to the plaintiff's claims. The fact they may have a defence does not mean that it is "plain and obvious" that the claim cannot succeed. Of course, the Directors' evidence regarding their defence cannot be considered by the court in determining an application under Rule 19(24): </w:t>
      </w:r>
      <w:r>
        <w:rPr>
          <w:rFonts w:ascii="arial" w:eastAsia="arial" w:hAnsi="arial" w:cs="arial"/>
          <w:i/>
          <w:color w:val="000000"/>
          <w:sz w:val="20"/>
          <w:lang w:val="en-US" w:eastAsia="en-US" w:bidi="ar-SA"/>
        </w:rPr>
        <w:t>Carruthers v. Langley</w:t>
      </w:r>
      <w:r>
        <w:rPr>
          <w:rFonts w:ascii="arial" w:eastAsia="arial" w:hAnsi="arial" w:cs="arial"/>
          <w:color w:val="000000"/>
          <w:sz w:val="20"/>
          <w:lang w:val="en-US" w:eastAsia="en-US" w:bidi="ar-SA"/>
        </w:rPr>
        <w:t xml:space="preserve"> </w:t>
      </w:r>
      <w:hyperlink r:id="rId817" w:history="1">
        <w:r>
          <w:rPr>
            <w:rFonts w:ascii="arial" w:eastAsia="arial" w:hAnsi="arial" w:cs="arial"/>
            <w:i/>
            <w:color w:val="0077CC"/>
            <w:sz w:val="20"/>
            <w:u w:val="single"/>
            <w:shd w:val="clear" w:color="auto" w:fill="FFFFFF"/>
            <w:lang w:val="en-US" w:eastAsia="en-US" w:bidi="ar-SA"/>
          </w:rPr>
          <w:t>(1984), 57 B.C.L.R. 373</w:t>
        </w:r>
      </w:hyperlink>
      <w:r>
        <w:rPr>
          <w:rFonts w:ascii="arial" w:eastAsia="arial" w:hAnsi="arial" w:cs="arial"/>
          <w:color w:val="000000"/>
          <w:sz w:val="20"/>
          <w:lang w:val="en-US" w:eastAsia="en-US" w:bidi="ar-SA"/>
        </w:rPr>
        <w:t xml:space="preserve">, </w:t>
      </w:r>
      <w:hyperlink r:id="rId817" w:history="1">
        <w:r>
          <w:rPr>
            <w:rFonts w:ascii="arial" w:eastAsia="arial" w:hAnsi="arial" w:cs="arial"/>
            <w:i/>
            <w:color w:val="0077CC"/>
            <w:sz w:val="20"/>
            <w:u w:val="single"/>
            <w:shd w:val="clear" w:color="auto" w:fill="FFFFFF"/>
            <w:lang w:val="en-US" w:eastAsia="en-US" w:bidi="ar-SA"/>
          </w:rPr>
          <w:t>13 D.L.R. (4th) 528</w:t>
        </w:r>
      </w:hyperlink>
      <w:r>
        <w:rPr>
          <w:rFonts w:ascii="arial" w:eastAsia="arial" w:hAnsi="arial" w:cs="arial"/>
          <w:color w:val="000000"/>
          <w:sz w:val="20"/>
          <w:lang w:val="en-US" w:eastAsia="en-US" w:bidi="ar-SA"/>
        </w:rPr>
        <w:t xml:space="preserve"> (S.C.), aff'd </w:t>
      </w:r>
      <w:hyperlink r:id="rId818" w:history="1">
        <w:r>
          <w:rPr>
            <w:rFonts w:ascii="arial" w:eastAsia="arial" w:hAnsi="arial" w:cs="arial"/>
            <w:i/>
            <w:color w:val="0077CC"/>
            <w:sz w:val="20"/>
            <w:u w:val="single"/>
            <w:shd w:val="clear" w:color="auto" w:fill="FFFFFF"/>
            <w:lang w:val="en-US" w:eastAsia="en-US" w:bidi="ar-SA"/>
          </w:rPr>
          <w:t>69 B.C.L.R. 24</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There is also the question of the representations made in the correspondence referenced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Of course, we are dealing with this question based only on the endorsement in the writ. That said, I am unable to say that the defendants have met the "plain and obvious" standard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application under Rule 19(24)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Rule 18(6)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application under Rule 18(6) a defendant may, on the ground there is no merit in the whole or part of the claim, apply to court for judgment on an affidavit verifying that there is no merit in whole or in part to the claim and stating that the deponent knows of no facts which would substantiate the whole or part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applicant in such an application must establish that there is no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triable issue of fact or law: </w:t>
      </w:r>
      <w:r>
        <w:rPr>
          <w:rFonts w:ascii="arial" w:eastAsia="arial" w:hAnsi="arial" w:cs="arial"/>
          <w:i/>
          <w:color w:val="000000"/>
          <w:sz w:val="20"/>
          <w:lang w:val="en-US" w:eastAsia="en-US" w:bidi="ar-SA"/>
        </w:rPr>
        <w:t>Carnahan v. Coates</w:t>
      </w:r>
      <w:r>
        <w:rPr>
          <w:rFonts w:ascii="arial" w:eastAsia="arial" w:hAnsi="arial" w:cs="arial"/>
          <w:color w:val="000000"/>
          <w:sz w:val="20"/>
          <w:lang w:val="en-US" w:eastAsia="en-US" w:bidi="ar-SA"/>
        </w:rPr>
        <w:t xml:space="preserve"> </w:t>
      </w:r>
      <w:hyperlink r:id="rId819" w:history="1">
        <w:r>
          <w:rPr>
            <w:rFonts w:ascii="arial" w:eastAsia="arial" w:hAnsi="arial" w:cs="arial"/>
            <w:i/>
            <w:color w:val="0077CC"/>
            <w:sz w:val="20"/>
            <w:u w:val="single"/>
            <w:shd w:val="clear" w:color="auto" w:fill="FFFFFF"/>
            <w:lang w:val="en-US" w:eastAsia="en-US" w:bidi="ar-SA"/>
          </w:rPr>
          <w:t>(1990), 71 D.L.R. (4th) 464</w:t>
        </w:r>
      </w:hyperlink>
      <w:r>
        <w:rPr>
          <w:rFonts w:ascii="arial" w:eastAsia="arial" w:hAnsi="arial" w:cs="arial"/>
          <w:color w:val="000000"/>
          <w:sz w:val="20"/>
          <w:lang w:val="en-US" w:eastAsia="en-US" w:bidi="ar-SA"/>
        </w:rPr>
        <w:t xml:space="preserve">, </w:t>
      </w:r>
      <w:hyperlink r:id="rId819" w:history="1">
        <w:r>
          <w:rPr>
            <w:rFonts w:ascii="arial" w:eastAsia="arial" w:hAnsi="arial" w:cs="arial"/>
            <w:i/>
            <w:color w:val="0077CC"/>
            <w:sz w:val="20"/>
            <w:u w:val="single"/>
            <w:shd w:val="clear" w:color="auto" w:fill="FFFFFF"/>
            <w:lang w:val="en-US" w:eastAsia="en-US" w:bidi="ar-SA"/>
          </w:rPr>
          <w:t>47 B.C.L.R. (2d) 127</w:t>
        </w:r>
      </w:hyperlink>
      <w:r>
        <w:rPr>
          <w:rFonts w:ascii="arial" w:eastAsia="arial" w:hAnsi="arial" w:cs="arial"/>
          <w:color w:val="000000"/>
          <w:sz w:val="20"/>
          <w:lang w:val="en-US" w:eastAsia="en-US" w:bidi="ar-SA"/>
        </w:rPr>
        <w:t xml:space="preserve"> (S.C.). Put in another way, it must be shown that the plaintiff is "bound to lose": </w:t>
      </w:r>
      <w:r>
        <w:rPr>
          <w:rFonts w:ascii="arial" w:eastAsia="arial" w:hAnsi="arial" w:cs="arial"/>
          <w:i/>
          <w:color w:val="000000"/>
          <w:sz w:val="20"/>
          <w:lang w:val="en-US" w:eastAsia="en-US" w:bidi="ar-SA"/>
        </w:rPr>
        <w:t>Pitt v. Holt</w:t>
      </w:r>
      <w:r>
        <w:rPr>
          <w:rFonts w:ascii="arial" w:eastAsia="arial" w:hAnsi="arial" w:cs="arial"/>
          <w:color w:val="000000"/>
          <w:sz w:val="20"/>
          <w:lang w:val="en-US" w:eastAsia="en-US" w:bidi="ar-SA"/>
        </w:rPr>
        <w:t xml:space="preserve">, </w:t>
      </w:r>
      <w:hyperlink r:id="rId820" w:history="1">
        <w:r>
          <w:rPr>
            <w:rFonts w:ascii="arial" w:eastAsia="arial" w:hAnsi="arial" w:cs="arial"/>
            <w:i/>
            <w:color w:val="0077CC"/>
            <w:sz w:val="20"/>
            <w:u w:val="single"/>
            <w:shd w:val="clear" w:color="auto" w:fill="FFFFFF"/>
            <w:lang w:val="en-US" w:eastAsia="en-US" w:bidi="ar-SA"/>
          </w:rPr>
          <w:t>2007 BCSC 1555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a Rule 18(6) application, matters of fact cannot be weighed, and all inferences from the facts must be viewed in the light most favourable to the plaintiff: </w:t>
      </w:r>
      <w:r>
        <w:rPr>
          <w:rFonts w:ascii="arial" w:eastAsia="arial" w:hAnsi="arial" w:cs="arial"/>
          <w:i/>
          <w:color w:val="000000"/>
          <w:sz w:val="20"/>
          <w:lang w:val="en-US" w:eastAsia="en-US" w:bidi="ar-SA"/>
        </w:rPr>
        <w:t>Carnahan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material before the court includes an undated letter to "Homeowners" saying that "We did it right" and making various claims about the quality of the development and the experience of the developer. It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Marina Estates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#310-1466 Pemberton Avenue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Squamish, BC, V0N 3G0</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892-2628 Fax: (604) 815-0069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Homeowners,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In light of all the publicity in the city with leaky condo's ... we wanted to give you </w:t>
      </w:r>
      <w:r>
        <w:rPr>
          <w:rFonts w:ascii="arial" w:eastAsia="arial" w:hAnsi="arial" w:cs="arial"/>
          <w:b/>
          <w:i/>
          <w:color w:val="000000"/>
          <w:sz w:val="20"/>
          <w:lang w:val="en-US" w:eastAsia="en-US" w:bidi="ar-SA"/>
        </w:rPr>
        <w:t>reassurance of our quality construction</w:t>
      </w:r>
      <w:r>
        <w:rPr>
          <w:rFonts w:ascii="arial" w:eastAsia="arial" w:hAnsi="arial" w:cs="arial"/>
          <w:i/>
          <w:color w:val="000000"/>
          <w:sz w:val="20"/>
          <w:lang w:val="en-US" w:eastAsia="en-US" w:bidi="ar-SA"/>
        </w:rPr>
        <w:t>, at Marina Estates.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 developers with leaky buildings are now hiring envelope engineers to fix their problems -- we had hired an envelope engineer, Levelton Engineering Ltd., to inspect our buildings from the start of construction through to the end.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did it right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We have wrapped our building with 2 layers of tar paper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We have used plywood - not particle board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Our lumber was kiln dried to allow for max. dryness and less shrinkage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We have a double layered 20 year roof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enclosed a copy of our engineering report from Levelton. These buildings were built to exceed all standards -- if there is a problem we will fix it immediately! At our cost.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 developer has been constructing buildings for over 30 years producing strong, quality buildings. To this date he has never had a claim for leaky buildings.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now time to do our final envelope sealing. This will be carried out by Dennis and Andy over the next couple weeks, weather permitting.</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Humidistats</w:t>
      </w:r>
      <w:r>
        <w:rPr>
          <w:rFonts w:ascii="arial" w:eastAsia="arial" w:hAnsi="arial" w:cs="arial"/>
          <w:color w:val="000000"/>
          <w:sz w:val="20"/>
          <w:lang w:val="en-US" w:eastAsia="en-US" w:bidi="ar-SA"/>
        </w:rPr>
        <w:t xml:space="preserve"> ... very important!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Keep between 40 and 50. It makes for a healthier home and building.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have any questions, call your property manager.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Sincerely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(Signature)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Marina Estates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There is also a letter dated July 25, 2000 which provides further assurances. The Strata Corporation was copied with this correspondence. It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EDWARD VERNON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328354 BC LTD.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July 25, 2000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Black Tusk Property Management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Box 477, Squamish, BC, VON 3G0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 Marina Estates Strata Corporation LMS 2599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Rod Derouin,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we originally developed the concept for Marina Estates our goal was to create a development with the highest quality of construction Squamish had ever seen.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hired the best engineers available from mechanical to structural as well as envelope engineers, which were highly recommended in the industry. We paid top dollar for our own team of inspectors in addition to Municipal inspectors like Peter Remple. We hired highly skilled and experienced tradesman who are considered the best in their industry. We researched and acquired the best warranty program available through a company, which was unheard of in the B.C. housing industry.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feel we have exceeded our part in providing the best quality of construction. This is why it was very disturbing to see that when the envelope engineer made a recommendation for maintenance of these buildings, a maintenance program was never implemented. These buildings were constructed to the highest standards, but due to the inclement weather Squamish receives it is imperative to have a maintenance program in place. Levelton Engineering, being the original envelope engineers for the project, already has extensive knowledge on the construction of these buildings. Therefore, I personally would not hesitate, and highly recommend, using Levelton Engineering for your regular inspections. They have their reputation and integrity and are highly knowledge [sic] in this field. Again, I highly recommend that you follow the instructions of the engineers and have the buildings maintained on Levelton's recommended schedule.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are to contact anyone for repairs I recommend you call the original tradesmen as they are already familiar with the buildings and many of them still have warranties on their work. The following is a list of trades from Marina Estates: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Roof membrane: Pacific Restoration (Don Lepp) -- 898-4661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Cedar shingles: All Season Roofing (Ron Rana) -- 585-6746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Stucco: Westcoast Stucco (Milne Martin) -- 852-4249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One final point, with the velocity of the wind and the driving rain the envelope can be broken. It takes knowledge to fix it, to prevent further damage. I have now seen the new Building Code designed to counteract the current problems B.C. buildings are having. For your assurance, our buildings still exceed even the new Building Code. However, it is still imperative you implement regular inspections and maintenance to prevent any problems.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Yours truly,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"Edward Vernon"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Edward Vernon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c.c. Marina Estates Strata Corporation LMS 2599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There are also potential issues regarding the disclosure statements signed by the Vernons.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the circumstances I am unable to say that the there is no triable issue or that the plaintiffs are bound to lose. This application is refused.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plaintiff has been successful in these applications. With respect to Levelton's application it asks that costs be payable forthwith in any event of the cause. The plaintiff says that such an order is appropriate whether the application is frivolous or without merit, relying on </w:t>
      </w:r>
      <w:r>
        <w:rPr>
          <w:rFonts w:ascii="arial" w:eastAsia="arial" w:hAnsi="arial" w:cs="arial"/>
          <w:i/>
          <w:color w:val="000000"/>
          <w:sz w:val="20"/>
          <w:lang w:val="en-US" w:eastAsia="en-US" w:bidi="ar-SA"/>
        </w:rPr>
        <w:t>Lalji v. Sunderji,</w:t>
      </w:r>
      <w:r>
        <w:rPr>
          <w:rFonts w:ascii="arial" w:eastAsia="arial" w:hAnsi="arial" w:cs="arial"/>
          <w:color w:val="000000"/>
          <w:sz w:val="20"/>
          <w:lang w:val="en-US" w:eastAsia="en-US" w:bidi="ar-SA"/>
        </w:rPr>
        <w:t xml:space="preserve"> </w:t>
      </w:r>
      <w:hyperlink r:id="rId821" w:history="1">
        <w:r>
          <w:rPr>
            <w:rFonts w:ascii="arial" w:eastAsia="arial" w:hAnsi="arial" w:cs="arial"/>
            <w:i/>
            <w:color w:val="0077CC"/>
            <w:sz w:val="20"/>
            <w:u w:val="single"/>
            <w:shd w:val="clear" w:color="auto" w:fill="FFFFFF"/>
            <w:lang w:val="en-US" w:eastAsia="en-US" w:bidi="ar-SA"/>
          </w:rPr>
          <w:t>[1997] B.C.J. No. 239</w:t>
        </w:r>
      </w:hyperlink>
      <w:r>
        <w:rPr>
          <w:rFonts w:ascii="arial" w:eastAsia="arial" w:hAnsi="arial" w:cs="arial"/>
          <w:color w:val="000000"/>
          <w:sz w:val="20"/>
          <w:lang w:val="en-US" w:eastAsia="en-US" w:bidi="ar-SA"/>
        </w:rPr>
        <w:t xml:space="preserve"> (S.C.), leave to appeal denied </w:t>
      </w:r>
      <w:hyperlink r:id="rId822" w:history="1">
        <w:r>
          <w:rPr>
            <w:rFonts w:ascii="arial" w:eastAsia="arial" w:hAnsi="arial" w:cs="arial"/>
            <w:i/>
            <w:color w:val="0077CC"/>
            <w:sz w:val="20"/>
            <w:u w:val="single"/>
            <w:shd w:val="clear" w:color="auto" w:fill="FFFFFF"/>
            <w:lang w:val="en-US" w:eastAsia="en-US" w:bidi="ar-SA"/>
          </w:rPr>
          <w:t>[1997] B.C.J. No. 953</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Lalji</w:t>
      </w:r>
      <w:r>
        <w:rPr>
          <w:rFonts w:ascii="arial" w:eastAsia="arial" w:hAnsi="arial" w:cs="arial"/>
          <w:color w:val="000000"/>
          <w:sz w:val="20"/>
          <w:lang w:val="en-US" w:eastAsia="en-US" w:bidi="ar-SA"/>
        </w:rPr>
        <w:t xml:space="preserve"> there was an order for special costs and those costs were made payable forthwith in any event of the cause. A short leave application was made in the absence of urgency with service affected in a manner designed to embarrass a party. In my opinion </w:t>
      </w:r>
      <w:r>
        <w:rPr>
          <w:rFonts w:ascii="arial" w:eastAsia="arial" w:hAnsi="arial" w:cs="arial"/>
          <w:i/>
          <w:color w:val="000000"/>
          <w:sz w:val="20"/>
          <w:lang w:val="en-US" w:eastAsia="en-US" w:bidi="ar-SA"/>
        </w:rPr>
        <w:t>Lalji</w:t>
      </w:r>
      <w:r>
        <w:rPr>
          <w:rFonts w:ascii="arial" w:eastAsia="arial" w:hAnsi="arial" w:cs="arial"/>
          <w:color w:val="000000"/>
          <w:sz w:val="20"/>
          <w:lang w:val="en-US" w:eastAsia="en-US" w:bidi="ar-SA"/>
        </w:rPr>
        <w:t xml:space="preserve"> is not helpful, nor is the Ontario authority cited, where the practice, according to Mark M. Orkin, </w:t>
      </w:r>
      <w:r>
        <w:rPr>
          <w:rFonts w:ascii="arial" w:eastAsia="arial" w:hAnsi="arial" w:cs="arial"/>
          <w:i/>
          <w:color w:val="000000"/>
          <w:sz w:val="20"/>
          <w:lang w:val="en-US" w:eastAsia="en-US" w:bidi="ar-SA"/>
        </w:rPr>
        <w:t>The Law of Costs</w:t>
      </w:r>
      <w:r>
        <w:rPr>
          <w:rFonts w:ascii="arial" w:eastAsia="arial" w:hAnsi="arial" w:cs="arial"/>
          <w:color w:val="000000"/>
          <w:sz w:val="20"/>
          <w:lang w:val="en-US" w:eastAsia="en-US" w:bidi="ar-SA"/>
        </w:rPr>
        <w:t>, 2nd ed. looseleaf (Aurora, Ont.: Canada Law Book, 2010), is "... to fix costs at the end of a motion and order that they be paid forthwith unless there is good reason not to do so ...." (p. 4-3, 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Lalji</w:t>
      </w:r>
      <w:r>
        <w:rPr>
          <w:rFonts w:ascii="arial" w:eastAsia="arial" w:hAnsi="arial" w:cs="arial"/>
          <w:color w:val="000000"/>
          <w:sz w:val="20"/>
          <w:lang w:val="en-US" w:eastAsia="en-US" w:bidi="ar-SA"/>
        </w:rPr>
        <w:t xml:space="preserve"> at para. 8, the Court of Appeal, in refusing leave, approved Madam Justice Levine's statement that "Costs awarded on an interlocutory application are usually not recoverable until the conclusion of the litigation". I see no reason to depart from that practice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plaintiff says that the Directors' application should be dismissed with special costs payable forthwith pursuant to Rule 57(3), citing </w:t>
      </w:r>
      <w:r>
        <w:rPr>
          <w:rFonts w:ascii="arial" w:eastAsia="arial" w:hAnsi="arial" w:cs="arial"/>
          <w:i/>
          <w:color w:val="000000"/>
          <w:sz w:val="20"/>
          <w:lang w:val="en-US" w:eastAsia="en-US" w:bidi="ar-SA"/>
        </w:rPr>
        <w:t>Catalyst Paper Corporation v. Companhia de Navegacao Norsul</w:t>
      </w:r>
      <w:r>
        <w:rPr>
          <w:rFonts w:ascii="arial" w:eastAsia="arial" w:hAnsi="arial" w:cs="arial"/>
          <w:color w:val="000000"/>
          <w:sz w:val="20"/>
          <w:lang w:val="en-US" w:eastAsia="en-US" w:bidi="ar-SA"/>
        </w:rPr>
        <w:t xml:space="preserve">, </w:t>
      </w:r>
      <w:hyperlink r:id="rId823" w:history="1">
        <w:r>
          <w:rPr>
            <w:rFonts w:ascii="arial" w:eastAsia="arial" w:hAnsi="arial" w:cs="arial"/>
            <w:i/>
            <w:color w:val="0077CC"/>
            <w:sz w:val="20"/>
            <w:u w:val="single"/>
            <w:shd w:val="clear" w:color="auto" w:fill="FFFFFF"/>
            <w:lang w:val="en-US" w:eastAsia="en-US" w:bidi="ar-SA"/>
          </w:rPr>
          <w:t>2009 BCCA 16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Chudy v. Merchant Law Group</w:t>
      </w:r>
      <w:r>
        <w:rPr>
          <w:rFonts w:ascii="arial" w:eastAsia="arial" w:hAnsi="arial" w:cs="arial"/>
          <w:color w:val="000000"/>
          <w:sz w:val="20"/>
          <w:lang w:val="en-US" w:eastAsia="en-US" w:bidi="ar-SA"/>
        </w:rPr>
        <w:t xml:space="preserve">, </w:t>
      </w:r>
      <w:hyperlink r:id="rId824" w:history="1">
        <w:r>
          <w:rPr>
            <w:rFonts w:ascii="arial" w:eastAsia="arial" w:hAnsi="arial" w:cs="arial"/>
            <w:i/>
            <w:color w:val="0077CC"/>
            <w:sz w:val="20"/>
            <w:u w:val="single"/>
            <w:shd w:val="clear" w:color="auto" w:fill="FFFFFF"/>
            <w:lang w:val="en-US" w:eastAsia="en-US" w:bidi="ar-SA"/>
          </w:rPr>
          <w:t>2007 BCSC 279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Stach v. Younger</w:t>
      </w:r>
      <w:r>
        <w:rPr>
          <w:rFonts w:ascii="arial" w:eastAsia="arial" w:hAnsi="arial" w:cs="arial"/>
          <w:color w:val="000000"/>
          <w:sz w:val="20"/>
          <w:lang w:val="en-US" w:eastAsia="en-US" w:bidi="ar-SA"/>
        </w:rPr>
        <w:t xml:space="preserve">, </w:t>
      </w:r>
      <w:hyperlink r:id="rId825" w:history="1">
        <w:r>
          <w:rPr>
            <w:rFonts w:ascii="arial" w:eastAsia="arial" w:hAnsi="arial" w:cs="arial"/>
            <w:i/>
            <w:color w:val="0077CC"/>
            <w:sz w:val="20"/>
            <w:u w:val="single"/>
            <w:shd w:val="clear" w:color="auto" w:fill="FFFFFF"/>
            <w:lang w:val="en-US" w:eastAsia="en-US" w:bidi="ar-SA"/>
          </w:rPr>
          <w:t>2009 BCSC 476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There is nothing in these defendants' applications that, in my opinion, constitutes reprehensible conduct. In fact, the general nature of the endorsement on the writ, and the timing of service of the claim contributed to all of these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applications are dismissed with costs of these applications to the plaintiff at Scale B. Such costs are not recoverable until the conclusion of the litigation against these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J.E.D. SAVAGE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0" style="position:absolute;z-index:2518947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26"/>
          <w:headerReference w:type="default" r:id="rId827"/>
          <w:footerReference w:type="even" r:id="rId828"/>
          <w:footerReference w:type="default" r:id="rId829"/>
          <w:headerReference w:type="first" r:id="rId830"/>
          <w:footerReference w:type="first" r:id="rId83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32" w:history="1">
        <w:r>
          <w:rPr>
            <w:rFonts w:ascii="arial" w:eastAsia="arial" w:hAnsi="arial" w:cs="arial"/>
            <w:b/>
            <w:bCs/>
            <w:i/>
            <w:color w:val="0077CC"/>
            <w:kern w:val="32"/>
            <w:sz w:val="28"/>
            <w:szCs w:val="32"/>
            <w:u w:val="single"/>
            <w:shd w:val="clear" w:color="auto" w:fill="FFFFFF"/>
            <w:lang w:val="en-US" w:eastAsia="en-US" w:bidi="ar-SA"/>
          </w:rPr>
          <w:t>Surette v. Tull, [2006] B.C.J. No. 2204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Fisher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11 - 13,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29,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S77979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2204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1461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Dawn SURETTE, Plaintiff, and Jeffrey Douglas TULL, Michelle Louise TULL, Tzu H. CHEN and Mai N. CHEN,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1"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9" w:name="Keywords_37"/>
      <w:bookmarkEnd w:id="249"/>
      <w:r>
        <w:rPr>
          <w:rFonts w:ascii="arial" w:eastAsia="arial" w:hAnsi="arial" w:cs="arial"/>
          <w:b/>
          <w:color w:val="000000"/>
          <w:sz w:val="20"/>
          <w:lang w:val="en-US" w:eastAsia="en-US" w:bidi="ar-SA"/>
        </w:rPr>
        <w:t>Damages — General damages — For personal injuries — Considerations — Duration of loss — Extent of incapacity — Pre-existing medical conditions — Non-pecuniary damages, including pain and suffering — Action for damages resulting from two 2001 motor vehicle accidents allowed — Plaintiff awarded non-pecuniary damages of $1,000 for first accident — Non-pecuniary damages of $25,000 awarded for second accident — Plaintiff suffered minor soft tissue injuries in first accident and moderate soft tissue injuries to neck, left shoulder and back in second accident.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Special damages — Medical expenses — Rehabilitation costs — Action for damages resulting from two 2001 motor vehicle accidents allowed — Plaintiff awarded special damages of $3,009 for prescription drugs, physiotherapy, massage therapy and chiropractic treatment — Plaintiff suffered minor soft tissue injuries in first accident and moderate soft tissue injuries to neck, left shoulder and back in second accident.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0" w:name="Case Summary_33"/>
            <w:bookmarkEnd w:id="25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resulting from two 2001 motor vehicle accidents -- General and special damages at issue -- Plaintiff injured in third accident in 2005 -- Plaintiff was 40 years old and employed as property manager -- Plaintiff was physically active person -- Many of plaintiffs complaints following second accident were subjective -- In first accident, plaintiff suffered minor injury to mid-back -- Injury subsided quickly and did not interfere with plaintiff's regular activities -- Plaintiff was off work for two days after second accident -- Plaintiff suffered moderate soft tissue injuries to neck, left shoulder and back in second accident - Injuries resolved by end of 2002 except for periodic flare-ups -- Plaintiff still experienced neck and shoulder symptoms from second accident before third accident -- Medical evidence indicated plaintiff had disc herniation and mild degenerative disc disease in neck area -- Unclear when condition developed -- HELD: Action allowed -- Plaintiff awarded non-pecuniary damages of $1,000 for first accident -- Non-pecuniary damages of $25,000 awarded for second accident -- Plaintiff awarded special damages of $3,009 for prescription drugs, physiotherapy, massage therapy and chiropractic treatment -- Plaintiff was 70 per cent improved from second accident at time of third accident -- Plaintiff's symptoms of anxiety, frustration and tearfulness not related to motor vehicle accidents -- No evidence of any pre-existing neck condition prior to first accident -- Plaintiff's perception of pain was significant -- Injuries in second accident affected plaintiff's life and activities.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1" w:name="Counsel_37"/>
      <w:bookmarkEnd w:id="25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2" style="position:absolute;z-index:2517483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G.W. Kereluk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J.K. Lamb</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2" w:name="Judgment_37"/>
      <w:bookmarkEnd w:id="252"/>
      <w:r>
        <w:pict>
          <v:line id="_x0000_s1213" style="position:absolute;z-index:25179955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3" w:name="FISHER J."/>
            <w:bookmarkEnd w:id="253"/>
            <w:r>
              <w:rPr>
                <w:rFonts w:ascii="arial" w:eastAsia="arial" w:hAnsi="arial" w:cs="arial"/>
                <w:b/>
                <w:color w:val="000000"/>
                <w:sz w:val="30"/>
                <w:lang w:val="en-US" w:eastAsia="en-US" w:bidi="ar-SA"/>
              </w:rPr>
              <w:t>FISHER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involves two motor vehicle accidents, which occurred in February and October 2001, for which the plaintiff, Dawn Surette, claims damages. In each accident, the plaintiff's vehicle was rear-ended. Liability is admitted. There was no loss of income. The only issues relate to the amount of general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 complicating factor is the fact that the plaintiff was injured in a third motor vehicle accident - not the subject of this action - in April 2005. At issue is whether the plaintiff's injuries from the 2001 accidents had resolved at the time of this third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is 40 years old. She is divorced and is raising two boys who are presently ages 11 and 12. She is employed as a property manager. She has done this work since 1991, for various employers. At the time of both motor vehicle accidents, the plaintiff was employed by O &amp; Y Enterprises. Her job involved a combination of desk work and site visits. One site involved extensive landscape reviews, which required her to walk fairly long distances.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is an active person. At the time of these accidents, she was involved in various physical activities with her sons, such as swimming, roller-blading, cycling and walking. She went to the gym regularly. She enjoyed dancing and cooking.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testified about her injuries. Many of her complaints are subjective. Some of her complaints are supported by the medical evidence, but many are not confirmed by objective findings, particularly in the first several months following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filed six medical reports. Three are reports from her current family physician, Dr. Michael Hartwig. Three are reports from Dr. Cecil Hershler, a physical medicine and rehabilitation specialist. Both doctors gave evidence as well. Dr. Hartwig gave video deposition evidence on August 29,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defendants called no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Adverse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Lamb, counsel for the defendants, submitted that the court should draw an adverse inference from the plaintiff's failure to call evidence from Dr. J.A. Muncey, the family doctor who she saw the day after the second accident, and who treated her throughout 2001 and 2002. Dr. Muncey's clinical notes taken on October 25, 2001, make no mention of the motor vehicle accident or the plaintiff's injuries. Counsel argues that this should be considered along with the plaintiff's evidence that she was in a lot of pain in the days immediately following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Ms. Lamb relied on the well known statement from </w:t>
      </w:r>
      <w:r>
        <w:rPr>
          <w:rFonts w:ascii="arial" w:eastAsia="arial" w:hAnsi="arial" w:cs="arial"/>
          <w:b/>
          <w:i/>
          <w:color w:val="000000"/>
          <w:sz w:val="20"/>
          <w:lang w:val="en-US" w:eastAsia="en-US" w:bidi="ar-SA"/>
        </w:rPr>
        <w:t>Barker v. McQuade</w:t>
      </w:r>
      <w:r>
        <w:rPr>
          <w:rFonts w:ascii="arial" w:eastAsia="arial" w:hAnsi="arial" w:cs="arial"/>
          <w:color w:val="000000"/>
          <w:sz w:val="20"/>
          <w:lang w:val="en-US" w:eastAsia="en-US" w:bidi="ar-SA"/>
        </w:rPr>
        <w:t xml:space="preserve"> (1964), 49 W.W.R. 685 at 689 (B.C.C.A.), that a plaintiff who seeks damages for personal injuries should ordinarily call all witnesses "who might be expected to give important evidence if his case were sound". However, an adverse inference may not be appropriate if the plaintiff adequately explains why a certain witness was not called.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Kereluk, counsel for the plaintiff, suggested that it was not necessary for the plaintiff to adduce evidence from Dr. Muncey. Dr. Hartwig previously worked with Dr. Muncey and both physicians had access to the same clinical records. He also reviewed a CL19 report that Dr. Muncey prepared in July 2002, which is referenced in his report of December 3,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do not consider it appropriate to draw an adverse inference in the circumstances of this case. The plaintiff has adequately explained why Dr. Muncey was not called to give evidence. She is no longer a patient of Dr. Muncey. Dr. Hartwig had access to the clinical records, as well as Dr. Muncey's July 2002 report. All of this information was provided either in Dr. Hartwig's reports or in his testimony. Moreover, the defence had access to all of the clinical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accidents and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First accident - February 23, 2001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While stopped at a red light, the plaintiff's Chevrolet Corsica was hit from behind by a vehicle owned by the defendant Michelle Tull and driven by the defendant Jeffrey Tull. There was little damage to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impact, the plaintiff felt an immediate headache and sharp pain, which lasted a few seconds. When she left the scene after 15 to 20 minutes, she felt some tightness in her neck and mid-back.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She went to a friend's house. She said that her mid-back on the right side was bothering her, and she took some Advil. She and her friend carried on with their plans and went to a club to dance. The plaintiff said that she did not dance as much as usual. The next day, her mid-back on the right side was still a little tender. The pain subsided within a week or two. She did not see a doctor for these symptoms. There was no interference with her regular activities, other than a minimal amount in the first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accept the plaintiff's evidence that she suffered a minor injury to her mid-back in this accident. She had some mild tenderness, which did not cause her to seek medical attention. It subsided quickly, within about a week or two, and it did not interfere with her regular activities in any significant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Second accident - October 24, 2001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sz w:val="20"/>
          <w:lang w:val="en-US" w:eastAsia="en-US" w:bidi="ar-SA"/>
        </w:rPr>
        <w:cr/>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This accident also occurred while the plaintiff's vehicle was stopped at a light. She was struck from behind by a vehicle owned by the defendant Mai Chen and driven by the defendant Tzu Chen. As a result of the impact, the plaintiff's vehicle was pushed forward. Again, there was minimal damage to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said that it took her a few minutes to gather herself. When she got out of the car, she was stunned and shaky. She was not aware of any pain but felt she was in shock.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After about 1/2 hour, she proceeded to work. The plaintiff does not remember feeling pain, but she started to feel stiff in her neck, back, left shoulder and upper arm. After she was at work, she felt a sharp, shooting pain down her neck and into her left shoulder, which gradually became worse. She went to a doctor at a walk-in medical clinic in the building where she worked. She went home at about 4:00 pm. She said she was in a lot of pain by the end of the day, primarily on her left side, in her neck, left shoulder, and mid-back.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did not work for two days following this accident. She said she stayed at home and lay on the couch, waiting to feel better. The day after the accident, she went to see her family doctor for an unrelated matter. She said she did not focus on her injuries because she had already seen a doctor at the walk-in clinic the day before. Whether the plaintiff talked to her family doctor about the accident at all is in issue. I will come back to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the few days following, the plaintiff said that the acute pain changed locations, in that one day her neck would be the most painful, on another day her shoulder hurt more. After a few days, she returned to work. By this time, her back was stiff but the "highlight" of her pain was in the neck and left shoulder, which had "stabilized". At work, she had to modify her duties; rather than do extensive site visits by foot, she went in a vehicle, and she deferred some landscape reviews.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By the end of 2001, the plaintiff had pain in her neck, left shoulder, mid-back and she was getting stiff in her lower back. She continued to struggle with pain. She went to physiotherapy, massage therapy and she had some chiropractic treatment. She worked with a personal trainer in the gym. She said she would visit her doctor when she could not manage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testified that her recreational activities were considerably affected following this second accident. She went to the gym less often, she had to modify her routines significantly, and despite this she would at times aggravate her symptoms. She was not able to swim or walk as much with her boys, she stopped roller-blading, and she had to modify the way she danced. She did ski from time to time. She said that she became quite irritable and less patient, both at home and at work. She felt quite a bit of anxiety by late 2001, as she felt she was not getting any better. She became frustrated, anxious and tearful. She was under a lot of stress, both personally and professionally. In 2002, she was involved in a custody dispute with her ex-husband.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said that she continued to have symptoms for over three years, and by April 2005, just before her third accident, she estimated that she had recovered about 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From about 1997, the plaintiff was a patient at Care Place Medical Centre in Fleetwood. Dr. Hartwig saw her from time to time, but he later moved his practice. At the time of the second accident, the plaintiff was seeing Dr. Muncey at Care Place. Subsequently, the plaintiff transferred to Dr. Hartwig's practice. He began seeing her regularly in January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Hartwig's opinion evidence was based, in part, on his review of the plaintiff's clinical files. He relied on notes from other physicians (particularly Dr. Muncey) who saw the plaintiff in 2001 and 2002 (although he did see her himself in June 2002). He confirmed that the first notation referencing the October 24, 2001, accident was made on November 26, 2001. At that time, the clinical note indicated a normal range of motion in the neck. There were a number of subsequent visits throughout 2002, which recorded symptoms as described by the plaintiff, of neck pain, headache, spasms, pinching, sharp pain in the left groin area, migraines, and insomnia. The physical findings recorded included "bilateral cervical, trapezius distribution, left shoulder tenderness mid-back and lumbar spine and muscle tenderness, decreased range of neck motion." The plaintiff was diagnosed with "strain, soft tissue injury, migraines and tendonitis." In July 2002, she was diagnosed with a "Grade 2 neck/upper back and lower back injury." For the soft tissue injuries, the plaintiff was treated with anti-inflammatory and analgesic medication, muscle relaxants, massage therapy, chiropractic manipulation, physiotherapy and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2003 and 2004, Dr. Hartwig saw the plaintiff approximately 12 times for mainly back-related pain symptoms. Most of these related to her lower back. There were four instances where she was having pain in her trapezius region or in her neck. In December 2004, Dr. Hartwig concluded that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consistently had episodes of musculo skeletal symptoms of pain and muscle tenderness in the upper back and lower back with signs of decreased range of motion noted on occasion. ... She has suffered episodically with mild to moderate soft tissue injury symptoms that are gradually reducing in frequency and severity. ... I believe that her upper back/neck and lower back pains will continue to be occasionally aggravated with acute episodes that may require episodic physiotherapy, analgesic anti-inflammatory medications and would probably be reduced by a regular good back health exercise regimen. ... For the next year or two, future injuries will make the muscles in her low back and neck have more symptoms that will last longer than the average woman her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 also stated that these symptoms were "not inconsistent with her MVA injuries." However, I note that Dr. Hartwig did not see the plaintiff until some time after the October 2001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late December 2004 and early January 2005, the plaintiff continued to have symptoms in her neck and left shoulder. By the end of January, Dr. Hartwig recorded that the plaintiff felt she was back to her "pre-MVA status with respect to her musculo skeletal symptoms". However, on March 10, 2005, Dr. Hartwig found a spasm in the left neck muscles.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Hershler first saw the plaintiff on December 11, 2002, on a referral from Dr. Muncey. The plaintiff reported that the symptoms on the left side of her neck, across the left shoulder and in the left arm had decreased substantially, but her low back pain persisted. She told Dr. Hershler that her low back symptoms dated from the first accident in February 2001. At time of this referral, the plaintiff was going to the gym twice a week. Dr. Hershler found no spasm and good range of motion in her neck and back, but a few tender points in the back and numerous muscle trigger points in the neck and trapezii. He diagnosed moderate soft connective tissue injuries and recommended low impact aerobic activity, heat and stretching, and massage therapy.</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Subsequent intervening event - April 5, 2005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April 5, 2005, the plaintiff's vehicle was again rear-ended. Her vehicle was pushed into the vehicle in front. Her symptoms were similar to those after the second accident - pain in her left shoulder and a stiff neck and back. She added that she was struggling with pain in her hips, which was worse than before the third accident. She said she was recovering more quickly than she was after the second accident. Now she has "good days and bad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Hartwig saw the plaintiff on April 12, 2005, four days after the third accident. At that time, he noted that she felt she was about 70% improved from her previous injuries at the time of the third collision. He was not able to provide an objective way to assess this. However, he concluded that the plaintiff had not healed from the first and second accidents when she was involved in the third. He thought she would have episodic flare-ups of neck symptoms for two to twelve months. He noted the results of a cervical spine CT report of April 8, 2005, which indicated that the plaintiff has a disc herniation as well as mild degenerative disc disease in the C5-6, or neck area. Dr. Hartwig did not think that the disc herniation was caused by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Hartwig saw the plaintiff periodically throughout 2005 to June 2006. He noted recurrences of neck, some shoulder and mainly upper back pain, with tenderness and some spasm at times. He concluded that the plaintiff will have episodic flare-ups in the next one to three years, but it is unlikely that she will have these symptoms indefinitely.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Hershler saw the plaintiff again on February 20, 2006, for a follow-up consultation. He made the same findings as he had in December 2002, noting some tenderness with pressure into the ligaments of the cervical spine and trapezii, with good flexibility and range of motion. He noted that the disc herniation provided a reason why the plaintiff's symptoms were then more evident in the neck and upper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Hershler gave a guarded prognosis with respect to recovery from the soft tissue injuries in the neck, shoulders and low back. This was partly due to the disc herniation and mild degenerative disc disease in the cervical spine. He thought it likely that the plaintiff would continue to be symptomatic for at least two more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defendants challenged the plaintiff's credibility regarding the severity of her injuries from this accident. Ms. Lamb submitted that the plaintiff's subjective complaints of significant pain are largely unconfirmed by objective findings of injury, particularly in the post-accident period. Mr. Kereluk submitted that the plaintiff was a careful, accurate witness who is well motivated to get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Lamb places significance on evidence that suggests that the plaintiff did not mention her injuries to Dr. Muncey, her family doctor, on October 25, 2001, the day after the second accident. Dr. Muncey's notes of that visit say nothing about the accident or any associated injuries. In her examination for discovery, the plaintiff did not specifically recall speaking to Dr. Muncey about the accident. At trial, the plaintiff testified in chief that she did not see a doctor, other than at the walk-in clinic, in the few days following the accident. In cross-examination, she agreed that she did go to see Dr. Muncey about other medical issues, but she had a "side conversation" with the doctor about the accident. She said that she remembered this after her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find the plaintiff's explanation difficult to accept. It is not consistent with her evidence that she was in significant pain in the several days following the accident. If she was in that much pain, I find it unlikely that she would visit her family doctor only about other medical issues at that time, or if she did, that her injuries would not factor into the discussion in a fairly central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Lamb also challenges the plaintiff as to whether her injuries were resolved by April 2005, before the third accident. She points to Dr. Hartwig's note on January 30, 2005, that the plaintiff felt she was back to her "pre MVA status" with respect to her musculo skeletal symptoms. The plaintiff testified that she did not recall saying this, and she was not back to her pre MVA status. She felt she was about 70% improved.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Despite the note of January 30, 2005, Dr. Hartwig was of the view that the plaintiff was not fully healed from the first two accidents at the time of the third. He accepted the plaintiff's assessment of 70% improved, adding that there was no objective way to assess this other than by her symptoms and physical findings before and after the last accident. On January 9, 2005, Dr. Hartwig noted a slight spasm in the muscle above the left shoulder blade and some swelling in the neck muscle on the left side. On March 10, 2005, Dr. Hartwig noted some spasm in the neck muscles.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agree that the plaintiff was still experiencing neck and shoulder symptoms just before the third accident. I accept the plaintiff's evidence that she felt she was 70% improved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What is more of an issue, in my view, is the extent of the plaintiff's injuries that were caused by the second accident. Her evidence about her symptoms was often vague and inconsistent. Some of her complaints were confirmed by objective findings, such as decreased range of motion, spasm or swelling, but many were not. At trial, her complaints were primarily her neck, left shoulder and mid-back pain, sometimes down to her lower back. Most of her complaints to Dr. Hershler about continuing pain focussed on her low back. While I appreciate that pain is subjective, I do not find the plaintiff's evidence to be reliable as to the location, extent and frequency of her symptoms over the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find the evidence of Dr. Hartwig to be the most reliable indication of the extent of the plaintiff's injuries. In his review of the clinical records, he noted some decreased range of motion or mobility throughout 2002. The visits in 2003 and following indicate intermittent flare-ups, often of low back pain and less often of shoulder or neck pain. The plaintiff said that she went to the doctor when she couldn't manage the pain. I do not accept that evidence. I find that the plaintiff went to the doctor when she had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testified about symptoms of anxiety, frustration and tearfulness. There is no expert evidence that relates these emotional problems to her injuries. There is evidence that the plaintiff had a number of other problems during this period of time, particularly in 2002. I do not consider these symptoms to be related to the motor vehicle accidents in a material way. Dr. Hartwig stated that it is "not uncommon that emotional distress can exacerbate physical symptoms and vice versa although I am not aware of this being more than a minor issue." Based on this evidence, I accept that her soft tissue symptoms may have been affected to some degree by emotional distress 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find that the plaintiff suffered moderate soft tissue injuries to her neck, left shoulder area and into her back as a result of the second accident. She was partially disabled as a result. These injuries were substantially resolved by the end of 2002, after which she continued to have periodic flare-ups, usually related to other activities, which still persisted at the time of the third accident, and would likely have continued occasionally until late 2005 or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Pre-existing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Lamb submitted that consideration must be given to the plaintiff's pre-existing neck condition. Mr. Kereluk submitted that there is no expert evidence that the plaintiff's previous neck and back problems would have caused her the pain she experienced after the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There is evidence that the plaintiff had some on-going problems with her neck before the first accident. Dr. Hartwig noted that she had "pre-existing episodic fatigue, stiffness and pain in the neck, episodic chiropractic adjustment for back pain and right upper back/neck strain." Dr. Hershler noted the same. A cervical spine x-ray taken in November 2001 indicated some arthritic changes at C5-6, which Dr. Hartwig thought pre-dated the accidents. An x-ray taken in January 2005 showed minimal narrowing of the C4-5-6 disc spaces, which Dr. Hartwig thought was probably due to early degenerative disc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testified that these problems were periodic, and usually resolved when she went to the gym.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agree with Mr. Kereluk that there is little, if any, evidence that the plaintiff's pre-existing "episodic" neck and back condition would have detrimentally affected her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More significant are the results of the cervical spine CT report of April 8, 2005, which indicated that the plaintiff has a disc herniation as well as mild degenerative disc disease in the same cervical, or neck area. It is not clear when this condition developed, so I will not consider it to be a pre-existing condition. Dr. Hartwig's opinion was that the disc herniation was not caused by the accidents, and Dr. Hershler noted in February 2006 that the disc herniation provided a reason why the plaintiff's symptoms were then more evident in the neck and upper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 does not claim damages arising from the disc herniation. Accordingly, I will address this further as it relates to the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is established where the injury of the plaintiff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or where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found to have "materially contributed" to the occurrence of the injury: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5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14-15. The causation test is not to be applied too rigidly; it is "essentially a practical question of fact which can best be answered by ordinary common sense" and it need not be determined by scientific precision or proof: </w:t>
      </w:r>
      <w:r>
        <w:rPr>
          <w:rFonts w:ascii="arial" w:eastAsia="arial" w:hAnsi="arial" w:cs="arial"/>
          <w:b/>
          <w:i/>
          <w:color w:val="000000"/>
          <w:sz w:val="20"/>
          <w:lang w:val="en-US" w:eastAsia="en-US" w:bidi="ar-SA"/>
        </w:rPr>
        <w:t>Athey</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There is no expert evidence that specifically links the plaintiff's injuries to either the first or second accident. Dr. Hartwig assumed that all of the plaintiff's neck and back injuries were caused by the two accidents; he opined that her symptoms were "not inconsistent with her MVA injuries." Dr. Hershler did not address causation at all. Based on what the plaintiff told him, Dr. Hershler assumed that the plaintiff injured her lower back in the first accident, and that this was aggravated in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Despite this, I accept the plaintiff's evidence that she suffered some injuries in both the first and second accidents. On this basis, I am satisfied that the plaintiff has proven causation on a balance of probabilities. I have already described the specific injuries that I consider to have been caused by each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Assessment of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Kereluk submitted that this is a "thin skull" case, because the plaintiff experienced more pain than the usual person. He attributed this to stress. I agree that the plaintiff's perception of pain was quite significant, but as I stated above, I do not find her evidence regarding the extent and frequency of her symptoms over the years to be reliable. I will assess damages on the basis of my findings on each of the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First accident - February 23, 2001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This was a minor collision and a minor injury, which resolved in about a week or two, and did not interfere with the plaintiff's activities in any significant way. Mr. Kereluk submitted that the range of damages for this accident should be $10,000 to $15,000. Ms. Lamb submitted that the appropriate range should be $500 to $1,000.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Mr. Kereluk did not refer to any cases relevant only to the first accident. He cited </w:t>
      </w:r>
      <w:r>
        <w:rPr>
          <w:rFonts w:ascii="arial" w:eastAsia="arial" w:hAnsi="arial" w:cs="arial"/>
          <w:b/>
          <w:i/>
          <w:color w:val="000000"/>
          <w:sz w:val="20"/>
          <w:lang w:val="en-US" w:eastAsia="en-US" w:bidi="ar-SA"/>
        </w:rPr>
        <w:t>Tino v. Kirson</w:t>
      </w:r>
      <w:r>
        <w:rPr>
          <w:rFonts w:ascii="arial" w:eastAsia="arial" w:hAnsi="arial" w:cs="arial"/>
          <w:color w:val="000000"/>
          <w:sz w:val="20"/>
          <w:lang w:val="en-US" w:eastAsia="en-US" w:bidi="ar-SA"/>
        </w:rPr>
        <w:t xml:space="preserve"> </w:t>
      </w:r>
      <w:hyperlink r:id="rId833" w:history="1">
        <w:r>
          <w:rPr>
            <w:rFonts w:ascii="arial" w:eastAsia="arial" w:hAnsi="arial" w:cs="arial"/>
            <w:i/>
            <w:color w:val="0077CC"/>
            <w:sz w:val="20"/>
            <w:u w:val="single"/>
            <w:shd w:val="clear" w:color="auto" w:fill="FFFFFF"/>
            <w:lang w:val="en-US" w:eastAsia="en-US" w:bidi="ar-SA"/>
          </w:rPr>
          <w:t>(2004), 132 A.C.W.S. (3d) 56</w:t>
        </w:r>
      </w:hyperlink>
      <w:r>
        <w:rPr>
          <w:rFonts w:ascii="arial" w:eastAsia="arial" w:hAnsi="arial" w:cs="arial"/>
          <w:color w:val="000000"/>
          <w:sz w:val="20"/>
          <w:lang w:val="en-US" w:eastAsia="en-US" w:bidi="ar-SA"/>
        </w:rPr>
        <w:t xml:space="preserve">, </w:t>
      </w:r>
      <w:hyperlink r:id="rId833" w:history="1">
        <w:r>
          <w:rPr>
            <w:rFonts w:ascii="arial" w:eastAsia="arial" w:hAnsi="arial" w:cs="arial"/>
            <w:i/>
            <w:color w:val="0077CC"/>
            <w:sz w:val="20"/>
            <w:u w:val="single"/>
            <w:shd w:val="clear" w:color="auto" w:fill="FFFFFF"/>
            <w:lang w:val="en-US" w:eastAsia="en-US" w:bidi="ar-SA"/>
          </w:rPr>
          <w:t>2004 BCSC 878</w:t>
        </w:r>
      </w:hyperlink>
      <w:r>
        <w:rPr>
          <w:rFonts w:ascii="arial" w:eastAsia="arial" w:hAnsi="arial" w:cs="arial"/>
          <w:color w:val="000000"/>
          <w:sz w:val="20"/>
          <w:lang w:val="en-US" w:eastAsia="en-US" w:bidi="ar-SA"/>
        </w:rPr>
        <w:t xml:space="preserve">, where the court made a global award of $40,000 for soft tissue injuries caused by two accidents, which aggravated a pre-existing condition. Ms. Lamb submitted that a global award should not be made because the injuries from the first accident had resolved long before the second accident. She referred to </w:t>
      </w:r>
      <w:r>
        <w:rPr>
          <w:rFonts w:ascii="arial" w:eastAsia="arial" w:hAnsi="arial" w:cs="arial"/>
          <w:b/>
          <w:i/>
          <w:color w:val="000000"/>
          <w:sz w:val="20"/>
          <w:lang w:val="en-US" w:eastAsia="en-US" w:bidi="ar-SA"/>
        </w:rPr>
        <w:t>Lee v. Sidhu</w:t>
      </w:r>
      <w:r>
        <w:rPr>
          <w:rFonts w:ascii="arial" w:eastAsia="arial" w:hAnsi="arial" w:cs="arial"/>
          <w:color w:val="000000"/>
          <w:sz w:val="20"/>
          <w:lang w:val="en-US" w:eastAsia="en-US" w:bidi="ar-SA"/>
        </w:rPr>
        <w:t xml:space="preserve">, </w:t>
      </w:r>
      <w:hyperlink r:id="rId834" w:history="1">
        <w:r>
          <w:rPr>
            <w:rFonts w:ascii="arial" w:eastAsia="arial" w:hAnsi="arial" w:cs="arial"/>
            <w:i/>
            <w:color w:val="0077CC"/>
            <w:sz w:val="20"/>
            <w:u w:val="single"/>
            <w:shd w:val="clear" w:color="auto" w:fill="FFFFFF"/>
            <w:lang w:val="en-US" w:eastAsia="en-US" w:bidi="ar-SA"/>
          </w:rPr>
          <w:t>[2001] B.C.J. No. 1186</w:t>
        </w:r>
      </w:hyperlink>
      <w:r>
        <w:rPr>
          <w:rFonts w:ascii="arial" w:eastAsia="arial" w:hAnsi="arial" w:cs="arial"/>
          <w:color w:val="000000"/>
          <w:sz w:val="20"/>
          <w:lang w:val="en-US" w:eastAsia="en-US" w:bidi="ar-SA"/>
        </w:rPr>
        <w:t xml:space="preserve">, </w:t>
      </w:r>
      <w:hyperlink r:id="rId834" w:history="1">
        <w:r>
          <w:rPr>
            <w:rFonts w:ascii="arial" w:eastAsia="arial" w:hAnsi="arial" w:cs="arial"/>
            <w:i/>
            <w:color w:val="0077CC"/>
            <w:sz w:val="20"/>
            <w:u w:val="single"/>
            <w:shd w:val="clear" w:color="auto" w:fill="FFFFFF"/>
            <w:lang w:val="en-US" w:eastAsia="en-US" w:bidi="ar-SA"/>
          </w:rPr>
          <w:t>2001 BCPC 107</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Knauff v. Gower</w:t>
      </w:r>
      <w:r>
        <w:rPr>
          <w:rFonts w:ascii="arial" w:eastAsia="arial" w:hAnsi="arial" w:cs="arial"/>
          <w:color w:val="000000"/>
          <w:sz w:val="20"/>
          <w:lang w:val="en-US" w:eastAsia="en-US" w:bidi="ar-SA"/>
        </w:rPr>
        <w:t xml:space="preserve">, </w:t>
      </w:r>
      <w:hyperlink r:id="rId835" w:history="1">
        <w:r>
          <w:rPr>
            <w:rFonts w:ascii="arial" w:eastAsia="arial" w:hAnsi="arial" w:cs="arial"/>
            <w:i/>
            <w:color w:val="0077CC"/>
            <w:sz w:val="20"/>
            <w:u w:val="single"/>
            <w:shd w:val="clear" w:color="auto" w:fill="FFFFFF"/>
            <w:lang w:val="en-US" w:eastAsia="en-US" w:bidi="ar-SA"/>
          </w:rPr>
          <w:t>[2005] B.C.J. No. 2296</w:t>
        </w:r>
      </w:hyperlink>
      <w:r>
        <w:rPr>
          <w:rFonts w:ascii="arial" w:eastAsia="arial" w:hAnsi="arial" w:cs="arial"/>
          <w:color w:val="000000"/>
          <w:sz w:val="20"/>
          <w:lang w:val="en-US" w:eastAsia="en-US" w:bidi="ar-SA"/>
        </w:rPr>
        <w:t xml:space="preserve">, </w:t>
      </w:r>
      <w:hyperlink r:id="rId835" w:history="1">
        <w:r>
          <w:rPr>
            <w:rFonts w:ascii="arial" w:eastAsia="arial" w:hAnsi="arial" w:cs="arial"/>
            <w:i/>
            <w:color w:val="0077CC"/>
            <w:sz w:val="20"/>
            <w:u w:val="single"/>
            <w:shd w:val="clear" w:color="auto" w:fill="FFFFFF"/>
            <w:lang w:val="en-US" w:eastAsia="en-US" w:bidi="ar-SA"/>
          </w:rPr>
          <w:t>2005 BCPC 476</w:t>
        </w:r>
      </w:hyperlink>
      <w:r>
        <w:rPr>
          <w:rFonts w:ascii="arial" w:eastAsia="arial" w:hAnsi="arial" w:cs="arial"/>
          <w:color w:val="000000"/>
          <w:sz w:val="20"/>
          <w:lang w:val="en-US" w:eastAsia="en-US" w:bidi="ar-SA"/>
        </w:rPr>
        <w:t>, where awards of $1,000 and $1,500 respectively, were awarded to plaintiffs with fairly minor soft tissue injuries arising from low impact collisions.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agree with Ms. Lamb that a global award is not appropriate in these circumstances and that the non-pecuniary damages for the plaintiff's injuries in the first accident are in this low range. I award the plaintiff $1,000.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Second accident - October 24, 2001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This was a fairly minor collision, but the plaintiff sustained moderate soft tissue injuries to her neck, left shoulder area, and into her back. I have found that these injuries, while painful, were substantially resolved within 14 months, after which the plaintiff continued to have occasional flare-ups, often related to other activities, which persisted until the April 5, 2005 accident and may have persisted for up to a further year and a half. The third accident aggravated her injuries, and subsequent medical evidence indicates that the plaintiff's current symptoms are primarily caused by that accident and her cervical disc herniation.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These injuries affected the plaintiff's life and her activities. She continued to work, with some modifications to her routine. For a time, she was unable to participate in certain recreational activities, or did so either on a modified basis, or with some pain and less enjoyment.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Kereluk submitted that the range of damages for the injuries from the second accident should be in the $45,000 to $55,000 range. Ms. Lamb submitted that the appropriate range is from $15,000 to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Mr. Kereluk referred to </w:t>
      </w:r>
      <w:r>
        <w:rPr>
          <w:rFonts w:ascii="arial" w:eastAsia="arial" w:hAnsi="arial" w:cs="arial"/>
          <w:b/>
          <w:i/>
          <w:color w:val="000000"/>
          <w:sz w:val="20"/>
          <w:lang w:val="en-US" w:eastAsia="en-US" w:bidi="ar-SA"/>
        </w:rPr>
        <w:t>Tino v. Kirson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supra, </w:t>
      </w:r>
      <w:r>
        <w:rPr>
          <w:rFonts w:ascii="arial" w:eastAsia="arial" w:hAnsi="arial" w:cs="arial"/>
          <w:b/>
          <w:i/>
          <w:color w:val="000000"/>
          <w:sz w:val="20"/>
          <w:lang w:val="en-US" w:eastAsia="en-US" w:bidi="ar-SA"/>
        </w:rPr>
        <w:t>Krell v. Saari</w:t>
      </w:r>
      <w:r>
        <w:rPr>
          <w:rFonts w:ascii="arial" w:eastAsia="arial" w:hAnsi="arial" w:cs="arial"/>
          <w:color w:val="000000"/>
          <w:sz w:val="20"/>
          <w:lang w:val="en-US" w:eastAsia="en-US" w:bidi="ar-SA"/>
        </w:rPr>
        <w:t xml:space="preserve"> </w:t>
      </w:r>
      <w:hyperlink r:id="rId836" w:history="1">
        <w:r>
          <w:rPr>
            <w:rFonts w:ascii="arial" w:eastAsia="arial" w:hAnsi="arial" w:cs="arial"/>
            <w:i/>
            <w:color w:val="0077CC"/>
            <w:sz w:val="20"/>
            <w:u w:val="single"/>
            <w:shd w:val="clear" w:color="auto" w:fill="FFFFFF"/>
            <w:lang w:val="en-US" w:eastAsia="en-US" w:bidi="ar-SA"/>
          </w:rPr>
          <w:t>(2003), 122 A.C.W.S. (3d) 66</w:t>
        </w:r>
      </w:hyperlink>
      <w:r>
        <w:rPr>
          <w:rFonts w:ascii="arial" w:eastAsia="arial" w:hAnsi="arial" w:cs="arial"/>
          <w:color w:val="000000"/>
          <w:sz w:val="20"/>
          <w:lang w:val="en-US" w:eastAsia="en-US" w:bidi="ar-SA"/>
        </w:rPr>
        <w:t xml:space="preserve">, </w:t>
      </w:r>
      <w:hyperlink r:id="rId836" w:history="1">
        <w:r>
          <w:rPr>
            <w:rFonts w:ascii="arial" w:eastAsia="arial" w:hAnsi="arial" w:cs="arial"/>
            <w:i/>
            <w:color w:val="0077CC"/>
            <w:sz w:val="20"/>
            <w:u w:val="single"/>
            <w:shd w:val="clear" w:color="auto" w:fill="FFFFFF"/>
            <w:lang w:val="en-US" w:eastAsia="en-US" w:bidi="ar-SA"/>
          </w:rPr>
          <w:t>2003 BCSC 699</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Verhnjak v. Papa</w:t>
      </w:r>
      <w:r>
        <w:rPr>
          <w:rFonts w:ascii="arial" w:eastAsia="arial" w:hAnsi="arial" w:cs="arial"/>
          <w:color w:val="000000"/>
          <w:sz w:val="20"/>
          <w:lang w:val="en-US" w:eastAsia="en-US" w:bidi="ar-SA"/>
        </w:rPr>
        <w:t xml:space="preserve"> </w:t>
      </w:r>
      <w:hyperlink r:id="rId837" w:history="1">
        <w:r>
          <w:rPr>
            <w:rFonts w:ascii="arial" w:eastAsia="arial" w:hAnsi="arial" w:cs="arial"/>
            <w:i/>
            <w:color w:val="0077CC"/>
            <w:sz w:val="20"/>
            <w:u w:val="single"/>
            <w:shd w:val="clear" w:color="auto" w:fill="FFFFFF"/>
            <w:lang w:val="en-US" w:eastAsia="en-US" w:bidi="ar-SA"/>
          </w:rPr>
          <w:t>(2005), 141 A.C.W.S. (3d) 964</w:t>
        </w:r>
      </w:hyperlink>
      <w:r>
        <w:rPr>
          <w:rFonts w:ascii="arial" w:eastAsia="arial" w:hAnsi="arial" w:cs="arial"/>
          <w:color w:val="000000"/>
          <w:sz w:val="20"/>
          <w:lang w:val="en-US" w:eastAsia="en-US" w:bidi="ar-SA"/>
        </w:rPr>
        <w:t xml:space="preserve">, </w:t>
      </w:r>
      <w:hyperlink r:id="rId837" w:history="1">
        <w:r>
          <w:rPr>
            <w:rFonts w:ascii="arial" w:eastAsia="arial" w:hAnsi="arial" w:cs="arial"/>
            <w:i/>
            <w:color w:val="0077CC"/>
            <w:sz w:val="20"/>
            <w:u w:val="single"/>
            <w:shd w:val="clear" w:color="auto" w:fill="FFFFFF"/>
            <w:lang w:val="en-US" w:eastAsia="en-US" w:bidi="ar-SA"/>
          </w:rPr>
          <w:t>2005 BCSC 1129</w:t>
        </w:r>
      </w:hyperlink>
      <w:r>
        <w:rPr>
          <w:rFonts w:ascii="arial" w:eastAsia="arial" w:hAnsi="arial" w:cs="arial"/>
          <w:color w:val="000000"/>
          <w:sz w:val="20"/>
          <w:lang w:val="en-US" w:eastAsia="en-US" w:bidi="ar-SA"/>
        </w:rPr>
        <w:t xml:space="preserve">, which were cases involving long-term, on-going symptoms and pain from soft tissue injuries in the $40,000 to $50,000 range. The plaintiff in </w:t>
      </w:r>
      <w:r>
        <w:rPr>
          <w:rFonts w:ascii="arial" w:eastAsia="arial" w:hAnsi="arial" w:cs="arial"/>
          <w:b/>
          <w:i/>
          <w:color w:val="000000"/>
          <w:sz w:val="20"/>
          <w:lang w:val="en-US" w:eastAsia="en-US" w:bidi="ar-SA"/>
        </w:rPr>
        <w:t>Krell v. Sari,</w:t>
      </w:r>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 xml:space="preserve"> sustained significant soft tissue injuries in her neck, back, left arm and leg, with continuing pain and functionally disabling symptoms for an indefinite period. She was awarded $50,000. In </w:t>
      </w:r>
      <w:r>
        <w:rPr>
          <w:rFonts w:ascii="arial" w:eastAsia="arial" w:hAnsi="arial" w:cs="arial"/>
          <w:b/>
          <w:i/>
          <w:color w:val="000000"/>
          <w:sz w:val="20"/>
          <w:lang w:val="en-US" w:eastAsia="en-US" w:bidi="ar-SA"/>
        </w:rPr>
        <w:t>Verhnjak v. Papa,</w:t>
      </w:r>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 the court awarded $40,000 for a moderate soft tissue injury to the neck, shoulder and lower back. Three years after the accident, the plaintiff still had 25% restricted movement and continued, chronic pain. Her prognosis was uncertain. I consider the injuries in those cases to be more serious than the injuries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Ms. Lamb referred to </w:t>
      </w:r>
      <w:r>
        <w:rPr>
          <w:rFonts w:ascii="arial" w:eastAsia="arial" w:hAnsi="arial" w:cs="arial"/>
          <w:b/>
          <w:i/>
          <w:color w:val="000000"/>
          <w:sz w:val="20"/>
          <w:lang w:val="en-US" w:eastAsia="en-US" w:bidi="ar-SA"/>
        </w:rPr>
        <w:t>Davies v. Larabie</w:t>
      </w:r>
      <w:r>
        <w:rPr>
          <w:rFonts w:ascii="arial" w:eastAsia="arial" w:hAnsi="arial" w:cs="arial"/>
          <w:color w:val="000000"/>
          <w:sz w:val="20"/>
          <w:lang w:val="en-US" w:eastAsia="en-US" w:bidi="ar-SA"/>
        </w:rPr>
        <w:t xml:space="preserve"> </w:t>
      </w:r>
      <w:hyperlink r:id="rId838" w:history="1">
        <w:r>
          <w:rPr>
            <w:rFonts w:ascii="arial" w:eastAsia="arial" w:hAnsi="arial" w:cs="arial"/>
            <w:i/>
            <w:color w:val="0077CC"/>
            <w:sz w:val="20"/>
            <w:u w:val="single"/>
            <w:shd w:val="clear" w:color="auto" w:fill="FFFFFF"/>
            <w:lang w:val="en-US" w:eastAsia="en-US" w:bidi="ar-SA"/>
          </w:rPr>
          <w:t>(2005), 141 A.C.W.S. (3d) 757</w:t>
        </w:r>
      </w:hyperlink>
      <w:r>
        <w:rPr>
          <w:rFonts w:ascii="arial" w:eastAsia="arial" w:hAnsi="arial" w:cs="arial"/>
          <w:color w:val="000000"/>
          <w:sz w:val="20"/>
          <w:lang w:val="en-US" w:eastAsia="en-US" w:bidi="ar-SA"/>
        </w:rPr>
        <w:t xml:space="preserve">, </w:t>
      </w:r>
      <w:hyperlink r:id="rId838" w:history="1">
        <w:r>
          <w:rPr>
            <w:rFonts w:ascii="arial" w:eastAsia="arial" w:hAnsi="arial" w:cs="arial"/>
            <w:i/>
            <w:color w:val="0077CC"/>
            <w:sz w:val="20"/>
            <w:u w:val="single"/>
            <w:shd w:val="clear" w:color="auto" w:fill="FFFFFF"/>
            <w:lang w:val="en-US" w:eastAsia="en-US" w:bidi="ar-SA"/>
          </w:rPr>
          <w:t>2005 BCSC 1167</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Nicholas v. Henry</w:t>
      </w:r>
      <w:r>
        <w:rPr>
          <w:rFonts w:ascii="arial" w:eastAsia="arial" w:hAnsi="arial" w:cs="arial"/>
          <w:color w:val="000000"/>
          <w:sz w:val="20"/>
          <w:lang w:val="en-US" w:eastAsia="en-US" w:bidi="ar-SA"/>
        </w:rPr>
        <w:t xml:space="preserve">, </w:t>
      </w:r>
      <w:hyperlink r:id="rId839" w:history="1">
        <w:r>
          <w:rPr>
            <w:rFonts w:ascii="arial" w:eastAsia="arial" w:hAnsi="arial" w:cs="arial"/>
            <w:i/>
            <w:color w:val="0077CC"/>
            <w:sz w:val="20"/>
            <w:u w:val="single"/>
            <w:shd w:val="clear" w:color="auto" w:fill="FFFFFF"/>
            <w:lang w:val="en-US" w:eastAsia="en-US" w:bidi="ar-SA"/>
          </w:rPr>
          <w:t>[2006] B.C.J. No. 964</w:t>
        </w:r>
      </w:hyperlink>
      <w:r>
        <w:rPr>
          <w:rFonts w:ascii="arial" w:eastAsia="arial" w:hAnsi="arial" w:cs="arial"/>
          <w:color w:val="000000"/>
          <w:sz w:val="20"/>
          <w:lang w:val="en-US" w:eastAsia="en-US" w:bidi="ar-SA"/>
        </w:rPr>
        <w:t xml:space="preserve">, </w:t>
      </w:r>
      <w:hyperlink r:id="rId839" w:history="1">
        <w:r>
          <w:rPr>
            <w:rFonts w:ascii="arial" w:eastAsia="arial" w:hAnsi="arial" w:cs="arial"/>
            <w:i/>
            <w:color w:val="0077CC"/>
            <w:sz w:val="20"/>
            <w:u w:val="single"/>
            <w:shd w:val="clear" w:color="auto" w:fill="FFFFFF"/>
            <w:lang w:val="en-US" w:eastAsia="en-US" w:bidi="ar-SA"/>
          </w:rPr>
          <w:t>2006 BCSC 694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Collingridge v. Henry</w:t>
      </w:r>
      <w:r>
        <w:rPr>
          <w:rFonts w:ascii="arial" w:eastAsia="arial" w:hAnsi="arial" w:cs="arial"/>
          <w:color w:val="000000"/>
          <w:sz w:val="20"/>
          <w:lang w:val="en-US" w:eastAsia="en-US" w:bidi="ar-SA"/>
        </w:rPr>
        <w:t xml:space="preserve">, </w:t>
      </w:r>
      <w:hyperlink r:id="rId840" w:history="1">
        <w:r>
          <w:rPr>
            <w:rFonts w:ascii="arial" w:eastAsia="arial" w:hAnsi="arial" w:cs="arial"/>
            <w:i/>
            <w:color w:val="0077CC"/>
            <w:sz w:val="20"/>
            <w:u w:val="single"/>
            <w:shd w:val="clear" w:color="auto" w:fill="FFFFFF"/>
            <w:lang w:val="en-US" w:eastAsia="en-US" w:bidi="ar-SA"/>
          </w:rPr>
          <w:t>[2006] B.C.J. No. 965</w:t>
        </w:r>
      </w:hyperlink>
      <w:r>
        <w:rPr>
          <w:rFonts w:ascii="arial" w:eastAsia="arial" w:hAnsi="arial" w:cs="arial"/>
          <w:color w:val="000000"/>
          <w:sz w:val="20"/>
          <w:lang w:val="en-US" w:eastAsia="en-US" w:bidi="ar-SA"/>
        </w:rPr>
        <w:t xml:space="preserve">, </w:t>
      </w:r>
      <w:hyperlink r:id="rId840" w:history="1">
        <w:r>
          <w:rPr>
            <w:rFonts w:ascii="arial" w:eastAsia="arial" w:hAnsi="arial" w:cs="arial"/>
            <w:i/>
            <w:color w:val="0077CC"/>
            <w:sz w:val="20"/>
            <w:u w:val="single"/>
            <w:shd w:val="clear" w:color="auto" w:fill="FFFFFF"/>
            <w:lang w:val="en-US" w:eastAsia="en-US" w:bidi="ar-SA"/>
          </w:rPr>
          <w:t>2006 BCSC 697</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Read v. Marques</w:t>
      </w:r>
      <w:r>
        <w:rPr>
          <w:rFonts w:ascii="arial" w:eastAsia="arial" w:hAnsi="arial" w:cs="arial"/>
          <w:color w:val="000000"/>
          <w:sz w:val="20"/>
          <w:lang w:val="en-US" w:eastAsia="en-US" w:bidi="ar-SA"/>
        </w:rPr>
        <w:t xml:space="preserve"> </w:t>
      </w:r>
      <w:hyperlink r:id="rId841" w:history="1">
        <w:r>
          <w:rPr>
            <w:rFonts w:ascii="arial" w:eastAsia="arial" w:hAnsi="arial" w:cs="arial"/>
            <w:i/>
            <w:color w:val="0077CC"/>
            <w:sz w:val="20"/>
            <w:u w:val="single"/>
            <w:shd w:val="clear" w:color="auto" w:fill="FFFFFF"/>
            <w:lang w:val="en-US" w:eastAsia="en-US" w:bidi="ar-SA"/>
          </w:rPr>
          <w:t>(2003), 121 A.C.W.S. (3d) 281</w:t>
        </w:r>
      </w:hyperlink>
      <w:r>
        <w:rPr>
          <w:rFonts w:ascii="arial" w:eastAsia="arial" w:hAnsi="arial" w:cs="arial"/>
          <w:color w:val="000000"/>
          <w:sz w:val="20"/>
          <w:lang w:val="en-US" w:eastAsia="en-US" w:bidi="ar-SA"/>
        </w:rPr>
        <w:t xml:space="preserve">, </w:t>
      </w:r>
      <w:hyperlink r:id="rId841" w:history="1">
        <w:r>
          <w:rPr>
            <w:rFonts w:ascii="arial" w:eastAsia="arial" w:hAnsi="arial" w:cs="arial"/>
            <w:i/>
            <w:color w:val="0077CC"/>
            <w:sz w:val="20"/>
            <w:u w:val="single"/>
            <w:shd w:val="clear" w:color="auto" w:fill="FFFFFF"/>
            <w:lang w:val="en-US" w:eastAsia="en-US" w:bidi="ar-SA"/>
          </w:rPr>
          <w:t>2003 BCSC 167</w:t>
        </w:r>
      </w:hyperlink>
      <w:r>
        <w:rPr>
          <w:rFonts w:ascii="arial" w:eastAsia="arial" w:hAnsi="arial" w:cs="arial"/>
          <w:color w:val="000000"/>
          <w:sz w:val="20"/>
          <w:lang w:val="en-US" w:eastAsia="en-US" w:bidi="ar-SA"/>
        </w:rPr>
        <w:t>, cases involving more moderate injuries with damage awards between $15,000 and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Davies v. Larabie,</w:t>
      </w:r>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 the plaintiff suffered a moderate whiplash with symptoms of pain in her neck and back, as well as headaches. Although she had a variety of pre-existing problems, which included her neck and back, the court found that she would have continued to suffer from those problems at a lower level of significance and intensity had the accident not occurred. Her symptoms were significant for over two years and were not completely abated at trial. She was awarded $18,000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Nicholas v. Henry</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the plaintiff had soft tissue injuries to his cervical spine and to a lesser extent his back, which aggravated a pre-existing, but asymptomatic, arthritic condition. He had ongoing pain in varying degrees to his neck and shoulders, periodic numbness in his left hand and elbow, occasional numbness in his right hand, periodic headaches and periodic pain in his lower back. These symptoms were still ongoing after four years and it was unlikely that the injury would ever completely resolve. The Court awarded non-pecuniary damages of $20,000. </w:t>
      </w:r>
      <w:r>
        <w:rPr>
          <w:rFonts w:ascii="arial" w:eastAsia="arial" w:hAnsi="arial" w:cs="arial"/>
          <w:b/>
          <w:i/>
          <w:color w:val="000000"/>
          <w:sz w:val="20"/>
          <w:lang w:val="en-US" w:eastAsia="en-US" w:bidi="ar-SA"/>
        </w:rPr>
        <w:t>Collingridge v. Henry,</w:t>
      </w:r>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 xml:space="preserve"> arose from the same accident. The plaintiff received $15,000 for soft tissue injuries that largely resolved after 18 months, with some residual pain while doing heavier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plaintiff in </w:t>
      </w:r>
      <w:r>
        <w:rPr>
          <w:rFonts w:ascii="arial" w:eastAsia="arial" w:hAnsi="arial" w:cs="arial"/>
          <w:b/>
          <w:i/>
          <w:color w:val="000000"/>
          <w:sz w:val="20"/>
          <w:lang w:val="en-US" w:eastAsia="en-US" w:bidi="ar-SA"/>
        </w:rPr>
        <w:t>Read v. Marques,</w:t>
      </w:r>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 xml:space="preserve"> was awarded $15,000 for non-pecuniary damages, which was discounted by 10% due to a pre-existing condition. The soft tissue injuries resulted in pain and discomfort in her back and legs that resolved reasonably quickly, and in neck pain and headaches which were still recurring at trial and were expected to continue for some time. However, the prognosis was positive.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These cases demonstrate the wide range of awards in soft tissue cases. This is because damages must be appropriate to a particular plaintiff and his or her loss. Given the nature of this plaintiff's injuries and the loss of enjoyment of life she has experienced, it is my view that an appropriate award for non-pecuniary damages is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defendants initially took issue with the plaintiff's duty to mitigate her damages, saying that she did not follow Dr. Hartwig's advice that she participate in a "regular good back health exercise regimen". Ms. Lamb did not pursue this position in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 claims $3,063.12 for special damages, which consist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033"/>
        <w:gridCol w:w="419"/>
        <w:gridCol w:w="1046"/>
        <w:gridCol w:w="53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Prescription medicine</w:t>
            </w:r>
          </w:p>
        </w:tc>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71.12</w:t>
            </w:r>
          </w:p>
        </w:tc>
        <w:tc>
          <w:tcPr>
            <w:tcW w:w="522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510"/>
        <w:gridCol w:w="941"/>
        <w:gridCol w:w="1046"/>
        <w:gridCol w:w="53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Physiotherapy</w:t>
            </w:r>
          </w:p>
        </w:tc>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300.00</w:t>
            </w:r>
          </w:p>
        </w:tc>
        <w:tc>
          <w:tcPr>
            <w:tcW w:w="522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1882"/>
        <w:gridCol w:w="53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Massage therapy</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$2,302.00</w:t>
            </w:r>
          </w:p>
        </w:tc>
        <w:tc>
          <w:tcPr>
            <w:tcW w:w="522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033"/>
        <w:gridCol w:w="419"/>
        <w:gridCol w:w="1046"/>
        <w:gridCol w:w="53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Chiropractic treatment</w:t>
            </w:r>
          </w:p>
        </w:tc>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390.00</w:t>
            </w:r>
          </w:p>
        </w:tc>
        <w:tc>
          <w:tcPr>
            <w:tcW w:w="522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defendants take issue with the claims for chiropractic treatments, physiotherapy, and massage therapy. Ms. Lamb submitted that there is no evidence that chiropractic treatments from August 2001 were related to any injuries from the first accident, and there is no medical opinion evidence that supports the need for physiotherapy in March 2005. With respect to massage therapy, Ms. Lamb referred to Dr. Hartwig's statement that he was not in favour of "passive treatments", such as massage therapy, as "a long term fix", and to Dr. Hershler's recommendation that massage therapy would be helpful for a limited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agree that chiropractic treatments in August 2001 could not be related to the first accident, since the plaintiff's injuries had resolved long before then. The value of these treatments ($54) is to be deducted from the claim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evidence supports the need for physiotherapy in March 2005. Dr. Hartwig stated his preference for physiotherapy as an "active therapy" and he found spasm in the plaintiff's left neck muscles on March 10,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agree that the evidence supported massage therapy for a limited period of time, for the purpose of reducing muscle pain so that the muscle can be exercised. The plaintiff attended massage therapy on a regular basis from April to July 2002, November 2002 to March 2003, January to March 2004 and December 2004 to January 2005, with additional visits intermittently between those periods of time. This pattern shows that the plaintiff did attend massage therapy for several periods of less than six months each. Given the plaintiff's periodic symptoms, I consider this claim to be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 is entitled to special damages in the amount of $3,009.12.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 is entitled to general damages of $1,000 for the accident of February 23, 2001; $25,000 for the accident of October 24, 2001; and special damages of $3,009.12.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Counsel will have leave to speak to costs if they are unable to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FISHER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4" style="position:absolute;z-index:2518507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42"/>
          <w:headerReference w:type="default" r:id="rId843"/>
          <w:footerReference w:type="even" r:id="rId844"/>
          <w:footerReference w:type="default" r:id="rId845"/>
          <w:headerReference w:type="first" r:id="rId846"/>
          <w:footerReference w:type="first" r:id="rId84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48" w:history="1">
        <w:r>
          <w:rPr>
            <w:rFonts w:ascii="arial" w:eastAsia="arial" w:hAnsi="arial" w:cs="arial"/>
            <w:b/>
            <w:bCs/>
            <w:i/>
            <w:color w:val="0077CC"/>
            <w:kern w:val="32"/>
            <w:sz w:val="28"/>
            <w:szCs w:val="32"/>
            <w:u w:val="single"/>
            <w:shd w:val="clear" w:color="auto" w:fill="FFFFFF"/>
            <w:lang w:val="en-US" w:eastAsia="en-US" w:bidi="ar-SA"/>
          </w:rPr>
          <w:t>Vernon (City) v. Sengotta, [2009] B.C.J. No. 106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R.M.L. Blair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6-7,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27,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39623, 36707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Kamloops</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92 Admin. L.R. (4th) 48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56 M.P.L.R. (4th) 125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174 A.C.W.S. (3d) 855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126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Corporation of the City of Vernon, Petitioner, and Anthonia Sengotta and Dorothy Josephine Sengotta, Respondents And between Rocky Mountain Transport Ltd., Dorothy Sengotta and Anthonia Sengotta, Plaintiffs, and The Corporation of the City of Vernon and Cornelius Martens,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5" style="position:absolute;z-index:2516981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4" w:name="Keywords_38"/>
      <w:bookmarkEnd w:id="254"/>
      <w:r>
        <w:rPr>
          <w:rFonts w:ascii="arial" w:eastAsia="arial" w:hAnsi="arial" w:cs="arial"/>
          <w:b/>
          <w:color w:val="000000"/>
          <w:sz w:val="20"/>
          <w:lang w:val="en-US" w:eastAsia="en-US" w:bidi="ar-SA"/>
        </w:rPr>
        <w:t>Municipal law — Powers of municipality — Regulation of property and activities — Nuisances — Unsightly property — Application by City for order directing owners and tenant to remove fire-damaged building from property allowed — Resolution declaring building nuisance was valid, considering state of building and complaints City had received about it — Owners and tenant failed to remediate building within six years of fire despite having been granted permit to repair it which expired by time of resolution — Municipal Government Act, ss. 901, 911, 932, 936, 962, 970.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Municipal law — Bylaws and resolutions — Resolutions — Authority for — Application by City for order directing owners and tenant to remove fire-damaged building from property allowed — Resolution declaring building nuisance was valid, considering state of building and complaints City had received about it — Owners and tenant failed to remediate building within six years of fire despite having been granted permit to repair it which expired by time of resolution.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Municipal law — Actions by and against — Actions against municipality — Application by City to dismiss proceedings by owners and tenant of building ordered removed against City and City Inspector allowed — City Inspector did not commit tort of abuse of office in finding fire-damaged building could be remediated, then years later refusing application by owners and tenant to reconstruct building after property had been rezoned — No evidence Inspector acted to injure owners or tenant or that he benefited from actions.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Abuse of public office — Elements of tort — Application by City to dismiss proceedings by owners and tenant of building ordered removed against City and City Inspector allowed — City Inspector did not commit tort of abuse of office in finding fire-damaged building could be remediated, then years later refusing application by owners and tenant to reconstruct building after property had been rezoned — No evidence Inspector acted to injure owners or tenant or that he benefited from actions — Local Government Act, ss. 286, 287.</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5" w:name="Case Summary_34"/>
            <w:bookmarkEnd w:id="25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City of Vernon for an order directing the owners and lessees of a fire-damaged building to remove it and for an order dismissing an application by the owners and tenant for an injunction against the City's building inspector and a declaration the City's resolution declaring the building a nuisance was null and void. The fire took place in 1998 and while the owner and tenant took some steps to clean it up, the building remained as it had after the fire for several years. The City's inspector advised the property owner and tenant in 1998 they could repair or reconstruct the building as only one-third of it was destroyed by the fire, if they applied for a building permit. In 2000, the tenant's application to alter the building was granted, but the permit expired in 2002 with nothing being done. The City had received two complaints about the building in the months leading up to its 2004 resolutions declaring the building a nuisance and ordering its demolition. The owners had been ordered to remove the building in 2003 but it remained. The owners and tenant applied for a building permit to replace the building in 2004 but the application was refused because the property had been rezoned and such construction was not permitted.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56" w:name="Holdings of Court_30"/>
            <w:bookmarkEnd w:id="256"/>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resolutions by the City were valid and enforceable. The City had a basis for its conclusion the fire-damaged building was a nuisance. The owners were provided with adequate notice of the resolution and their right to apply for reconsideration. There was no evidence the City Inspector committed the tort of abuse of public office. No evidence showed he acted without regard to his official duties with the knowledge his conduct would injure the owners and tenant. His actions did not earn him personal gain.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7" w:name="Legislation Cited_31"/>
      <w:bookmarkEnd w:id="25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6" style="position:absolute;z-index:2517493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Rules of Court, Rule 5(8),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Canadian Charter of Rights and Freedoms, 1982, R.S.C. 1985, App. II, No. 44, Schedule B, s. 1, s. 2(b)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City of Vernon building Bylaw No. 3823, Division 8(1), Division 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Community Charter, </w:t>
      </w:r>
      <w:hyperlink r:id="rId849" w:history="1">
        <w:r>
          <w:rPr>
            <w:rFonts w:ascii="arial" w:eastAsia="arial" w:hAnsi="arial" w:cs="arial"/>
            <w:i/>
            <w:color w:val="0077CC"/>
            <w:sz w:val="20"/>
            <w:u w:val="single"/>
            <w:shd w:val="clear" w:color="auto" w:fill="FFFFFF"/>
            <w:lang w:val="en-US" w:eastAsia="en-US" w:bidi="ar-SA"/>
          </w:rPr>
          <w:t>SBC 2003, CHAPTER 26, s. 64</w:t>
        </w:r>
      </w:hyperlink>
      <w:r>
        <w:rPr>
          <w:rFonts w:ascii="arial" w:eastAsia="arial" w:hAnsi="arial" w:cs="arial"/>
          <w:color w:val="000000"/>
          <w:sz w:val="20"/>
          <w:lang w:val="en-US" w:eastAsia="en-US" w:bidi="ar-SA"/>
        </w:rPr>
        <w:t>, s. 72, s. 72(2), s. 73, s. 74, s. 75, s. 76, s. 77, s. 77(1), s. 77(3), s. 78, s. 79, s. 80, s. 115, s. 120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Local Government Act, RSBC 1996, CHAPTER 323, s. 286, s. 287(2), s. 287(3), s. 727, s. 727(2)(d)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Municipal Act, R.S.B.C. 1979, c. 290, s. 901(1)(c), s. 901(2), s. 911(5), s. 911(8), s. 932(b), s. 936, s. 936(1), s. 936(5), s. 962(1)(a), s. 970(5)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Vancouver Charter, </w:t>
      </w:r>
      <w:r>
        <w:rPr>
          <w:rFonts w:ascii="arial" w:eastAsia="arial" w:hAnsi="arial" w:cs="arial"/>
          <w:i/>
          <w:color w:val="000000"/>
          <w:sz w:val="20"/>
          <w:lang w:val="en-US" w:eastAsia="en-US" w:bidi="ar-SA"/>
        </w:rPr>
        <w:t>SBC 1953, CHAPTER 55</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8" w:name="Counsel_38"/>
      <w:bookmarkEnd w:id="25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7" style="position:absolute;z-index:251800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Petitioner and the Defendant, Cornelius Martens: J.G. Yardley.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Respondents and Plaintiffs: R. Burke.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9" w:name="Judgment_38"/>
      <w:bookmarkEnd w:id="259"/>
      <w:r>
        <w:pict>
          <v:line id="_x0000_s1218" style="position:absolute;z-index:2518517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0" w:name="R.M.L. BLAIR J."/>
            <w:bookmarkEnd w:id="260"/>
            <w:r>
              <w:rPr>
                <w:rFonts w:ascii="arial" w:eastAsia="arial" w:hAnsi="arial" w:cs="arial"/>
                <w:b/>
                <w:color w:val="000000"/>
                <w:sz w:val="30"/>
                <w:lang w:val="en-US" w:eastAsia="en-US" w:bidi="ar-SA"/>
              </w:rPr>
              <w:t>R.M.L. BLAIR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litigation involving these parties has its origin in a fire in 1998 which damaged a building located in the City of Vernon (the "City") on property (the "property") whose owners Anthonia Sengotta and Dorothy Sengotta (the "Sengottas") leased to Rocky Mountain Transport Ltd. ("RMTL") for use in its trucking business. The operators of RMTL are Gerald and William (Bill) Sengotta.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November 17, 2004, the City commenced its petition against the Sengottas seeking to enforce the May 10 and June 14, 2004 resolutions of city council declaring the fire-damaged building a nuisance and directing the Sengottas and RMTL to remove the building. On November 30, 2004, the Sengottas and RMTL commenced their action against the City and its chief building inspector, Cornelius Martens, alleging that various resolutions passed by the City's council were unlawful and that Mr. Martens' refusal to grant RMTL a building permit for the property constituted deliberate misconduct taken to harm the plaintiffs. The plaintiffs seek a mandatory injunction compelling Mr. Martens to consider the plaintiffs' application for a building permit, damages, and a declaration that the City council's resolutions with respect to the removal of the fire-damaged building are null and void.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City initiated both applications before the court as it seeks an order pursuant to its petition directing the Sengottas and RMTL to remove the fire-damaged building on the property and, by way of summary trial pursuant to Rule 18A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Rules</w:t>
      </w:r>
      <w:r>
        <w:rPr>
          <w:rFonts w:ascii="arial" w:eastAsia="arial" w:hAnsi="arial" w:cs="arial"/>
          <w:color w:val="000000"/>
          <w:sz w:val="20"/>
          <w:lang w:val="en-US" w:eastAsia="en-US" w:bidi="ar-SA"/>
        </w:rPr>
        <w:t>"), an order dismissing the plaintiffs' claims for an injunction against Mr. Martens and a declaration that the City's resolution with respect to the fire-damaged building is null and void. The City and Mr. Martens do not seek to address the plaintiffs' claims for damages until the question of liability is determined in this summary trial, a result which they contend will preclude the claim for damages advanced by the Sengottas and RMTL. The Sengottas and RMTL oppose both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parties have agreed that both proceedings, the petition being court file No. 39623 and the action being court file No. 36707, be heard together pursuant to Rule 5(8) of the </w:t>
      </w:r>
      <w:r>
        <w:rPr>
          <w:rFonts w:ascii="arial" w:eastAsia="arial" w:hAnsi="arial" w:cs="arial"/>
          <w:b/>
          <w:i/>
          <w:color w:val="000000"/>
          <w:sz w:val="20"/>
          <w:lang w:val="en-US" w:eastAsia="en-US" w:bidi="ar-SA"/>
        </w:rPr>
        <w:t>Rules</w:t>
      </w:r>
      <w:r>
        <w:rPr>
          <w:rFonts w:ascii="arial" w:eastAsia="arial" w:hAnsi="arial" w:cs="arial"/>
          <w:color w:val="000000"/>
          <w:sz w:val="20"/>
          <w:lang w:val="en-US" w:eastAsia="en-US" w:bidi="ar-SA"/>
        </w:rPr>
        <w:t>and that the evidence from one proceeding be treated as evidence in the other proceeding. The City and Mr. Martens assert that these are appropriate matters to be heard summarily. The City and Mr. Martens submit that the evidence establishes the facts necessary to determine liability in Action No. 36707, but acknowledge that if the necessary facts cannot be found to give judgment, then the matter should be referred to the trial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parties generally agree as to the factual context leading to these applications, although they differ as to the effect of certain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When the fire occurred on August 24, 1998 the use of the property for RMTL's trucking business was no longer permitted under the City's zoning bylaw, but was a lawful non-conforming use. Section 911(5) of the then </w:t>
      </w:r>
      <w:r>
        <w:rPr>
          <w:rFonts w:ascii="arial" w:eastAsia="arial" w:hAnsi="arial" w:cs="arial"/>
          <w:b/>
          <w:i/>
          <w:color w:val="000000"/>
          <w:sz w:val="20"/>
          <w:lang w:val="en-US" w:eastAsia="en-US" w:bidi="ar-SA"/>
        </w:rPr>
        <w:t>Municipal Act</w:t>
      </w:r>
      <w:r>
        <w:rPr>
          <w:rFonts w:ascii="arial" w:eastAsia="arial" w:hAnsi="arial" w:cs="arial"/>
          <w:color w:val="000000"/>
          <w:sz w:val="20"/>
          <w:lang w:val="en-US" w:eastAsia="en-US" w:bidi="ar-SA"/>
        </w:rPr>
        <w:t>, (the "</w:t>
      </w:r>
      <w:r>
        <w:rPr>
          <w:rFonts w:ascii="arial" w:eastAsia="arial" w:hAnsi="arial" w:cs="arial"/>
          <w:b/>
          <w:i/>
          <w:color w:val="000000"/>
          <w:sz w:val="20"/>
          <w:lang w:val="en-US" w:eastAsia="en-US" w:bidi="ar-SA"/>
        </w:rPr>
        <w:t>MA</w:t>
      </w:r>
      <w:r>
        <w:rPr>
          <w:rFonts w:ascii="arial" w:eastAsia="arial" w:hAnsi="arial" w:cs="arial"/>
          <w:color w:val="000000"/>
          <w:sz w:val="20"/>
          <w:lang w:val="en-US" w:eastAsia="en-US" w:bidi="ar-SA"/>
        </w:rPr>
        <w:t xml:space="preserve">") and later the </w:t>
      </w:r>
      <w:r>
        <w:rPr>
          <w:rFonts w:ascii="arial" w:eastAsia="arial" w:hAnsi="arial" w:cs="arial"/>
          <w:b/>
          <w:i/>
          <w:color w:val="000000"/>
          <w:sz w:val="20"/>
          <w:lang w:val="en-US" w:eastAsia="en-US" w:bidi="ar-SA"/>
        </w:rPr>
        <w:t>Local Government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LGA</w:t>
      </w:r>
      <w:r>
        <w:rPr>
          <w:rFonts w:ascii="arial" w:eastAsia="arial" w:hAnsi="arial" w:cs="arial"/>
          <w:color w:val="000000"/>
          <w:sz w:val="20"/>
          <w:lang w:val="en-US" w:eastAsia="en-US" w:bidi="ar-SA"/>
        </w:rPr>
        <w:t>"), provided that a structural alteration must not be made to a building that does not conform with the current zoning bylaw unless the alteration is permitted by a Board of Variance or is required by an enactment. Section 911(8) provides that if a building which is being used in a non-conforming manner is damaged or destroyed to the extent of 75 percent or more of its value above the foundation, it must not be repaired or reconstructed except for a conforming use in accordance with the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City building inspector George Bensmiller, by letter of August 27, 1998 to the Sengottas with a copy forwarded to RMTL, advised of the provisions of s. 911(8) of the </w:t>
      </w:r>
      <w:r>
        <w:rPr>
          <w:rFonts w:ascii="arial" w:eastAsia="arial" w:hAnsi="arial" w:cs="arial"/>
          <w:b/>
          <w:i/>
          <w:color w:val="000000"/>
          <w:sz w:val="20"/>
          <w:lang w:val="en-US" w:eastAsia="en-US" w:bidi="ar-SA"/>
        </w:rPr>
        <w:t>MA</w:t>
      </w:r>
      <w:r>
        <w:rPr>
          <w:rFonts w:ascii="arial" w:eastAsia="arial" w:hAnsi="arial" w:cs="arial"/>
          <w:color w:val="000000"/>
          <w:sz w:val="20"/>
          <w:lang w:val="en-US" w:eastAsia="en-US" w:bidi="ar-SA"/>
        </w:rPr>
        <w:t>, confirmed that the City estimated that approximately one-third of the building had been damaged and that the damaged portion of the building could be repaired or reconstructed. Mr. Bensmiller also advised that in the opinion of the City's solicitor, repair or reconstruction should not include rebuilding the entire building, but rather repairing or reconstructing only that portion damaged by the fire. He also cautioned that because of the current zoning on the property, if the entire building were demolished it could not be replaced with a new building. Mr. Bensmiller advised further that the City required a building permit be issued prior to reconstruction and if the building were to be demolished a demolition permit would be required. Mr. Bensmiller also advised that reconstruction would require the involvement of a structural engineer.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Martens on October 7, 1998 wrote to RMTL to advise that the only way to rebuild the building without special consideration was to rebuild "as is" with no changes to the structure. If structural changes were planned then an application would have to be made to the City's Board of Variance which had the authority to grant a variance. Mr. Martens suggested that if RMTL applied to the Board it make the application as complete and clear as possible, including information about the existing building and proposed changes, pointing out the differences between the existing and proposed building, as well as drawings to scale and pictures.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On or about January 1999, RMTL filed an application with the Board of Variance for permission under ss. 962(1)(a)(ii) and 970(5) of the </w:t>
      </w:r>
      <w:r>
        <w:rPr>
          <w:rFonts w:ascii="arial" w:eastAsia="arial" w:hAnsi="arial" w:cs="arial"/>
          <w:b/>
          <w:i/>
          <w:color w:val="000000"/>
          <w:sz w:val="20"/>
          <w:lang w:val="en-US" w:eastAsia="en-US" w:bidi="ar-SA"/>
        </w:rPr>
        <w:t>MA</w:t>
      </w:r>
      <w:r>
        <w:rPr>
          <w:rFonts w:ascii="arial" w:eastAsia="arial" w:hAnsi="arial" w:cs="arial"/>
          <w:color w:val="000000"/>
          <w:sz w:val="20"/>
          <w:lang w:val="en-US" w:eastAsia="en-US" w:bidi="ar-SA"/>
        </w:rPr>
        <w:t>for permission to make structural alterations to a non-conforming building. The application came before the Board on February 24, 1999 with Mr. Gerald (Gerry) Sengotta speaking on behalf of RMTL. A motion approving the structural alteration was moved, but failed to find a seconder. However, the Board on February 24, 1999 wrote to the Sengottas and advised that it had resolved to deny the application for a variance after concluding that "the request was for more than a minor variance in dealing with a nonconforming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After prompting from RMTL's solicitor the City, on June 27, 2000, wrote that it was referring RMTL's application back to the Board of Variance on the basis that it did not deal with the provisions of the </w:t>
      </w:r>
      <w:r>
        <w:rPr>
          <w:rFonts w:ascii="arial" w:eastAsia="arial" w:hAnsi="arial" w:cs="arial"/>
          <w:b/>
          <w:i/>
          <w:color w:val="000000"/>
          <w:sz w:val="20"/>
          <w:lang w:val="en-US" w:eastAsia="en-US" w:bidi="ar-SA"/>
        </w:rPr>
        <w:t>LGA</w:t>
      </w:r>
      <w:r>
        <w:rPr>
          <w:rFonts w:ascii="arial" w:eastAsia="arial" w:hAnsi="arial" w:cs="arial"/>
          <w:color w:val="000000"/>
          <w:sz w:val="20"/>
          <w:lang w:val="en-US" w:eastAsia="en-US" w:bidi="ar-SA"/>
        </w:rPr>
        <w:t>, specifically ss. 901(1)(c) and 901(2) which allow for an exemption from s. 911(5) if the Board concludes that undue hardship would be caused to the applicant. The City also advised that the Board would be asked to make a formal decision with respect to RMTL's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RMTL's application returned to the Board of Variance on July 12, 2000 and during the hearing the Board's chairman pointed out that granting the application did not "give approval for a Building Permit". The Board then unanimously passed the following resolution: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that the application from Rocky Mountain Transport requesting that they be exempted from s. 911(5) of the </w:t>
      </w:r>
      <w:r>
        <w:rPr>
          <w:rFonts w:ascii="arial" w:eastAsia="arial" w:hAnsi="arial" w:cs="arial"/>
          <w:color w:val="000000"/>
          <w:sz w:val="20"/>
          <w:u w:val="single"/>
          <w:lang w:val="en-US" w:eastAsia="en-US" w:bidi="ar-SA"/>
        </w:rPr>
        <w:t>Local Government Act</w:t>
      </w:r>
      <w:r>
        <w:rPr>
          <w:rFonts w:ascii="arial" w:eastAsia="arial" w:hAnsi="arial" w:cs="arial"/>
          <w:color w:val="000000"/>
          <w:sz w:val="20"/>
          <w:lang w:val="en-US" w:eastAsia="en-US" w:bidi="ar-SA"/>
        </w:rPr>
        <w:t xml:space="preserve"> in order to undertake structural alterations or additions to their currently non-conforming building ... which was damaged by fire be approved on the basis of undue hardship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Resolution did not specify or identify any specific structural alterations or additions. The City, by letter dated July 12, 2000 addressed to the Sengottas and RMTL, confirmed the Board of Variance's resolution passed earlier that day and added that in accord with the </w:t>
      </w:r>
      <w:r>
        <w:rPr>
          <w:rFonts w:ascii="arial" w:eastAsia="arial" w:hAnsi="arial" w:cs="arial"/>
          <w:b/>
          <w:i/>
          <w:color w:val="000000"/>
          <w:sz w:val="20"/>
          <w:lang w:val="en-US" w:eastAsia="en-US" w:bidi="ar-SA"/>
        </w:rPr>
        <w:t>LGA</w:t>
      </w:r>
      <w:r>
        <w:rPr>
          <w:rFonts w:ascii="arial" w:eastAsia="arial" w:hAnsi="arial" w:cs="arial"/>
          <w:color w:val="000000"/>
          <w:sz w:val="20"/>
          <w:lang w:val="en-US" w:eastAsia="en-US" w:bidi="ar-SA"/>
        </w:rPr>
        <w:t xml:space="preserve"> all approvals granted by the Board "must be acted upon within two years of the date of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RMTL in its statement of claim in action no. 36707, at paragraphs 11 and 12, stated that after July 12, 2000 it applied to Mr. Martens for a building permit for the construction of a building as designed on a plan that had been before the Board of Variance, but that Mr. Martens refused to issue the building permit, advising RMTL that it could not remove the existing building and replace it with a new building. RMTL assert that Mr. Martens refused to issue the building permit in spite of the Board of Variance's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late July or early August 2000, Mr. Martens met with a RMTL representative concerning the Board of Variance resolution. Mr. Martens on August 1, 2000 responded to a query from Bill and Gerry Sengotta of RMTL as to how the City interpreted the resolution. He wrote that the City's position remained unchanged, noting that RMTL: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can rebuild the building as is, or alter the building structurally as permitted by the Board of Variance. You may not remove the building and replace (it) with a new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Martens further deposed that there is no evidence that RMTL or anyone else in 2000 submitted to the City an application for a building permit with respect to the fire-damaged building. Mr. Bill Sengotta of RMTL acknowledged that he did not submit a written application for a building permit.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Legal counsel for RMTL and the City exchanged correspondence on what RMTL was permitted to do with the building with counsel disagreeing as to the effect of the Board of Variance's resolution. The City's counsel advised by letter dated September 14, 2000 to RMTL's counsel that the City would not accept RMTL's design showing new exterior walls and roof, as the City considered this to be a new building in violation of s. 911(8) of the </w:t>
      </w:r>
      <w:r>
        <w:rPr>
          <w:rFonts w:ascii="arial" w:eastAsia="arial" w:hAnsi="arial" w:cs="arial"/>
          <w:b/>
          <w:i/>
          <w:color w:val="000000"/>
          <w:sz w:val="20"/>
          <w:lang w:val="en-US" w:eastAsia="en-US" w:bidi="ar-SA"/>
        </w:rPr>
        <w:t>LGA</w:t>
      </w:r>
      <w:r>
        <w:rPr>
          <w:rFonts w:ascii="arial" w:eastAsia="arial" w:hAnsi="arial" w:cs="arial"/>
          <w:color w:val="000000"/>
          <w:sz w:val="20"/>
          <w:lang w:val="en-US" w:eastAsia="en-US" w:bidi="ar-SA"/>
        </w:rPr>
        <w:t>. Similar information was conveyed to RMTL's solicitor in April 2001. The City became aware of plans dated February 2001 for the repair of the RMTL's building, but has no evidence of RMTL taking steps to obtain a building permit from the City to repair the building between 2001 and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2002, the City's council sought how best to deal with fire-damaged buildings which were not being repaired in a timely fashion, including the RMTL building. Mr. Martens on January 16, 2003 provided the council with a report which discussed the issuance of an order by council declaring the building a nuisance and that it be removed pursuant to s. 727 of the </w:t>
      </w:r>
      <w:r>
        <w:rPr>
          <w:rFonts w:ascii="arial" w:eastAsia="arial" w:hAnsi="arial" w:cs="arial"/>
          <w:b/>
          <w:i/>
          <w:color w:val="000000"/>
          <w:sz w:val="20"/>
          <w:lang w:val="en-US" w:eastAsia="en-US" w:bidi="ar-SA"/>
        </w:rPr>
        <w:t>LGA</w:t>
      </w:r>
      <w:r>
        <w:rPr>
          <w:rFonts w:ascii="arial" w:eastAsia="arial" w:hAnsi="arial" w:cs="arial"/>
          <w:color w:val="000000"/>
          <w:sz w:val="20"/>
          <w:lang w:val="en-US" w:eastAsia="en-US" w:bidi="ar-SA"/>
        </w:rPr>
        <w:t>which read:</w:t>
      </w:r>
      <w:r>
        <w:rPr>
          <w:rFonts w:ascii="arial" w:eastAsia="arial" w:hAnsi="arial" w:cs="arial"/>
          <w:sz w:val="20"/>
          <w:lang w:val="en-US" w:eastAsia="en-US" w:bidi="ar-SA"/>
        </w:rPr>
        <w:cr/>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council may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declare that a building ... in or on private land ... is a nuisance,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it be removed ... by its owner, agent, lessee or occupier, as the council may determine and within the time after service of the order that is stated in the order.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council must give notice of an order under subsection (1) to the following persons either by serving the order or by sending the order by registered mail:</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owner of the land where the nuisance exists;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lessee or occupier of the land.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section applies to any building ... that the council believes is so dilapidated or unclean as to be offensive to the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Council on February 10, 2003 passed a resolution declaring the RMTL building a nuisance and ordering that it be removed pursuant to s. 727 of the </w:t>
      </w:r>
      <w:r>
        <w:rPr>
          <w:rFonts w:ascii="arial" w:eastAsia="arial" w:hAnsi="arial" w:cs="arial"/>
          <w:b/>
          <w:i/>
          <w:color w:val="000000"/>
          <w:sz w:val="20"/>
          <w:lang w:val="en-US" w:eastAsia="en-US" w:bidi="ar-SA"/>
        </w:rPr>
        <w:t>LGA</w:t>
      </w:r>
      <w:r>
        <w:rPr>
          <w:rFonts w:ascii="arial" w:eastAsia="arial" w:hAnsi="arial" w:cs="arial"/>
          <w:color w:val="000000"/>
          <w:sz w:val="20"/>
          <w:lang w:val="en-US" w:eastAsia="en-US" w:bidi="ar-SA"/>
        </w:rPr>
        <w:t xml:space="preserve">. Mr. Martens on March 12, 2003 wrote to the Sengottas advising of the council's resolution, enclosing with it a copy of s. 727 of the </w:t>
      </w:r>
      <w:r>
        <w:rPr>
          <w:rFonts w:ascii="arial" w:eastAsia="arial" w:hAnsi="arial" w:cs="arial"/>
          <w:b/>
          <w:i/>
          <w:color w:val="000000"/>
          <w:sz w:val="20"/>
          <w:lang w:val="en-US" w:eastAsia="en-US" w:bidi="ar-SA"/>
        </w:rPr>
        <w:t>LGA</w:t>
      </w:r>
      <w:r>
        <w:rPr>
          <w:rFonts w:ascii="arial" w:eastAsia="arial" w:hAnsi="arial" w:cs="arial"/>
          <w:color w:val="000000"/>
          <w:sz w:val="20"/>
          <w:lang w:val="en-US" w:eastAsia="en-US" w:bidi="ar-SA"/>
        </w:rPr>
        <w:t xml:space="preserve"> and advising that the fire-damaged building was to be removed within 60 days from the date of the letter. The letter was addressed to the Sengottas at the property upon which the building was located, that being 2906 41 Avenue, Vernon. The letter was not forwarded to RMTL, the lessee and occupier of the property, as provided by s. 727(2)(d) of the </w:t>
      </w:r>
      <w:r>
        <w:rPr>
          <w:rFonts w:ascii="arial" w:eastAsia="arial" w:hAnsi="arial" w:cs="arial"/>
          <w:b/>
          <w:i/>
          <w:color w:val="000000"/>
          <w:sz w:val="20"/>
          <w:lang w:val="en-US" w:eastAsia="en-US" w:bidi="ar-SA"/>
        </w:rPr>
        <w:t>LGA.</w:t>
      </w:r>
      <w:r>
        <w:rPr>
          <w:rFonts w:ascii="arial" w:eastAsia="arial" w:hAnsi="arial" w:cs="arial"/>
          <w:color w:val="000000"/>
          <w:sz w:val="20"/>
          <w:lang w:val="en-US" w:eastAsia="en-US" w:bidi="ar-SA"/>
        </w:rPr>
        <w:t xml:space="preserve"> Mr. Martens deposed that in sending the March 12, 2003 letter he assumed the Sengottas as property owners were also the occupiers of the fire-damaged building because of the family connections between the Sengottas and RMTL.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Sengottas did not respond to the March 12, 2003 letter. On June 3, 2003, Mr. Martens wrote to the City's administrator advising that the fire-damaged building had not been removed and the City's solicitor had been instructed to commence legal action. Mr. Martens on June 12, 2003 wrote again to the Sengottas advising that in the absence of a response from them, the City would be engaging contractors to remove the structure within one month. Mr. Martens deposed that he subsequently attended the property and met with Mr. Bill Sengotta who advised that an engineering firm was working on the roof trusses to replace those damaged in the 1998 fire. Mr. Bill Sengotta by fax dated July 28, 2003 confirmed his meeting with Mr. Martens and stated again that rather than replacing the fire-damaged raft arches RMTL preferred to put up a new concrete-walled prefabricated building on the same footprint as the existing fire-damaged building. The City in 2003 did not receive an application from RMLT for a building permit in relation to either the repair of the fire-damaged building or a new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Martens wrote to the City's administrator on September 19, 2003 advising that he had spoken to Mr. Bill Sengotta that same day and the latter had informed him that he was still awaiting designs from his structural engineer and truss manufacturer. Mr. Martens deposed that he did not recall ever being advised about the results of the design work which Mr. Sengotta referred to in their conversation. On January 23, 2004, Mr. Bill Sengotta advised Mr. Martens he was still waiting for the design from the engineer and the truss manufacturer. In his memorandum to his file, Mr. Martens wrote that he had phoned the engineer and the manufacturer with respect to the work contemplated for the fire-damaged building. On March 1, 2004, Mr. Bill Sengotta wrote to Mr. Martens advising that the plan proposed by his engineer and truss designer was not viable and that he was still waiting to hear from the City as to what RMTL would have to do to make the fire-damaged building acceptable to the City. On April 16, 2004, Bill Sengotta wrote to the City seeking information regarding building and zoning bylaws with respect to the Sengottas' property on which RMTL operated its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City in about February 2004 instructed legal counsel to prepare a petition seeking a court order to enforce City council's February 10, 2003 resolution directing that the fire-damaged building be removed. Legal counsel on March 5, 2004 arranged to have the petition served on the Sengottas, but neither Grace Sengotta, who held a charge against the property, nor RMTL, which leased the property, were served with the petition. The City then abandoned the petition due to the faulty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Mr. Martens prepared on April 30, 2004 a report to update city council with respect to the property and to request that council pass a second resolution declaring the fire-damaged building to be a nuisance and that it be removed pursuant to s. 74 of the </w:t>
      </w:r>
      <w:r>
        <w:rPr>
          <w:rFonts w:ascii="arial" w:eastAsia="arial" w:hAnsi="arial" w:cs="arial"/>
          <w:b/>
          <w:i/>
          <w:color w:val="000000"/>
          <w:sz w:val="20"/>
          <w:lang w:val="en-US" w:eastAsia="en-US" w:bidi="ar-SA"/>
        </w:rPr>
        <w:t>Community Charter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26</w:t>
      </w:r>
      <w:r>
        <w:rPr>
          <w:rFonts w:ascii="arial" w:eastAsia="arial" w:hAnsi="arial" w:cs="arial"/>
          <w:color w:val="000000"/>
          <w:sz w:val="20"/>
          <w:lang w:val="en-US" w:eastAsia="en-US" w:bidi="ar-SA"/>
        </w:rPr>
        <w:t xml:space="preserve"> (formerly s. 727 of the </w:t>
      </w:r>
      <w:r>
        <w:rPr>
          <w:rFonts w:ascii="arial" w:eastAsia="arial" w:hAnsi="arial" w:cs="arial"/>
          <w:b/>
          <w:i/>
          <w:color w:val="000000"/>
          <w:sz w:val="20"/>
          <w:lang w:val="en-US" w:eastAsia="en-US" w:bidi="ar-SA"/>
        </w:rPr>
        <w:t>LGA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report, Mr. Martens noted that council may choose not to take action to compel removal of the building, stating that only two neighbours had complained about the damaged building, one in 2001 and another in 2002. The City's solicitor had expressed reservations about the success of the petition given that a common law nuisance required evidence establishing a public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City council on May 10, 2004 passed a resolution declaring the fire-damaged building a nuisance and ordering its removal. The resolution did not specify a time limit for compliance, and city council in a new resolution dated June 14, 2004 referred to the May 10, 2004 resolution and passed a new resolution pursuant to s. 74 of the </w:t>
      </w:r>
      <w:r>
        <w:rPr>
          <w:rFonts w:ascii="arial" w:eastAsia="arial" w:hAnsi="arial" w:cs="arial"/>
          <w:b/>
          <w:i/>
          <w:color w:val="000000"/>
          <w:sz w:val="20"/>
          <w:lang w:val="en-US" w:eastAsia="en-US" w:bidi="ar-SA"/>
        </w:rPr>
        <w:t>Community Charter</w:t>
      </w:r>
      <w:r>
        <w:rPr>
          <w:rFonts w:ascii="arial" w:eastAsia="arial" w:hAnsi="arial" w:cs="arial"/>
          <w:color w:val="000000"/>
          <w:sz w:val="20"/>
          <w:lang w:val="en-US" w:eastAsia="en-US" w:bidi="ar-SA"/>
        </w:rPr>
        <w:t xml:space="preserve"> directing that the building be removed within 60 days of notice. The City forwarded notice of the City's June 14, 2004 resolution to the Sengottas and RMTL by registered mail.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Prior to City's council's resolution passed on May 10, 2004, Mr. Bill Sengotta on May 4, 2004 filed an application for a building permit on behalf of the Sengottas to construct a new building to replace the fire-damaged building. Mr. Martens deposed that the City granted a draft building permit number BP000287 dated June 21, 2004 which stated that the permit was conditional on, among other things, the property being rezoned to permit industrial use. Mr. Martens on June 22, 2004 wrote to the Sengottas advising that the use of the proposed new building did not conform to the City's zoning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RMTL, pursuant to s. 78 of the </w:t>
      </w:r>
      <w:r>
        <w:rPr>
          <w:rFonts w:ascii="arial" w:eastAsia="arial" w:hAnsi="arial" w:cs="arial"/>
          <w:b/>
          <w:i/>
          <w:color w:val="000000"/>
          <w:sz w:val="20"/>
          <w:lang w:val="en-US" w:eastAsia="en-US" w:bidi="ar-SA"/>
        </w:rPr>
        <w:t>Community Charter</w:t>
      </w:r>
      <w:r>
        <w:rPr>
          <w:rFonts w:ascii="arial" w:eastAsia="arial" w:hAnsi="arial" w:cs="arial"/>
          <w:color w:val="000000"/>
          <w:sz w:val="20"/>
          <w:lang w:val="en-US" w:eastAsia="en-US" w:bidi="ar-SA"/>
        </w:rPr>
        <w:t>, sought a reconsideration of the June 14, 2004 resolution, which the council heard on July 26, 2004. The council at its August 23, 2004 meeting passed a resolution rejecting the reconsideration, thereby ratifying the June 14, 2004 resolution. The City filed its petition on November 17, 2004 and the Sengottas and RMTL filed their writ of summons on November 30,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City subsequently became aware that the addresses used to advise the Sengottas of the June 14, 2004 resolution may have been incorrect and Deputy City clerk Sue Blakely by letter dated December 13, 2006 - some 30 months later - again wrote to the Sengottas and RMTL of the May 10 and June 14, 2004 resolutions, their right to reconsideration as provided by s. 78 of the </w:t>
      </w:r>
      <w:r>
        <w:rPr>
          <w:rFonts w:ascii="arial" w:eastAsia="arial" w:hAnsi="arial" w:cs="arial"/>
          <w:b/>
          <w:i/>
          <w:color w:val="000000"/>
          <w:sz w:val="20"/>
          <w:lang w:val="en-US" w:eastAsia="en-US" w:bidi="ar-SA"/>
        </w:rPr>
        <w:t>Community Charter</w:t>
      </w:r>
      <w:r>
        <w:rPr>
          <w:rFonts w:ascii="arial" w:eastAsia="arial" w:hAnsi="arial" w:cs="arial"/>
          <w:color w:val="000000"/>
          <w:sz w:val="20"/>
          <w:lang w:val="en-US" w:eastAsia="en-US" w:bidi="ar-SA"/>
        </w:rPr>
        <w:t>, and that if compliance with the resolution did not occur within the 60 days after they received notice of the resolutions that the City would take action to remove the fire-damaged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Counsel for the Sengottas and RMTL by correspondence dated January 3, 2007 confirmed receipt of the City's December 13, 2006 correspondence and advised that neither the Sengottas nor RMTL would comply with the City's resolutions. Neither the Sengottas nor RMTL sought a further reconsideration by City council after receiving the City's correspondence of December 13, 2006 with which was included council's resolution of May 10 and June 14, 2004, copies of City clerk Karla Lanktree's correspondence of June 16, 2004 advising them of the June 14, 2004 resolution and the right to a reconsideration by City council together with the relevant portions of the </w:t>
      </w:r>
      <w:r>
        <w:rPr>
          <w:rFonts w:ascii="arial" w:eastAsia="arial" w:hAnsi="arial" w:cs="arial"/>
          <w:b/>
          <w:i/>
          <w:color w:val="000000"/>
          <w:sz w:val="20"/>
          <w:lang w:val="en-US" w:eastAsia="en-US" w:bidi="ar-SA"/>
        </w:rPr>
        <w:t>Community 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City's Petition: Court File No. 39623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City relies on the May 10 and June 14, 2004 resolutions to support its petition for an order directing the removal of the fire-damaged building. The City passed the 2004 resolutions pursuant to ss. 72-80 of the </w:t>
      </w:r>
      <w:r>
        <w:rPr>
          <w:rFonts w:ascii="arial" w:eastAsia="arial" w:hAnsi="arial" w:cs="arial"/>
          <w:b/>
          <w:i/>
          <w:color w:val="000000"/>
          <w:sz w:val="20"/>
          <w:lang w:val="en-US" w:eastAsia="en-US" w:bidi="ar-SA"/>
        </w:rPr>
        <w:t>Community Charter</w:t>
      </w:r>
      <w:r>
        <w:rPr>
          <w:rFonts w:ascii="arial" w:eastAsia="arial" w:hAnsi="arial" w:cs="arial"/>
          <w:color w:val="000000"/>
          <w:sz w:val="20"/>
          <w:lang w:val="en-US" w:eastAsia="en-US" w:bidi="ar-SA"/>
        </w:rPr>
        <w:t xml:space="preserve"> declaring the fire-damaged building to be a nuisance, that the building be removed within 60 days, and that notice of the resolutions was eventually served on the Sengottas as the property's owners, and RMTL as the lessee and occupier of the property. The Sengottas and RMTL through counsel advised that they did not intend to comply with the City's resolutions. The City submits that the order sought in the petition should be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Petition Brought Against Wrong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Sengottas as respondents submit that the City has erred in bringing the petition against them, asserting that the proper respondent is RMTL, which leases the property, constructed and used the building damaged in the 1998 fire, and which has continued to use the fire-damaged building as a storage area. The Sengottas say that they have leased the property to RMTL and have no right to enter the property and remove the fire-damaged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Community Charter</w:t>
      </w:r>
      <w:r>
        <w:rPr>
          <w:rFonts w:ascii="arial" w:eastAsia="arial" w:hAnsi="arial" w:cs="arial"/>
          <w:color w:val="000000"/>
          <w:sz w:val="20"/>
          <w:lang w:val="en-US" w:eastAsia="en-US" w:bidi="ar-SA"/>
        </w:rPr>
        <w:t xml:space="preserve"> provides that the City can determine pursuant to s. 74 that a building or other structure is a nuisance and s. 72 allows the City to impose a remedial action requirement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72(2) In the case of matters or things referred to in section 73 or 74, a remedial action requirement</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may be imposed on one or more of</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owner or lessee of the matter or thing,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owner or occupier of the land on which it is located, and</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may require the person to</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remove or demolish the matter or thing.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74(1) A council may declare that any of the following is a nuisance and may impose a remedial action requirement in relation to the declared nuisance:</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building or other structure, an erection of any kind, or a similar matter or thing;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(1) also applies in relation to a thing that council considers is so dilapidated or unclean as to be offensive to the community.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77(1) Notice of a remedial action requirement must be given by personal service or by registered mail to</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the person subject to the requirement, and</w:t>
      </w:r>
    </w:p>
    <w:p>
      <w:pPr>
        <w:numPr>
          <w:numId w:val="18"/>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owner of the land where the required action is to be carried out.</w:t>
      </w:r>
    </w:p>
    <w:p>
      <w:pPr>
        <w:numPr>
          <w:numId w:val="19"/>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notice of the remedial action requirement must be mailed to</w:t>
      </w:r>
    </w:p>
    <w:p>
      <w:pPr>
        <w:numPr>
          <w:numId w:val="20"/>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each holder of a registered charge in relation to the property whose name is included on the assessment roll ... and</w:t>
      </w:r>
    </w:p>
    <w:p>
      <w:pPr>
        <w:numPr>
          <w:numId w:val="20"/>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person who is an occupier of that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Section 78 provides that any person who is required to be given notice under s. 77(1) may request that the council reconsider the remedial action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City knew that RMTL was the lessee of the property, including the building or buildings located thereon, and from August 24, 1998 it was RMTL through Mr. Gerry Sengotta or Mr. Bill Sengotta, with whom the City's officials dealt. It was RMTL, not the Sengottas, who brought the reconsideration application to City council on July 26,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However, the </w:t>
      </w:r>
      <w:r>
        <w:rPr>
          <w:rFonts w:ascii="arial" w:eastAsia="arial" w:hAnsi="arial" w:cs="arial"/>
          <w:b/>
          <w:i/>
          <w:color w:val="000000"/>
          <w:sz w:val="20"/>
          <w:lang w:val="en-US" w:eastAsia="en-US" w:bidi="ar-SA"/>
        </w:rPr>
        <w:t>Community Charter</w:t>
      </w:r>
      <w:r>
        <w:rPr>
          <w:rFonts w:ascii="arial" w:eastAsia="arial" w:hAnsi="arial" w:cs="arial"/>
          <w:color w:val="000000"/>
          <w:sz w:val="20"/>
          <w:lang w:val="en-US" w:eastAsia="en-US" w:bidi="ar-SA"/>
        </w:rPr>
        <w:t>, while stating who must receive notice of the remedial action requirement, does not specify against whom the City must initiate action should the required remedial action not be undertaken by the owner, lessee, or occupier of the property. Absent such statutory direction, I conclude it is open for the City simply to name as respondents in its petition the Sengottas, who hold title to the property upon which the building is located.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City Required to Identify the Person Required to Perform the Remedial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Sengottas submit that the City's June 14, 2004 resolution with respect to the removal of the fire-damaged building is invalid in that it fails to identify the person upon whom the remedial action requirement is imposed as required by s. 72(2) of the </w:t>
      </w:r>
      <w:r>
        <w:rPr>
          <w:rFonts w:ascii="arial" w:eastAsia="arial" w:hAnsi="arial" w:cs="arial"/>
          <w:b/>
          <w:i/>
          <w:color w:val="000000"/>
          <w:sz w:val="20"/>
          <w:lang w:val="en-US" w:eastAsia="en-US" w:bidi="ar-SA"/>
        </w:rPr>
        <w:t>Community Charter</w:t>
      </w:r>
      <w:r>
        <w:rPr>
          <w:rFonts w:ascii="arial" w:eastAsia="arial" w:hAnsi="arial" w:cs="arial"/>
          <w:color w:val="000000"/>
          <w:sz w:val="20"/>
          <w:lang w:val="en-US" w:eastAsia="en-US" w:bidi="ar-SA"/>
        </w:rPr>
        <w:t xml:space="preserve"> referred to above. Counsel submits the omission is fatal to the City's resolution.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City initially encountered difficulty in serving the Sengottas and RMTL, but its deficiencies were addressed when they personally served the Sengottas and RMTL with the City's correspondence and attachments dated December 13, 2006, which included copies of the May and June 2004 resolutions and the requisite notifications with respect to the time allowed for compliance with the resolutions and the opportunity for the Sengottas and RMTL to ask the City's council to reconsider its decisions. Those attachments addressed to the Sengottas and RMTL notify the Sengottas as owners and RMTL as occupiers and lessees that the City is imposing upon both the remedial action requirement. Section 72(2) states that such a requirement may be imposed on one or more of the owner, lessee, or occupier of the property in question. I find the City's notification to both the Sengottas and RMTL sufficient and effective to put them on notice that the City was looking to them to respond to the City's resolutions requiring remedial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Determination of a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Sengottas submit that there was no evidence before council that the fire-damaged building on their property was a nuisance and that the only basis for the City's actions involving the building was for aesthetic reasons, referring to Mr. Martens' April 30, 2004 report to City council regarding the history of the fire-damaged building and the rationale behind the proposed May 10, 2004 resolution. The report noted that the removal of the fire-damaged building involved council's Strategic Plan objectives of a safe community, an attractive business destination, and community beautification and that failing to remove the building would leave neighbours looking at a partially-burned building. The City had received just two complaints in 2001 and 2002 from neighbours complaining about the appearance of the fire-damaged building. There is no suggestion that the damaged building constitutes a fire or safety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Sengottas rely on ss. 64, 72 and 74 of the </w:t>
      </w:r>
      <w:r>
        <w:rPr>
          <w:rFonts w:ascii="arial" w:eastAsia="arial" w:hAnsi="arial" w:cs="arial"/>
          <w:b/>
          <w:i/>
          <w:color w:val="000000"/>
          <w:sz w:val="20"/>
          <w:lang w:val="en-US" w:eastAsia="en-US" w:bidi="ar-SA"/>
        </w:rPr>
        <w:t>Community Charter</w:t>
      </w:r>
      <w:r>
        <w:rPr>
          <w:rFonts w:ascii="arial" w:eastAsia="arial" w:hAnsi="arial" w:cs="arial"/>
          <w:color w:val="000000"/>
          <w:sz w:val="20"/>
          <w:lang w:val="en-US" w:eastAsia="en-US" w:bidi="ar-SA"/>
        </w:rPr>
        <w:t>, which allow a municipal government to exercise powers relating to nuisances and unsightly conditions on property, but which differentiate between nuisances and unsightly conditions. The result, assert the Sengottas, is that the power to make a remedial order pursuant to ss. 72 and 74 does not exist in relation to unsightly conditions. Section 64 states:</w:t>
      </w:r>
      <w:r>
        <w:rPr>
          <w:rFonts w:ascii="arial" w:eastAsia="arial" w:hAnsi="arial" w:cs="arial"/>
          <w:sz w:val="20"/>
          <w:lang w:val="en-US" w:eastAsia="en-US" w:bidi="ar-SA"/>
        </w:rPr>
        <w:cr/>
      </w:r>
    </w:p>
    <w:p>
      <w:pPr>
        <w:numPr>
          <w:numId w:val="21"/>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authority of a council under section 8(3)(h) [</w:t>
      </w:r>
      <w:r>
        <w:rPr>
          <w:rFonts w:ascii="arial" w:eastAsia="arial" w:hAnsi="arial" w:cs="arial"/>
          <w:i/>
          <w:color w:val="000000"/>
          <w:sz w:val="20"/>
          <w:lang w:val="en-US" w:eastAsia="en-US" w:bidi="ar-SA"/>
        </w:rPr>
        <w:t>spheres of authority - nuisances, disturbances and other objectionable situations</w:t>
      </w:r>
      <w:r>
        <w:rPr>
          <w:rFonts w:ascii="arial" w:eastAsia="arial" w:hAnsi="arial" w:cs="arial"/>
          <w:color w:val="000000"/>
          <w:sz w:val="20"/>
          <w:lang w:val="en-US" w:eastAsia="en-US" w:bidi="ar-SA"/>
        </w:rPr>
        <w:t>] may be exercised in relation to the following: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nuisances;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2"/>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graffiti and unsightly conditions on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Sengottas submit that although the City council has the power under ss. 72 and 74 to make a remedial order with respect to a nuisance, the power does not extend to unsightly conditions, contending that the exercise of the power to declare a building a nuisance must be based on some evidence of a nuisance existing, citing </w:t>
      </w:r>
      <w:r>
        <w:rPr>
          <w:rFonts w:ascii="arial" w:eastAsia="arial" w:hAnsi="arial" w:cs="arial"/>
          <w:b/>
          <w:i/>
          <w:color w:val="000000"/>
          <w:sz w:val="20"/>
          <w:lang w:val="en-US" w:eastAsia="en-US" w:bidi="ar-SA"/>
        </w:rPr>
        <w:t>Nanaimo (City) v. Rascal Trucking Ltd.</w:t>
      </w:r>
      <w:r>
        <w:rPr>
          <w:rFonts w:ascii="arial" w:eastAsia="arial" w:hAnsi="arial" w:cs="arial"/>
          <w:color w:val="000000"/>
          <w:sz w:val="20"/>
          <w:lang w:val="en-US" w:eastAsia="en-US" w:bidi="ar-SA"/>
        </w:rPr>
        <w:t xml:space="preserve">, </w:t>
      </w:r>
      <w:hyperlink r:id="rId850" w:history="1">
        <w:r>
          <w:rPr>
            <w:rFonts w:ascii="arial" w:eastAsia="arial" w:hAnsi="arial" w:cs="arial"/>
            <w:i/>
            <w:color w:val="0077CC"/>
            <w:sz w:val="20"/>
            <w:u w:val="single"/>
            <w:shd w:val="clear" w:color="auto" w:fill="FFFFFF"/>
            <w:lang w:val="en-US" w:eastAsia="en-US" w:bidi="ar-SA"/>
          </w:rPr>
          <w:t>2000 SCC 13</w:t>
        </w:r>
      </w:hyperlink>
      <w:r>
        <w:rPr>
          <w:rFonts w:ascii="arial" w:eastAsia="arial" w:hAnsi="arial" w:cs="arial"/>
          <w:color w:val="000000"/>
          <w:sz w:val="20"/>
          <w:lang w:val="en-US" w:eastAsia="en-US" w:bidi="ar-SA"/>
        </w:rPr>
        <w:t xml:space="preserve">, </w:t>
      </w:r>
      <w:hyperlink r:id="rId850" w:history="1">
        <w:r>
          <w:rPr>
            <w:rFonts w:ascii="arial" w:eastAsia="arial" w:hAnsi="arial" w:cs="arial"/>
            <w:i/>
            <w:color w:val="0077CC"/>
            <w:sz w:val="20"/>
            <w:u w:val="single"/>
            <w:shd w:val="clear" w:color="auto" w:fill="FFFFFF"/>
            <w:lang w:val="en-US" w:eastAsia="en-US" w:bidi="ar-SA"/>
          </w:rPr>
          <w:t>[2000] 1 S.C.R. 342</w:t>
        </w:r>
      </w:hyperlink>
      <w:r>
        <w:rPr>
          <w:rFonts w:ascii="arial" w:eastAsia="arial" w:hAnsi="arial" w:cs="arial"/>
          <w:color w:val="000000"/>
          <w:sz w:val="20"/>
          <w:lang w:val="en-US" w:eastAsia="en-US" w:bidi="ar-SA"/>
        </w:rPr>
        <w:t xml:space="preserve">, which involved Nanaimo's city council declaring as a nuisance Rascal's pile of dirt which council found affected the community as both an annoyance and a pollutant. Council's resolution was made pursuant to the then </w:t>
      </w:r>
      <w:r>
        <w:rPr>
          <w:rFonts w:ascii="arial" w:eastAsia="arial" w:hAnsi="arial" w:cs="arial"/>
          <w:b/>
          <w:i/>
          <w:color w:val="000000"/>
          <w:sz w:val="20"/>
          <w:lang w:val="en-US" w:eastAsia="en-US" w:bidi="ar-SA"/>
        </w:rPr>
        <w:t>MA,</w:t>
      </w:r>
      <w:r>
        <w:rPr>
          <w:rFonts w:ascii="arial" w:eastAsia="arial" w:hAnsi="arial" w:cs="arial"/>
          <w:color w:val="000000"/>
          <w:sz w:val="20"/>
          <w:lang w:val="en-US" w:eastAsia="en-US" w:bidi="ar-SA"/>
        </w:rPr>
        <w:t>R.S.B.C. 1979, c. 290 which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 932 The council may by bylaw</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prevent, abate and prohibit nuisances, and provide for the recovery of the cost of abatement of nuisances from the person causing the nuisance or other persons described in the bylaw: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936(1) The council may declare a building, structure or erection of any kind ... or other matter or thing, in or on private land ... or in or about a building or structure, a nuisance, and may direct and order that it be removed, pulled down ... or otherwise dealt with by its owner, agent, lessee or occupier, as the council may determine and within the time after service of the order that may be named in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section applies to any building, structure or erection of any kind which the council believes is so or unclean as to be offensive to the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aforementioned sections contain language similar to that found ss. 72, 74, and 76 of the </w:t>
      </w:r>
      <w:r>
        <w:rPr>
          <w:rFonts w:ascii="arial" w:eastAsia="arial" w:hAnsi="arial" w:cs="arial"/>
          <w:b/>
          <w:i/>
          <w:color w:val="000000"/>
          <w:sz w:val="20"/>
          <w:lang w:val="en-US" w:eastAsia="en-US" w:bidi="ar-SA"/>
        </w:rPr>
        <w:t>Community Charter</w:t>
      </w:r>
      <w:r>
        <w:rPr>
          <w:rFonts w:ascii="arial" w:eastAsia="arial" w:hAnsi="arial" w:cs="arial"/>
          <w:color w:val="000000"/>
          <w:sz w:val="20"/>
          <w:lang w:val="en-US" w:eastAsia="en-US" w:bidi="ar-SA"/>
        </w:rPr>
        <w:t xml:space="preserve"> set out above in these Reasons. Major J. for the court noted the appeal raised two issues: whether s. 936 of the </w:t>
      </w:r>
      <w:r>
        <w:rPr>
          <w:rFonts w:ascii="arial" w:eastAsia="arial" w:hAnsi="arial" w:cs="arial"/>
          <w:b/>
          <w:i/>
          <w:color w:val="000000"/>
          <w:sz w:val="20"/>
          <w:lang w:val="en-US" w:eastAsia="en-US" w:bidi="ar-SA"/>
        </w:rPr>
        <w:t>MA</w:t>
      </w:r>
      <w:r>
        <w:rPr>
          <w:rFonts w:ascii="arial" w:eastAsia="arial" w:hAnsi="arial" w:cs="arial"/>
          <w:color w:val="000000"/>
          <w:sz w:val="20"/>
          <w:lang w:val="en-US" w:eastAsia="en-US" w:bidi="ar-SA"/>
        </w:rPr>
        <w:t xml:space="preserve"> empowered Nanaimo City to declare the soil pile a nuisance and order its removal and, if so, upon what standard must Nanaimo's decision be reviewed. Major J. concluded that Nanaimo City had the authority to declare the soil pile a nuisance, stating at paras. 20 and 21 that statutes such as the </w:t>
      </w:r>
      <w:r>
        <w:rPr>
          <w:rFonts w:ascii="arial" w:eastAsia="arial" w:hAnsi="arial" w:cs="arial"/>
          <w:b/>
          <w:i/>
          <w:color w:val="000000"/>
          <w:sz w:val="20"/>
          <w:lang w:val="en-US" w:eastAsia="en-US" w:bidi="ar-SA"/>
        </w:rPr>
        <w:t>MA</w:t>
      </w:r>
      <w:r>
        <w:rPr>
          <w:rFonts w:ascii="arial" w:eastAsia="arial" w:hAnsi="arial" w:cs="arial"/>
          <w:color w:val="000000"/>
          <w:sz w:val="20"/>
          <w:lang w:val="en-US" w:eastAsia="en-US" w:bidi="ar-SA"/>
        </w:rPr>
        <w:t xml:space="preserve"> should be construed purposively in their entire context and in light of the scheme of the Act as a whole with a view to ascertaining the legislature's true intent, but without permitting municipalities to declare almost anything to be a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 construe the </w:t>
      </w:r>
      <w:r>
        <w:rPr>
          <w:rFonts w:ascii="arial" w:eastAsia="arial" w:hAnsi="arial" w:cs="arial"/>
          <w:b/>
          <w:i/>
          <w:color w:val="000000"/>
          <w:sz w:val="20"/>
          <w:lang w:val="en-US" w:eastAsia="en-US" w:bidi="ar-SA"/>
        </w:rPr>
        <w:t>Community Charter</w:t>
      </w:r>
      <w:r>
        <w:rPr>
          <w:rFonts w:ascii="arial" w:eastAsia="arial" w:hAnsi="arial" w:cs="arial"/>
          <w:color w:val="000000"/>
          <w:sz w:val="20"/>
          <w:lang w:val="en-US" w:eastAsia="en-US" w:bidi="ar-SA"/>
        </w:rPr>
        <w:t xml:space="preserve"> as containing language in ss. 72, 74 and 76 similar, but not identical to that of the </w:t>
      </w:r>
      <w:r>
        <w:rPr>
          <w:rFonts w:ascii="arial" w:eastAsia="arial" w:hAnsi="arial" w:cs="arial"/>
          <w:b/>
          <w:i/>
          <w:color w:val="000000"/>
          <w:sz w:val="20"/>
          <w:lang w:val="en-US" w:eastAsia="en-US" w:bidi="ar-SA"/>
        </w:rPr>
        <w:t>MA.</w:t>
      </w:r>
      <w:r>
        <w:rPr>
          <w:rFonts w:ascii="arial" w:eastAsia="arial" w:hAnsi="arial" w:cs="arial"/>
          <w:color w:val="000000"/>
          <w:sz w:val="20"/>
          <w:lang w:val="en-US" w:eastAsia="en-US" w:bidi="ar-SA"/>
        </w:rPr>
        <w:t xml:space="preserve"> I find that the aforementioned sections of the </w:t>
      </w:r>
      <w:r>
        <w:rPr>
          <w:rFonts w:ascii="arial" w:eastAsia="arial" w:hAnsi="arial" w:cs="arial"/>
          <w:b/>
          <w:i/>
          <w:color w:val="000000"/>
          <w:sz w:val="20"/>
          <w:lang w:val="en-US" w:eastAsia="en-US" w:bidi="ar-SA"/>
        </w:rPr>
        <w:t>Community Charter</w:t>
      </w:r>
      <w:r>
        <w:rPr>
          <w:rFonts w:ascii="arial" w:eastAsia="arial" w:hAnsi="arial" w:cs="arial"/>
          <w:color w:val="000000"/>
          <w:sz w:val="20"/>
          <w:lang w:val="en-US" w:eastAsia="en-US" w:bidi="ar-SA"/>
        </w:rPr>
        <w:t xml:space="preserve"> interpreted purposively as discussed in </w:t>
      </w:r>
      <w:r>
        <w:rPr>
          <w:rFonts w:ascii="arial" w:eastAsia="arial" w:hAnsi="arial" w:cs="arial"/>
          <w:b/>
          <w:i/>
          <w:color w:val="000000"/>
          <w:sz w:val="20"/>
          <w:lang w:val="en-US" w:eastAsia="en-US" w:bidi="ar-SA"/>
        </w:rPr>
        <w:t>Nanaimo</w:t>
      </w:r>
      <w:r>
        <w:rPr>
          <w:rFonts w:ascii="arial" w:eastAsia="arial" w:hAnsi="arial" w:cs="arial"/>
          <w:color w:val="000000"/>
          <w:sz w:val="20"/>
          <w:lang w:val="en-US" w:eastAsia="en-US" w:bidi="ar-SA"/>
        </w:rPr>
        <w:t xml:space="preserve"> authorize Vernon's city council to declare a fire-damaged building or other structure a nuisance. That interpretation leads to the query as to what standard of review is applicable to Vernon's resolutions with respect to the Sengottas' property and the fire-damaged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Major J. at para. 28 stated that in </w:t>
      </w:r>
      <w:r>
        <w:rPr>
          <w:rFonts w:ascii="arial" w:eastAsia="arial" w:hAnsi="arial" w:cs="arial"/>
          <w:b/>
          <w:i/>
          <w:color w:val="000000"/>
          <w:sz w:val="20"/>
          <w:lang w:val="en-US" w:eastAsia="en-US" w:bidi="ar-SA"/>
        </w:rPr>
        <w:t>Nanaimo</w:t>
      </w:r>
      <w:r>
        <w:rPr>
          <w:rFonts w:ascii="arial" w:eastAsia="arial" w:hAnsi="arial" w:cs="arial"/>
          <w:color w:val="000000"/>
          <w:sz w:val="20"/>
          <w:lang w:val="en-US" w:eastAsia="en-US" w:bidi="ar-SA"/>
        </w:rPr>
        <w:t xml:space="preserve"> the court was considering the standard of review applicable to a municipality's adjudicative function as opposed to its policy making, finding the decision was adjudicative as it involved an adversarial hearing, the application of substantive rules to individual cases and a significant impact on the rights of the parties. In the instant case, the same factors exist, although the adversarial hearings came during the reconsideration applications following the passage of the February 2003 resolution and later the June 2004 resolution.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Major J. noted that the Supreme Court of Canada adopted a pragmatic and functional approach to discerning the standards of review applicable to administrative tribunals and wrote at para.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municipalities are also delegates of provincial jurisdiction, there is harmony in applying the pragmatic and functional approach in ascertaining the standard of review applicable to municipalities exercising an adjudicative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However, the Supreme Court of Canada In </w:t>
      </w:r>
      <w:r>
        <w:rPr>
          <w:rFonts w:ascii="arial" w:eastAsia="arial" w:hAnsi="arial" w:cs="arial"/>
          <w:b/>
          <w:i/>
          <w:color w:val="000000"/>
          <w:sz w:val="20"/>
          <w:lang w:val="en-US" w:eastAsia="en-US" w:bidi="ar-SA"/>
        </w:rPr>
        <w:t>Dunsmuir v. New Brunswick</w:t>
      </w:r>
      <w:r>
        <w:rPr>
          <w:rFonts w:ascii="arial" w:eastAsia="arial" w:hAnsi="arial" w:cs="arial"/>
          <w:color w:val="000000"/>
          <w:sz w:val="20"/>
          <w:lang w:val="en-US" w:eastAsia="en-US" w:bidi="ar-SA"/>
        </w:rPr>
        <w:t xml:space="preserve">, </w:t>
      </w:r>
      <w:hyperlink r:id="rId851" w:history="1">
        <w:r>
          <w:rPr>
            <w:rFonts w:ascii="arial" w:eastAsia="arial" w:hAnsi="arial" w:cs="arial"/>
            <w:i/>
            <w:color w:val="0077CC"/>
            <w:sz w:val="20"/>
            <w:u w:val="single"/>
            <w:shd w:val="clear" w:color="auto" w:fill="FFFFFF"/>
            <w:lang w:val="en-US" w:eastAsia="en-US" w:bidi="ar-SA"/>
          </w:rPr>
          <w:t>2008 SCC 9</w:t>
        </w:r>
      </w:hyperlink>
      <w:r>
        <w:rPr>
          <w:rFonts w:ascii="arial" w:eastAsia="arial" w:hAnsi="arial" w:cs="arial"/>
          <w:color w:val="000000"/>
          <w:sz w:val="20"/>
          <w:lang w:val="en-US" w:eastAsia="en-US" w:bidi="ar-SA"/>
        </w:rPr>
        <w:t xml:space="preserve">, </w:t>
      </w:r>
      <w:hyperlink r:id="rId851" w:history="1">
        <w:r>
          <w:rPr>
            <w:rFonts w:ascii="arial" w:eastAsia="arial" w:hAnsi="arial" w:cs="arial"/>
            <w:i/>
            <w:color w:val="0077CC"/>
            <w:sz w:val="20"/>
            <w:u w:val="single"/>
            <w:shd w:val="clear" w:color="auto" w:fill="FFFFFF"/>
            <w:lang w:val="en-US" w:eastAsia="en-US" w:bidi="ar-SA"/>
          </w:rPr>
          <w:t>[2008] 1 S.C.R. 190</w:t>
        </w:r>
      </w:hyperlink>
      <w:r>
        <w:rPr>
          <w:rFonts w:ascii="arial" w:eastAsia="arial" w:hAnsi="arial" w:cs="arial"/>
          <w:color w:val="000000"/>
          <w:sz w:val="20"/>
          <w:lang w:val="en-US" w:eastAsia="en-US" w:bidi="ar-SA"/>
        </w:rPr>
        <w:t>, moved away from the pragmatic and functional approach in determining the standard of review of an administrative tribunal's decision. The court reduced the standards of review analysis to just correctness and reasonableness, deleting the review standard of patent unreasonableness, and holding that the applicable standard of review would be determined by a standard of review analysis. Bastarache and LeBel JJ., for the majority, wrote at paras. 45-50: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 We therefore conclude that the two variants of reasonableness review should be collapsed into a single form of "reasonableness" review. The result is a system of judicial review comprising two standards - correctness and reasonableness. But the revised system cannot be expected to be simpler and more workable unless the concepts it employs are clearly defined.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What does this revised reasonableness standard mean? Reasonableness is one of the most widely used and yet most complex legal concepts. In any area of the law we turn our attention to, we find ourselves dealing with the reasonable, reasonableness or rationality. But what is a reasonable decision? How are reviewing courts to identify an unreasonable decision in the context of administrative law and, especially, of judicial review?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[47] Reasonableness is a deferential standard animated by the principle that underlies the development of the two previous standards of reasonableness: certain questions that come before administrative tribunals do not lend themselves to one specific, particular result. Instead, they may give rise to a number of possible, reasonable conclusions. Tribunals have a margin of appreciation within the range of acceptable and rational solutions. A court conducting a review for reasonableness inquires into the qualities that make a decision reasonable, referring both to the process of articulating the reasons and to outcomes. In judicial review, reasonableness is concerned mostly with the existence of justification, transparency and intelligibility within the decision-making process. But it is also concerned with whether the decision falls within a range of possible, acceptable outcomes which are defensible in respect of the facts and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[48] The move towards a single reasonableness standard does not pave the way for a more intrusive review by courts and does not represent a return to pre-</w:t>
      </w:r>
      <w:r>
        <w:rPr>
          <w:rFonts w:ascii="arial" w:eastAsia="arial" w:hAnsi="arial" w:cs="arial"/>
          <w:i/>
          <w:color w:val="000000"/>
          <w:sz w:val="20"/>
          <w:lang w:val="en-US" w:eastAsia="en-US" w:bidi="ar-SA"/>
        </w:rPr>
        <w:t>Southam</w:t>
      </w:r>
      <w:r>
        <w:rPr>
          <w:rFonts w:ascii="arial" w:eastAsia="arial" w:hAnsi="arial" w:cs="arial"/>
          <w:color w:val="000000"/>
          <w:sz w:val="20"/>
          <w:lang w:val="en-US" w:eastAsia="en-US" w:bidi="ar-SA"/>
        </w:rPr>
        <w:t xml:space="preserve"> formalism. In this respect, the concept of deference, so central to judicial review in administrative law, has perhaps been insufficiently explored in the case law. What does deference mean in this context? Deference is both an attitude of the court and a requirement of the law of judicial review. It does not mean that courts are subservient to the determinations of decision makers, or that courts must show blind reverence to their interpretations, or that they may be content to pay lip service to the concept of reasonableness review while in fact imposing their own view. Rather, deference imports respect for the decision-making process of adjudicative bodies with regard to both the facts and the law. The notion of deference "is rooted in part in a respect for governmental decisions to create administrative bodies with delegated powers" (</w:t>
      </w:r>
      <w:r>
        <w:rPr>
          <w:rFonts w:ascii="arial" w:eastAsia="arial" w:hAnsi="arial" w:cs="arial"/>
          <w:i/>
          <w:color w:val="000000"/>
          <w:sz w:val="20"/>
          <w:lang w:val="en-US" w:eastAsia="en-US" w:bidi="ar-SA"/>
        </w:rPr>
        <w:t>Mossop</w:t>
      </w:r>
      <w:r>
        <w:rPr>
          <w:rFonts w:ascii="arial" w:eastAsia="arial" w:hAnsi="arial" w:cs="arial"/>
          <w:color w:val="000000"/>
          <w:sz w:val="20"/>
          <w:lang w:val="en-US" w:eastAsia="en-US" w:bidi="ar-SA"/>
        </w:rPr>
        <w:t xml:space="preserve">, </w:t>
      </w:r>
      <w:hyperlink r:id="rId852" w:history="1">
        <w:r>
          <w:rPr>
            <w:rFonts w:ascii="arial" w:eastAsia="arial" w:hAnsi="arial" w:cs="arial"/>
            <w:i/>
            <w:color w:val="0077CC"/>
            <w:sz w:val="20"/>
            <w:u w:val="single"/>
            <w:shd w:val="clear" w:color="auto" w:fill="FFFFFF"/>
            <w:lang w:val="en-US" w:eastAsia="en-US" w:bidi="ar-SA"/>
          </w:rPr>
          <w:t>[1993] 1 S.C.R. 554</w:t>
        </w:r>
      </w:hyperlink>
      <w:r>
        <w:rPr>
          <w:rFonts w:ascii="arial" w:eastAsia="arial" w:hAnsi="arial" w:cs="arial"/>
          <w:color w:val="000000"/>
          <w:sz w:val="20"/>
          <w:lang w:val="en-US" w:eastAsia="en-US" w:bidi="ar-SA"/>
        </w:rPr>
        <w:t xml:space="preserve"> at p. 596,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L'Heureux-Dubé J., dissenting). We agree with David Dyzenhaus where he states that the concept of "deference as respect" requires of the courts "not submission but a respectful attention to the reasons offered or which could be offered in support of a decision": "The Politics of Deference: Judicial Review and Democracy", in M. Taggart, ed., </w:t>
      </w:r>
      <w:r>
        <w:rPr>
          <w:rFonts w:ascii="arial" w:eastAsia="arial" w:hAnsi="arial" w:cs="arial"/>
          <w:i/>
          <w:color w:val="000000"/>
          <w:sz w:val="20"/>
          <w:lang w:val="en-US" w:eastAsia="en-US" w:bidi="ar-SA"/>
        </w:rPr>
        <w:t>The Province of Administrative Law</w:t>
      </w:r>
      <w:r>
        <w:rPr>
          <w:rFonts w:ascii="arial" w:eastAsia="arial" w:hAnsi="arial" w:cs="arial"/>
          <w:color w:val="000000"/>
          <w:sz w:val="20"/>
          <w:lang w:val="en-US" w:eastAsia="en-US" w:bidi="ar-SA"/>
        </w:rPr>
        <w:t xml:space="preserve"> (1997), 279, at p. 286 (quoted with approval in </w:t>
      </w:r>
      <w:r>
        <w:rPr>
          <w:rFonts w:ascii="arial" w:eastAsia="arial" w:hAnsi="arial" w:cs="arial"/>
          <w:i/>
          <w:color w:val="000000"/>
          <w:sz w:val="20"/>
          <w:lang w:val="en-US" w:eastAsia="en-US" w:bidi="ar-SA"/>
        </w:rPr>
        <w:t>Baker</w:t>
      </w:r>
      <w:r>
        <w:rPr>
          <w:rFonts w:ascii="arial" w:eastAsia="arial" w:hAnsi="arial" w:cs="arial"/>
          <w:color w:val="000000"/>
          <w:sz w:val="20"/>
          <w:lang w:val="en-US" w:eastAsia="en-US" w:bidi="ar-SA"/>
        </w:rPr>
        <w:t xml:space="preserve">, </w:t>
      </w:r>
      <w:hyperlink r:id="rId853" w:history="1">
        <w:r>
          <w:rPr>
            <w:rFonts w:ascii="arial" w:eastAsia="arial" w:hAnsi="arial" w:cs="arial"/>
            <w:i/>
            <w:color w:val="0077CC"/>
            <w:sz w:val="20"/>
            <w:u w:val="single"/>
            <w:shd w:val="clear" w:color="auto" w:fill="FFFFFF"/>
            <w:lang w:val="en-US" w:eastAsia="en-US" w:bidi="ar-SA"/>
          </w:rPr>
          <w:t>[1999] 2 S.C.R. 817</w:t>
        </w:r>
      </w:hyperlink>
      <w:r>
        <w:rPr>
          <w:rFonts w:ascii="arial" w:eastAsia="arial" w:hAnsi="arial" w:cs="arial"/>
          <w:color w:val="000000"/>
          <w:sz w:val="20"/>
          <w:lang w:val="en-US" w:eastAsia="en-US" w:bidi="ar-SA"/>
        </w:rPr>
        <w:t xml:space="preserve"> at para. 65,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L'Heureux-Dubé J.; </w:t>
      </w:r>
      <w:r>
        <w:rPr>
          <w:rFonts w:ascii="arial" w:eastAsia="arial" w:hAnsi="arial" w:cs="arial"/>
          <w:i/>
          <w:color w:val="000000"/>
          <w:sz w:val="20"/>
          <w:lang w:val="en-US" w:eastAsia="en-US" w:bidi="ar-SA"/>
        </w:rPr>
        <w:t>Ryan</w:t>
      </w:r>
      <w:r>
        <w:rPr>
          <w:rFonts w:ascii="arial" w:eastAsia="arial" w:hAnsi="arial" w:cs="arial"/>
          <w:color w:val="000000"/>
          <w:sz w:val="20"/>
          <w:lang w:val="en-US" w:eastAsia="en-US" w:bidi="ar-SA"/>
        </w:rPr>
        <w:t xml:space="preserve">, </w:t>
      </w:r>
      <w:hyperlink r:id="rId854" w:history="1">
        <w:r>
          <w:rPr>
            <w:rFonts w:ascii="arial" w:eastAsia="arial" w:hAnsi="arial" w:cs="arial"/>
            <w:i/>
            <w:color w:val="0077CC"/>
            <w:sz w:val="20"/>
            <w:u w:val="single"/>
            <w:shd w:val="clear" w:color="auto" w:fill="FFFFFF"/>
            <w:lang w:val="en-US" w:eastAsia="en-US" w:bidi="ar-SA"/>
          </w:rPr>
          <w:t>[2003] 1 S.C.R. 247</w:t>
        </w:r>
      </w:hyperlink>
      <w:r>
        <w:rPr>
          <w:rFonts w:ascii="arial" w:eastAsia="arial" w:hAnsi="arial" w:cs="arial"/>
          <w:color w:val="000000"/>
          <w:sz w:val="20"/>
          <w:lang w:val="en-US" w:eastAsia="en-US" w:bidi="ar-SA"/>
        </w:rPr>
        <w:t xml:space="preserve"> at para. 49).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Deference in the context of the reasonableness standard therefore implies that courts will give due consideration to the determinations of decision makers. As Mullan explains, a policy of deference "recognizes the reality that, in many instances, those working day to day in the implementation of frequently complex administrative schemes have or will develop a considerable degree of expertise or field sensitivity to the imperatives and nuances of the legislative regime": D. J. Mullan, "Establishing the Standard of Review: The Struggle for Complexity?" (2004), 17 </w:t>
      </w:r>
      <w:r>
        <w:rPr>
          <w:rFonts w:ascii="arial" w:eastAsia="arial" w:hAnsi="arial" w:cs="arial"/>
          <w:i/>
          <w:color w:val="000000"/>
          <w:sz w:val="20"/>
          <w:lang w:val="en-US" w:eastAsia="en-US" w:bidi="ar-SA"/>
        </w:rPr>
        <w:t>C.J.A.L.P.</w:t>
      </w:r>
      <w:r>
        <w:rPr>
          <w:rFonts w:ascii="arial" w:eastAsia="arial" w:hAnsi="arial" w:cs="arial"/>
          <w:color w:val="000000"/>
          <w:sz w:val="20"/>
          <w:lang w:val="en-US" w:eastAsia="en-US" w:bidi="ar-SA"/>
        </w:rPr>
        <w:t xml:space="preserve"> 59, at p. 93. In short, deference requires respect for the legislative choices to leave some matters in the hands of administrative decision makers, for the processes and determinations that draw on particular expertise and experiences, and for the different roles of the courts and administrative bodies within the Canadian constitutional system.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 As important as it is that courts have a proper understanding of reasonableness review as a deferential standard, it is also without question that the standard of correctness must be maintained in respect of jurisdictional and some other questions of law. This promotes just decisions and avoids inconsistent and unauthorized application of law. When applying the correctness standard, a reviewing court will not show deference to the decision maker's reasoning process; it will rather undertake its own analysis of the question. The analysis will bring the court to decide whether it agrees with the determination of the decision maker; if not, the court will substitute its own view and provide the correct answer. From the outset, the court must ask whether the tribunal's decision was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Bastarache and LeBel JJ. summarized the approach to the determination of the standard of review at paras. 62 to 64: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[62] In summary, the process of judicial review involves two steps. First, courts ascertain whether the jurisprudence has already determined in a satisfactory manner the degree of deference to be accorded with regard to a particular category of question. Second, where the first inquiry proves unfruitful, courts must proceed to an analysis of the factors making it possible to identify the proper standard of review.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[63] The existing approach to determining the appropriate standard of review has commonly been referred to as "pragmatic and functional". That name is unimportant. Reviewing courts must not get fixated on the label at the expense of a proper understanding of what the inquiry actually entails. Because the phrase "pragmatic and functional approach" may have misguided courts in the past, we prefer to refer simply to the "standard of review analysis" in the future.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[64] The analysis must be contextual. As mentioned above, it is dependent on the application of a number of relevant factors, including: (1) the presence or absence of a privative clause; (2) the purpose of the tribunal as determined by interpretation of enabling legislation; (3) the nature of the question at issue, and; (4) the expertise of the tribunal. In many cases, it will not be necessary to consider all of the factors, as some of them may be determinative in the application of the reasonableness standard in a specific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Dunsmuir</w:t>
      </w:r>
      <w:r>
        <w:rPr>
          <w:rFonts w:ascii="arial" w:eastAsia="arial" w:hAnsi="arial" w:cs="arial"/>
          <w:color w:val="000000"/>
          <w:sz w:val="20"/>
          <w:lang w:val="en-US" w:eastAsia="en-US" w:bidi="ar-SA"/>
        </w:rPr>
        <w:t xml:space="preserve"> has altered the approach to standards of review from that utilized by Major J. in </w:t>
      </w:r>
      <w:r>
        <w:rPr>
          <w:rFonts w:ascii="arial" w:eastAsia="arial" w:hAnsi="arial" w:cs="arial"/>
          <w:b/>
          <w:i/>
          <w:color w:val="000000"/>
          <w:sz w:val="20"/>
          <w:lang w:val="en-US" w:eastAsia="en-US" w:bidi="ar-SA"/>
        </w:rPr>
        <w:t>Nanaimo</w:t>
      </w:r>
      <w:r>
        <w:rPr>
          <w:rFonts w:ascii="arial" w:eastAsia="arial" w:hAnsi="arial" w:cs="arial"/>
          <w:color w:val="000000"/>
          <w:sz w:val="20"/>
          <w:lang w:val="en-US" w:eastAsia="en-US" w:bidi="ar-SA"/>
        </w:rPr>
        <w:t xml:space="preserve">, who found harmony in applying the pragmatic and functional approach in ascertaining the standard of review to municipalities exercising an adjudicative function. I conclude that similar harmony can be found in utilizing the standards of review analysis expressed in </w:t>
      </w:r>
      <w:r>
        <w:rPr>
          <w:rFonts w:ascii="arial" w:eastAsia="arial" w:hAnsi="arial" w:cs="arial"/>
          <w:b/>
          <w:i/>
          <w:color w:val="000000"/>
          <w:sz w:val="20"/>
          <w:lang w:val="en-US" w:eastAsia="en-US" w:bidi="ar-SA"/>
        </w:rPr>
        <w:t>Dunsmuir</w:t>
      </w:r>
      <w:r>
        <w:rPr>
          <w:rFonts w:ascii="arial" w:eastAsia="arial" w:hAnsi="arial" w:cs="arial"/>
          <w:color w:val="000000"/>
          <w:sz w:val="20"/>
          <w:lang w:val="en-US" w:eastAsia="en-US" w:bidi="ar-SA"/>
        </w:rPr>
        <w:t xml:space="preserve"> when considering situations such as in the instant case involving Vernon's city council exercise of an adjudicative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Nanaimo</w:t>
      </w:r>
      <w:r>
        <w:rPr>
          <w:rFonts w:ascii="arial" w:eastAsia="arial" w:hAnsi="arial" w:cs="arial"/>
          <w:color w:val="000000"/>
          <w:sz w:val="20"/>
          <w:lang w:val="en-US" w:eastAsia="en-US" w:bidi="ar-SA"/>
        </w:rPr>
        <w:t xml:space="preserve">, Major J. held that the municipal council applied principles of statutory interpretation in order to answer questions concerning the scope of its authority granted under s. 936 of the </w:t>
      </w:r>
      <w:r>
        <w:rPr>
          <w:rFonts w:ascii="arial" w:eastAsia="arial" w:hAnsi="arial" w:cs="arial"/>
          <w:b/>
          <w:i/>
          <w:color w:val="000000"/>
          <w:sz w:val="20"/>
          <w:lang w:val="en-US" w:eastAsia="en-US" w:bidi="ar-SA"/>
        </w:rPr>
        <w:t>Municipal Act</w:t>
      </w:r>
      <w:r>
        <w:rPr>
          <w:rFonts w:ascii="arial" w:eastAsia="arial" w:hAnsi="arial" w:cs="arial"/>
          <w:color w:val="000000"/>
          <w:sz w:val="20"/>
          <w:lang w:val="en-US" w:eastAsia="en-US" w:bidi="ar-SA"/>
        </w:rPr>
        <w:t>, stating at para.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such questions, municipalities do not possess any greater institutional competence or expertise than the courts so as to warrant a heightened degree of deference on review. The test on jurisdiction and questions of law is correctness.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 do not intend to go any further than </w:t>
      </w:r>
      <w:r>
        <w:rPr>
          <w:rFonts w:ascii="arial" w:eastAsia="arial" w:hAnsi="arial" w:cs="arial"/>
          <w:b/>
          <w:i/>
          <w:color w:val="000000"/>
          <w:sz w:val="20"/>
          <w:lang w:val="en-US" w:eastAsia="en-US" w:bidi="ar-SA"/>
        </w:rPr>
        <w:t>Nanaimo</w:t>
      </w:r>
      <w:r>
        <w:rPr>
          <w:rFonts w:ascii="arial" w:eastAsia="arial" w:hAnsi="arial" w:cs="arial"/>
          <w:color w:val="000000"/>
          <w:sz w:val="20"/>
          <w:lang w:val="en-US" w:eastAsia="en-US" w:bidi="ar-SA"/>
        </w:rPr>
        <w:t xml:space="preserve">to find that on questions relating to jurisdiction in the instant case the standard of review is correctness. Given the provisions of the </w:t>
      </w:r>
      <w:r>
        <w:rPr>
          <w:rFonts w:ascii="arial" w:eastAsia="arial" w:hAnsi="arial" w:cs="arial"/>
          <w:b/>
          <w:i/>
          <w:color w:val="000000"/>
          <w:sz w:val="20"/>
          <w:lang w:val="en-US" w:eastAsia="en-US" w:bidi="ar-SA"/>
        </w:rPr>
        <w:t>Community Charter</w:t>
      </w:r>
      <w:r>
        <w:rPr>
          <w:rFonts w:ascii="arial" w:eastAsia="arial" w:hAnsi="arial" w:cs="arial"/>
          <w:color w:val="000000"/>
          <w:sz w:val="20"/>
          <w:lang w:val="en-US" w:eastAsia="en-US" w:bidi="ar-SA"/>
        </w:rPr>
        <w:t xml:space="preserve"> referred to above, ss. 72, 74, 76, 77 and 78, I conclude that the City's council correctly construed its jurisdiction to issues resolutions declaring Sengottas' fire-damaged building a nuisance and to order its removal.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Nanaimo</w:t>
      </w:r>
      <w:r>
        <w:rPr>
          <w:rFonts w:ascii="arial" w:eastAsia="arial" w:hAnsi="arial" w:cs="arial"/>
          <w:color w:val="000000"/>
          <w:sz w:val="20"/>
          <w:lang w:val="en-US" w:eastAsia="en-US" w:bidi="ar-SA"/>
        </w:rPr>
        <w:t xml:space="preserve">, Major J., after finding that the city council acted within its jurisdiction in passing the resolutions at issue, considered the standard upon which the courts may review those </w:t>
      </w:r>
      <w:r>
        <w:rPr>
          <w:rFonts w:ascii="arial" w:eastAsia="arial" w:hAnsi="arial" w:cs="arial"/>
          <w:i/>
          <w:color w:val="000000"/>
          <w:sz w:val="20"/>
          <w:lang w:val="en-US" w:eastAsia="en-US" w:bidi="ar-SA"/>
        </w:rPr>
        <w:t>intra vires</w:t>
      </w:r>
      <w:r>
        <w:rPr>
          <w:rFonts w:ascii="arial" w:eastAsia="arial" w:hAnsi="arial" w:cs="arial"/>
          <w:color w:val="000000"/>
          <w:sz w:val="20"/>
          <w:lang w:val="en-US" w:eastAsia="en-US" w:bidi="ar-SA"/>
        </w:rPr>
        <w:t xml:space="preserve"> municipal decisions, wrote at para. 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Municipal councillors are elected by the constituents they represent and as such are more conversant with the exigencies of their community than are the courts. The fact that municipal councils are elected representatives of their community, and accountable to their constituents, is relevant in scrutinizing </w:t>
      </w:r>
      <w:r>
        <w:rPr>
          <w:rFonts w:ascii="arial" w:eastAsia="arial" w:hAnsi="arial" w:cs="arial"/>
          <w:i/>
          <w:color w:val="000000"/>
          <w:sz w:val="20"/>
          <w:lang w:val="en-US" w:eastAsia="en-US" w:bidi="ar-SA"/>
        </w:rPr>
        <w:t>intra vires</w:t>
      </w:r>
      <w:r>
        <w:rPr>
          <w:rFonts w:ascii="arial" w:eastAsia="arial" w:hAnsi="arial" w:cs="arial"/>
          <w:color w:val="000000"/>
          <w:sz w:val="20"/>
          <w:lang w:val="en-US" w:eastAsia="en-US" w:bidi="ar-SA"/>
        </w:rPr>
        <w:t xml:space="preserve"> decisions. The reality that municipalities often balance complex and divergent interests in arriving at decisions in the public interest is of similar importance. In short, these considerations warrant that the </w:t>
      </w:r>
      <w:r>
        <w:rPr>
          <w:rFonts w:ascii="arial" w:eastAsia="arial" w:hAnsi="arial" w:cs="arial"/>
          <w:i/>
          <w:color w:val="000000"/>
          <w:sz w:val="20"/>
          <w:lang w:val="en-US" w:eastAsia="en-US" w:bidi="ar-SA"/>
        </w:rPr>
        <w:t>intra vires</w:t>
      </w:r>
      <w:r>
        <w:rPr>
          <w:rFonts w:ascii="arial" w:eastAsia="arial" w:hAnsi="arial" w:cs="arial"/>
          <w:color w:val="000000"/>
          <w:sz w:val="20"/>
          <w:lang w:val="en-US" w:eastAsia="en-US" w:bidi="ar-SA"/>
        </w:rPr>
        <w:t xml:space="preserve"> decisions of municipalities be reviewed upon a deferential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Although Major J. held that the review of </w:t>
      </w:r>
      <w:r>
        <w:rPr>
          <w:rFonts w:ascii="arial" w:eastAsia="arial" w:hAnsi="arial" w:cs="arial"/>
          <w:i/>
          <w:color w:val="000000"/>
          <w:sz w:val="20"/>
          <w:lang w:val="en-US" w:eastAsia="en-US" w:bidi="ar-SA"/>
        </w:rPr>
        <w:t>intra vires</w:t>
      </w:r>
      <w:r>
        <w:rPr>
          <w:rFonts w:ascii="arial" w:eastAsia="arial" w:hAnsi="arial" w:cs="arial"/>
          <w:color w:val="000000"/>
          <w:sz w:val="20"/>
          <w:lang w:val="en-US" w:eastAsia="en-US" w:bidi="ar-SA"/>
        </w:rPr>
        <w:t xml:space="preserve"> municipal decisions should be one of patently unreasonableness, the demise at common law of the standard of patently unreasonableness as determined in </w:t>
      </w:r>
      <w:r>
        <w:rPr>
          <w:rFonts w:ascii="arial" w:eastAsia="arial" w:hAnsi="arial" w:cs="arial"/>
          <w:b/>
          <w:i/>
          <w:color w:val="000000"/>
          <w:sz w:val="20"/>
          <w:lang w:val="en-US" w:eastAsia="en-US" w:bidi="ar-SA"/>
        </w:rPr>
        <w:t>Dunsmuir</w:t>
      </w:r>
      <w:r>
        <w:rPr>
          <w:rFonts w:ascii="arial" w:eastAsia="arial" w:hAnsi="arial" w:cs="arial"/>
          <w:color w:val="000000"/>
          <w:sz w:val="20"/>
          <w:lang w:val="en-US" w:eastAsia="en-US" w:bidi="ar-SA"/>
        </w:rPr>
        <w:t xml:space="preserve"> leads me to conclude that the appropriate standard of review with respect to the decisions of the City's council involved in the instant case should be that of reasonableness. That standard of deference, to paraphrase </w:t>
      </w:r>
      <w:r>
        <w:rPr>
          <w:rFonts w:ascii="arial" w:eastAsia="arial" w:hAnsi="arial" w:cs="arial"/>
          <w:b/>
          <w:i/>
          <w:color w:val="000000"/>
          <w:sz w:val="20"/>
          <w:lang w:val="en-US" w:eastAsia="en-US" w:bidi="ar-SA"/>
        </w:rPr>
        <w:t>Dunsmuir</w:t>
      </w:r>
      <w:r>
        <w:rPr>
          <w:rFonts w:ascii="arial" w:eastAsia="arial" w:hAnsi="arial" w:cs="arial"/>
          <w:color w:val="000000"/>
          <w:sz w:val="20"/>
          <w:lang w:val="en-US" w:eastAsia="en-US" w:bidi="ar-SA"/>
        </w:rPr>
        <w:t>, requires from this court respect for the legislative choices to leave some matters in the hands of elected municipal decision makers, for the processes and determinations that draw on their particular expertise and experience, and for the different roles of the courts and elected municipal bodies within the Canadian constitutional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question then turns to whether the City's council decision to declare the fire-damaged building located on the Sengottas' property a nuisance was reasonable. The Sengottas submit that there was a complete lack of evidence upon which the city council could conclude that the fire-damaged building was a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do not concur with the Sengottas' submission that there was a complete lack of evidence before city council. As noted earlier there had been two complaints about the appearance of the fire-damaged building. In addition, the City had an ongoing concern about certain properties in Vernon which, because of their appearance, or maintenance or lack of maintenance, attracted the attention of city officials. The City's concern is reflected in Mr. Martens' April 22, 2002 report on such properties in which he advised council with respect to five properties attracting the involvement of the City's enforcement staff, those properties including the Sengottas' property upon which was located the fire-damaged building as well as two lots owned by RMTL, but separate from the Sengottas' property. Mr. Martens prepared the latter report in response to the topic being raised by city council at its April 8, 2002 in camera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addition, city council had, as part of its Strategic Plan, the objectives of ensuring Vernon was a safe community, an attractive business destination, and a goal of community beautification as noted in Mr. Martens' April 2004 report to city council preceding the May 2004 resolution regarding the fire-damaged building. In the six years following the 1998 fire, some work was done to clean up the damaged building, but essentially the building remained as it had after the fire, appearing, as noted by Bill Sengotta, as "simply not the most aesthetically pleasing building to look 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reaching my conclusion, I note the case of </w:t>
      </w:r>
      <w:r>
        <w:rPr>
          <w:rFonts w:ascii="arial" w:eastAsia="arial" w:hAnsi="arial" w:cs="arial"/>
          <w:b/>
          <w:i/>
          <w:color w:val="000000"/>
          <w:sz w:val="20"/>
          <w:lang w:val="en-US" w:eastAsia="en-US" w:bidi="ar-SA"/>
        </w:rPr>
        <w:t>Kruse v. Johnson</w:t>
      </w:r>
      <w:r>
        <w:rPr>
          <w:rFonts w:ascii="arial" w:eastAsia="arial" w:hAnsi="arial" w:cs="arial"/>
          <w:color w:val="000000"/>
          <w:sz w:val="20"/>
          <w:lang w:val="en-US" w:eastAsia="en-US" w:bidi="ar-SA"/>
        </w:rPr>
        <w:t xml:space="preserve">, [1898] 2 Q.B. 91 (Eng. Div. Ct.) cited with approval by Major J. in </w:t>
      </w:r>
      <w:r>
        <w:rPr>
          <w:rFonts w:ascii="arial" w:eastAsia="arial" w:hAnsi="arial" w:cs="arial"/>
          <w:b/>
          <w:i/>
          <w:color w:val="000000"/>
          <w:sz w:val="20"/>
          <w:lang w:val="en-US" w:eastAsia="en-US" w:bidi="ar-SA"/>
        </w:rPr>
        <w:t>Nanaimo</w:t>
      </w:r>
      <w:r>
        <w:rPr>
          <w:rFonts w:ascii="arial" w:eastAsia="arial" w:hAnsi="arial" w:cs="arial"/>
          <w:color w:val="000000"/>
          <w:sz w:val="20"/>
          <w:lang w:val="en-US" w:eastAsia="en-US" w:bidi="ar-SA"/>
        </w:rPr>
        <w:t xml:space="preserve"> at para. 36 in which Lord Russell of Killowen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Surely it is not too much to say that in matters which directly and mainly concern the people of the county, who have the right to choose those whom they think best fitted to represent them in the local government bodies, such representatives may be trusted to understand their own requirements better than judges.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conclude that the decision of the City's council in passing the resolutions of May 10 and June 14, 2004 was reasonable in the circumstances and a decision to which this court should defer given the council's knowledge and experience with respect to its community's needs and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Procedural Grounds Why the June 14, 2004 Resolution is Invalid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Sengottas submit that the City's June 14, 2004 resolution ordering the removal of the fire-damaged building dramatically interferes with vested property rights, that the affected party is entitled to notice and an opportunity to be heard, and that the failure to give notice and the opportunity to be heard invalidates the resolution. The Sengottas rely on </w:t>
      </w:r>
      <w:r>
        <w:rPr>
          <w:rFonts w:ascii="arial" w:eastAsia="arial" w:hAnsi="arial" w:cs="arial"/>
          <w:b/>
          <w:i/>
          <w:color w:val="000000"/>
          <w:sz w:val="20"/>
          <w:lang w:val="en-US" w:eastAsia="en-US" w:bidi="ar-SA"/>
        </w:rPr>
        <w:t>Vancouver (City) v. Jaminer</w:t>
      </w:r>
      <w:r>
        <w:rPr>
          <w:rFonts w:ascii="arial" w:eastAsia="arial" w:hAnsi="arial" w:cs="arial"/>
          <w:color w:val="000000"/>
          <w:sz w:val="20"/>
          <w:lang w:val="en-US" w:eastAsia="en-US" w:bidi="ar-SA"/>
        </w:rPr>
        <w:t xml:space="preserve">, </w:t>
      </w:r>
      <w:hyperlink r:id="rId855" w:history="1">
        <w:r>
          <w:rPr>
            <w:rFonts w:ascii="arial" w:eastAsia="arial" w:hAnsi="arial" w:cs="arial"/>
            <w:i/>
            <w:color w:val="0077CC"/>
            <w:sz w:val="20"/>
            <w:u w:val="single"/>
            <w:shd w:val="clear" w:color="auto" w:fill="FFFFFF"/>
            <w:lang w:val="en-US" w:eastAsia="en-US" w:bidi="ar-SA"/>
          </w:rPr>
          <w:t>[1999] B.C.J. No. 2843</w:t>
        </w:r>
      </w:hyperlink>
      <w:r>
        <w:rPr>
          <w:rFonts w:ascii="arial" w:eastAsia="arial" w:hAnsi="arial" w:cs="arial"/>
          <w:color w:val="000000"/>
          <w:sz w:val="20"/>
          <w:lang w:val="en-US" w:eastAsia="en-US" w:bidi="ar-SA"/>
        </w:rPr>
        <w:t xml:space="preserve"> (S.C.), aff'd at </w:t>
      </w:r>
      <w:hyperlink r:id="rId856" w:history="1">
        <w:r>
          <w:rPr>
            <w:rFonts w:ascii="arial" w:eastAsia="arial" w:hAnsi="arial" w:cs="arial"/>
            <w:i/>
            <w:color w:val="0077CC"/>
            <w:sz w:val="20"/>
            <w:u w:val="single"/>
            <w:shd w:val="clear" w:color="auto" w:fill="FFFFFF"/>
            <w:lang w:val="en-US" w:eastAsia="en-US" w:bidi="ar-SA"/>
          </w:rPr>
          <w:t>2001 BCCA 240</w:t>
        </w:r>
      </w:hyperlink>
      <w:r>
        <w:rPr>
          <w:rFonts w:ascii="arial" w:eastAsia="arial" w:hAnsi="arial" w:cs="arial"/>
          <w:color w:val="000000"/>
          <w:sz w:val="20"/>
          <w:lang w:val="en-US" w:eastAsia="en-US" w:bidi="ar-SA"/>
        </w:rPr>
        <w:t xml:space="preserve">, a case in which the City sought a mandatory injunction to remove an advertising sign from a building owned by the defendants. The City had passed a bylaw prohibiting such signs and enacted a resolution directed against the defendants to remove the advertising sign. The defendants submitted that the bylaw was invalid as it offended their freedom of expression under the </w:t>
      </w:r>
      <w:r>
        <w:rPr>
          <w:rFonts w:ascii="arial" w:eastAsia="arial" w:hAnsi="arial" w:cs="arial"/>
          <w:b/>
          <w:i/>
          <w:color w:val="000000"/>
          <w:sz w:val="20"/>
          <w:lang w:val="en-US" w:eastAsia="en-US" w:bidi="ar-SA"/>
        </w:rPr>
        <w:t>Canadian Charter of Rights and Freedoms</w:t>
      </w:r>
      <w:r>
        <w:rPr>
          <w:rFonts w:ascii="arial" w:eastAsia="arial" w:hAnsi="arial" w:cs="arial"/>
          <w:color w:val="000000"/>
          <w:sz w:val="20"/>
          <w:lang w:val="en-US" w:eastAsia="en-US" w:bidi="ar-SA"/>
        </w:rPr>
        <w:t>, ss. 1, 2(b) and, further, that the resolution was invalid as the City had failed to give them notice of the resolution or an opportunity to be heard before it was passed.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the initial decision, Lowry J. (now J.A.) acknowledged that the statutory scheme found in the </w:t>
      </w:r>
      <w:r>
        <w:rPr>
          <w:rFonts w:ascii="arial" w:eastAsia="arial" w:hAnsi="arial" w:cs="arial"/>
          <w:b/>
          <w:i/>
          <w:color w:val="000000"/>
          <w:sz w:val="20"/>
          <w:lang w:val="en-US" w:eastAsia="en-US" w:bidi="ar-SA"/>
        </w:rPr>
        <w:t>Vancouver Charter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1953, c. 55</w:t>
      </w:r>
      <w:r>
        <w:rPr>
          <w:rFonts w:ascii="arial" w:eastAsia="arial" w:hAnsi="arial" w:cs="arial"/>
          <w:color w:val="000000"/>
          <w:sz w:val="20"/>
          <w:lang w:val="en-US" w:eastAsia="en-US" w:bidi="ar-SA"/>
        </w:rPr>
        <w:t>, under which the City of Vancouver operated, did not necessarily require Vancouver to give notice to the defendants, even though the city's decision as found in the resolution was final and there could be no appeal. However, he concluded that there was a common law duty of natural justice and procedural fairness which required that notice be given to the defendants and that an opportunity be given for them to be heard. In the result, Lowry J. found the resolution was not validly passed in the absence of notice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difference in the instant case is found in ss. 77 and 78 of the </w:t>
      </w:r>
      <w:r>
        <w:rPr>
          <w:rFonts w:ascii="arial" w:eastAsia="arial" w:hAnsi="arial" w:cs="arial"/>
          <w:b/>
          <w:i/>
          <w:color w:val="000000"/>
          <w:sz w:val="20"/>
          <w:lang w:val="en-US" w:eastAsia="en-US" w:bidi="ar-SA"/>
        </w:rPr>
        <w:t>Community Charter</w:t>
      </w:r>
      <w:r>
        <w:rPr>
          <w:rFonts w:ascii="arial" w:eastAsia="arial" w:hAnsi="arial" w:cs="arial"/>
          <w:color w:val="000000"/>
          <w:sz w:val="20"/>
          <w:lang w:val="en-US" w:eastAsia="en-US" w:bidi="ar-SA"/>
        </w:rPr>
        <w:t>, which permits an individual affected by a resolution involving a remedial action requirement to request a reconsideration of the resolution. The Sengottas submit that the reconsideration process does not meet the common law duty of procedural fairness, asserting that by the time of the reconsideration the City's council has already made a decision and is less likely to undo the previous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Implicit within the latter submission, which is at best speculative, is that the council members in a reconsideration application will not act in a fair and open-minded fashion with respect to the reconsideration matter. The submission assumes that councillors will fail to carry out the oath of office they provided when they took office as required in s. 120 of the </w:t>
      </w:r>
      <w:r>
        <w:rPr>
          <w:rFonts w:ascii="arial" w:eastAsia="arial" w:hAnsi="arial" w:cs="arial"/>
          <w:b/>
          <w:i/>
          <w:color w:val="000000"/>
          <w:sz w:val="20"/>
          <w:lang w:val="en-US" w:eastAsia="en-US" w:bidi="ar-SA"/>
        </w:rPr>
        <w:t>Community Charter</w:t>
      </w:r>
      <w:r>
        <w:rPr>
          <w:rFonts w:ascii="arial" w:eastAsia="arial" w:hAnsi="arial" w:cs="arial"/>
          <w:color w:val="000000"/>
          <w:sz w:val="20"/>
          <w:lang w:val="en-US" w:eastAsia="en-US" w:bidi="ar-SA"/>
        </w:rPr>
        <w:t xml:space="preserve"> and forsake their responsibilities found in s. 115 of the </w:t>
      </w:r>
      <w:r>
        <w:rPr>
          <w:rFonts w:ascii="arial" w:eastAsia="arial" w:hAnsi="arial" w:cs="arial"/>
          <w:b/>
          <w:i/>
          <w:color w:val="000000"/>
          <w:sz w:val="20"/>
          <w:lang w:val="en-US" w:eastAsia="en-US" w:bidi="ar-SA"/>
        </w:rPr>
        <w:t>Community Charter</w:t>
      </w:r>
      <w:r>
        <w:rPr>
          <w:rFonts w:ascii="arial" w:eastAsia="arial" w:hAnsi="arial" w:cs="arial"/>
          <w:color w:val="000000"/>
          <w:sz w:val="20"/>
          <w:lang w:val="en-US" w:eastAsia="en-US" w:bidi="ar-SA"/>
        </w:rPr>
        <w:t xml:space="preserve"> to consider the well-being and interests of the municipality.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 am not prepared to conclude that Vernon's councillors will participate in a reconsideration application with a preconceived conclusion with respect to the outcome based on council's earlier passage of the resolution. I find that the reconsideration provisions of the </w:t>
      </w:r>
      <w:r>
        <w:rPr>
          <w:rFonts w:ascii="arial" w:eastAsia="arial" w:hAnsi="arial" w:cs="arial"/>
          <w:b/>
          <w:i/>
          <w:color w:val="000000"/>
          <w:sz w:val="20"/>
          <w:lang w:val="en-US" w:eastAsia="en-US" w:bidi="ar-SA"/>
        </w:rPr>
        <w:t>Community Charter</w:t>
      </w:r>
      <w:r>
        <w:rPr>
          <w:rFonts w:ascii="arial" w:eastAsia="arial" w:hAnsi="arial" w:cs="arial"/>
          <w:color w:val="000000"/>
          <w:sz w:val="20"/>
          <w:lang w:val="en-US" w:eastAsia="en-US" w:bidi="ar-SA"/>
        </w:rPr>
        <w:t xml:space="preserve"> provide the party affected with an opportunity to be heard and respond to the resolution.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Sengottas further submit that they did not receive notice from the City as required by s. 77(3) of the </w:t>
      </w:r>
      <w:r>
        <w:rPr>
          <w:rFonts w:ascii="arial" w:eastAsia="arial" w:hAnsi="arial" w:cs="arial"/>
          <w:b/>
          <w:i/>
          <w:color w:val="000000"/>
          <w:sz w:val="20"/>
          <w:lang w:val="en-US" w:eastAsia="en-US" w:bidi="ar-SA"/>
        </w:rPr>
        <w:t>Community Charter</w:t>
      </w:r>
      <w:r>
        <w:rPr>
          <w:rFonts w:ascii="arial" w:eastAsia="arial" w:hAnsi="arial" w:cs="arial"/>
          <w:color w:val="000000"/>
          <w:sz w:val="20"/>
          <w:lang w:val="en-US" w:eastAsia="en-US" w:bidi="ar-SA"/>
        </w:rPr>
        <w:t xml:space="preserve">, which allowed them to apply for a reconsideration of the May 10, 2004 resolution. However, the City's Ms. Blakely, in her letter of December 13, 2006, attached copies of the May 10 and June 14, 2004 resolutions, the City's letter of June 16, 2004 referring to the reconsideration provisions, and ss. 17 and 77 of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the latter describing the Sengottas' statutory right to a reconsideration. I am satisfied that the City's correspondence of December 13, 2006 in its totality effectively provided the Sengottas with notice of the May 10 and June 14, 2004 resolutions, the remedial action requirement and their right to apply for a reconsideration.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Sengottas further submit that the May 10, 2004 resolution was passed by city council on the basis of several incorrect assumptions made by council thus invalidating the resolution. The Sengottas submit that council was incorrectly told that they, the property owners, had been advised of the February 10, 2003 removal order and did not comply with it, referring, I understand, to Mr. Martens' report to council of April 30, 2004. Neither the Sengottas, nor the charge holders, nor the occupiers of the property had been advised of the 2003 resolution as required. However, what had or had not occurred with respect to the February 10, 2003 resolution was not the question before the council on May 10, 2004. The council at the latter meeting were dealing with a resolution similar to but separate from that which had been passed on February 10, 2003 and while Mr. Martens' report erred in advising that the Sengottas had been served, it correctly advised that the city had failed to serve others who should have been served. Mr. Marten certainly erred, but not in a manner such as to invalidate the May 10, 2004 resolution.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Sengottas assert that further substantive grounds for invalidating the May 10, 2003 resolution lie in the failure to tell council that it was required to determine that the fire-damaged building was so dilapidated or unclean as to be offensive to the community. In the absence of any evidence or opinion to this effect, the Sengottas say the council assumed this to be the case. The Sengottas also contend that council incorrectly assumed that evidence of some sort of public impact existed and it was told there must be evidence to prove some sort of public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These two submissions advanced by the Sengottas appear to be a return to the question of whether the City council's decision that the Sengottas' fire-damaged building was a nuisance and whether the decision could survive based on the standard of review of reasonableness. That question earlier in these reasons led to the consideration of the judgment of Major J. in </w:t>
      </w:r>
      <w:r>
        <w:rPr>
          <w:rFonts w:ascii="arial" w:eastAsia="arial" w:hAnsi="arial" w:cs="arial"/>
          <w:b/>
          <w:i/>
          <w:color w:val="000000"/>
          <w:sz w:val="20"/>
          <w:lang w:val="en-US" w:eastAsia="en-US" w:bidi="ar-SA"/>
        </w:rPr>
        <w:t>Nanaimo</w:t>
      </w:r>
      <w:r>
        <w:rPr>
          <w:rFonts w:ascii="arial" w:eastAsia="arial" w:hAnsi="arial" w:cs="arial"/>
          <w:color w:val="000000"/>
          <w:sz w:val="20"/>
          <w:lang w:val="en-US" w:eastAsia="en-US" w:bidi="ar-SA"/>
        </w:rPr>
        <w:t xml:space="preserve"> from which I found that council's decision that the fire-damaged building was a nuisance met the standard of reasonableness. The Sengottas now suggest that the council made certain assumptions unsupported by evidence in reaching their conclusion that the fire-damaged building was a nuisance. However, there is no evidence to establish that the council acted on the assumptions and I am not prepared to give any weight to the Sengottas' submissions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 on Vernon's Petition: File No. 39623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the result I find that the May 10 and June 14, 2004 resolutions are valid and enforceable. The City is entitled to the relief sought in its petition, specifically the enforcement of the resolutions and the removal of the fire-damaged building on the Sengottas'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City has been successful in its application and accordingly will have its costs with respect to the petition File No. 39623.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Rule 18A Summary Trial: Action No. 36707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City brings this motion for a summary trial pursuant to Rule 18A of the </w:t>
      </w:r>
      <w:r>
        <w:rPr>
          <w:rFonts w:ascii="arial" w:eastAsia="arial" w:hAnsi="arial" w:cs="arial"/>
          <w:b/>
          <w:i/>
          <w:color w:val="000000"/>
          <w:sz w:val="20"/>
          <w:lang w:val="en-US" w:eastAsia="en-US" w:bidi="ar-SA"/>
        </w:rPr>
        <w:t>Rules,</w:t>
      </w:r>
      <w:r>
        <w:rPr>
          <w:rFonts w:ascii="arial" w:eastAsia="arial" w:hAnsi="arial" w:cs="arial"/>
          <w:color w:val="000000"/>
          <w:sz w:val="20"/>
          <w:lang w:val="en-US" w:eastAsia="en-US" w:bidi="ar-SA"/>
        </w:rPr>
        <w:t xml:space="preserve"> for an order dismissing the claims brought by the Sengottas and RMTL (the "plaintiffs") for an injunction against Cornelius Martens, the City's chief building inspector. The plaintiffs brought their action against the City and Mr. Martens (the "defendants"), alleging that various resolutions passed by city council were unlawful and illegal and that Mr. Martens' refusal on August 1, 2000 to grant RMTL a building permit for the property constituted deliberate misconduct taken to harm the plaintiffs. The plaintiffs seek a mandatory injunction compelling the chief building inspector to consider their application for a building permit, a declaration that the City's resolutions of February 10, 2003, May 10 and June 14, 2004 are null and void, damages, and costs. The City and Mr. Martens do not seek to address the plaintiffs' claims for damages until the question of liability is determined in this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In my Reasons in response to the City's petition I concluded that the City's resolutions of May 10 and June 14, 2004 were valid and I do not intend to address that issue further. The plaintiffs seek a declaration that the City's February 10, 2003 resolution that the fire-damaged building be removed passed pursuant to the </w:t>
      </w:r>
      <w:r>
        <w:rPr>
          <w:rFonts w:ascii="arial" w:eastAsia="arial" w:hAnsi="arial" w:cs="arial"/>
          <w:b/>
          <w:i/>
          <w:color w:val="000000"/>
          <w:sz w:val="20"/>
          <w:lang w:val="en-US" w:eastAsia="en-US" w:bidi="ar-SA"/>
        </w:rPr>
        <w:t>Local Government Act</w:t>
      </w:r>
      <w:r>
        <w:rPr>
          <w:rFonts w:ascii="arial" w:eastAsia="arial" w:hAnsi="arial" w:cs="arial"/>
          <w:color w:val="000000"/>
          <w:sz w:val="20"/>
          <w:lang w:val="en-US" w:eastAsia="en-US" w:bidi="ar-SA"/>
        </w:rPr>
        <w:t xml:space="preserve"> is null and void. The City declined to pursue the latter resolution because of its failure to properly serve those who should have received notice of the resolution. I do not find that the absence of service of the resolution forms a basis for finding the February 2003 resolution null and void, and conclude that any issue surrounding the latter resolution effectively became moot with the passage of the May 10 and June 14, 2004 resolutions.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Injunctive Relief Sought by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With respect to the second issue involving the injunctive relief sought by the plaintiffs compelling the building inspector to consider their application for a building permit, the defendants contend that the issue involves two questions, the first being whether Mr. Martens was required to consider an application for a building permit by RMTL and the second being whether Mr. Martens acted with misfeasance or abuse of public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Plaintiffs' counsel at the commencement of the hearing took the position that the question of misfeasance by Mr. Martens went to the question of damages, which the parties agreed would be adjourned to another date, and that he did not anticipate responding in this Rule 18A application to the question of misfeasance. The defendants' counsel submitted that he had written to plaintiffs' counsel advising that misfeasance by Mr. Marten went to liability and was part of the plaintiffs' Rule 18A application. At my request, copies of the correspondence between counsel were filed on September 18, 2008 as exhibits to the affidavit of Nicole Wirch, a legal assistant with counsel for the defendants. I am satisfied that the question of misfeasance is properly before the court in this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Did Plaintiffs Apply for a Building Permit in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As mentioned previously, on August 24, 1998 the building used by RMTL was damaged by fire. The City building inspector Mr. Bensmiller advised the Sengottas and RMTL in his letter of August 27, 1998 that only one-third of the building had been destroyed by fire and that pursuant to s. 911(8) of the </w:t>
      </w:r>
      <w:r>
        <w:rPr>
          <w:rFonts w:ascii="arial" w:eastAsia="arial" w:hAnsi="arial" w:cs="arial"/>
          <w:b/>
          <w:i/>
          <w:color w:val="000000"/>
          <w:sz w:val="20"/>
          <w:lang w:val="en-US" w:eastAsia="en-US" w:bidi="ar-SA"/>
        </w:rPr>
        <w:t>MA</w:t>
      </w:r>
      <w:r>
        <w:rPr>
          <w:rFonts w:ascii="arial" w:eastAsia="arial" w:hAnsi="arial" w:cs="arial"/>
          <w:color w:val="000000"/>
          <w:sz w:val="20"/>
          <w:lang w:val="en-US" w:eastAsia="en-US" w:bidi="ar-SA"/>
        </w:rPr>
        <w:t xml:space="preserve"> the Sengottas could repair or reconstruct the building. The City advised the plaintiffs that they required a building permit prior to any reconstruction. In his letter dated October 7, 1998, Mr. Martens advised that the plaintiffs could rebuild the structure "as is" without changes, but if structural changes were required the defendants would have to apply to the City's Board of Variance which had the authority to grant a variance.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January 1999, RMTL applied to the Board of Variance with respect to alterations and repairs to the fire-damaged building. The Board considered the application on February 24, 1999, but a motion in favour of the application failed because of the lack of a seconder. RMTL's application returned to the Board on July 12, 2000 at which time the Board allowed the application in the following terms which appear earlier in these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that the application from Rocky Mountain Transport requesting that they be exempted from s. 911(5) of the </w:t>
      </w:r>
      <w:r>
        <w:rPr>
          <w:rFonts w:ascii="arial" w:eastAsia="arial" w:hAnsi="arial" w:cs="arial"/>
          <w:color w:val="000000"/>
          <w:sz w:val="20"/>
          <w:u w:val="single"/>
          <w:lang w:val="en-US" w:eastAsia="en-US" w:bidi="ar-SA"/>
        </w:rPr>
        <w:t>Local Government Act</w:t>
      </w:r>
      <w:r>
        <w:rPr>
          <w:rFonts w:ascii="arial" w:eastAsia="arial" w:hAnsi="arial" w:cs="arial"/>
          <w:color w:val="000000"/>
          <w:sz w:val="20"/>
          <w:lang w:val="en-US" w:eastAsia="en-US" w:bidi="ar-SA"/>
        </w:rPr>
        <w:t xml:space="preserve"> in order to undertake structural alterations or additions to their currently non-conforming building ... which was damaged by fire be approved on the basis of undue hardship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Section 911(5) of the </w:t>
      </w:r>
      <w:r>
        <w:rPr>
          <w:rFonts w:ascii="arial" w:eastAsia="arial" w:hAnsi="arial" w:cs="arial"/>
          <w:b/>
          <w:i/>
          <w:color w:val="000000"/>
          <w:sz w:val="20"/>
          <w:lang w:val="en-US" w:eastAsia="en-US" w:bidi="ar-SA"/>
        </w:rPr>
        <w:t>LGA</w:t>
      </w:r>
      <w:r>
        <w:rPr>
          <w:rFonts w:ascii="arial" w:eastAsia="arial" w:hAnsi="arial" w:cs="arial"/>
          <w:color w:val="000000"/>
          <w:sz w:val="20"/>
          <w:lang w:val="en-US" w:eastAsia="en-US" w:bidi="ar-SA"/>
        </w:rPr>
        <w:t xml:space="preserv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911(5) A structural alteration or addition, except one that is required by an enactment or permitted by a board of variance under section 901(2), must not be made in or to a building or other structure while the non-conforming use is continued in all or any part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Bill Sengotta deposed that, at the Board of Variance hearing in July 2000, RMTL submitted an engineering report that the roof arches were beyond salvage above 17 feet, that the preferred option was to rebuild the fire-damaged building with vertical walls and a new roof, and that RMTL would suffer a hardship if it were not allowed to rebuild utilizing the preferred option. Mr. Sengotta deposed that the plan of the proposed building was attached to the Board's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The City viewed the vertical walls in place of the arched walls existing before the fire together with a new roof as constituting a new building and therefore in violation of s. 911(8) of the </w:t>
      </w:r>
      <w:r>
        <w:rPr>
          <w:rFonts w:ascii="arial" w:eastAsia="arial" w:hAnsi="arial" w:cs="arial"/>
          <w:b/>
          <w:i/>
          <w:color w:val="000000"/>
          <w:sz w:val="20"/>
          <w:lang w:val="en-US" w:eastAsia="en-US" w:bidi="ar-SA"/>
        </w:rPr>
        <w:t>LGA</w:t>
      </w:r>
      <w:r>
        <w:rPr>
          <w:rFonts w:ascii="arial" w:eastAsia="arial" w:hAnsi="arial" w:cs="arial"/>
          <w:color w:val="000000"/>
          <w:sz w:val="20"/>
          <w:lang w:val="en-US" w:eastAsia="en-US" w:bidi="ar-SA"/>
        </w:rPr>
        <w:t xml:space="preserve"> which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building or other structure, the use of which does not conform to the provisions of a bylaw under this Division is damaged or destroyed to the extent of 75% or more of its value above its foundations, as determined by the building inspector, it must not be repaired or reconstructed except for a conforming use in accordance with the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building inspector's position was that the building was damaged above its foundation to just one-third of its value, and so its damaged portions could be repaired or reconstructed. However, if the damaged building were demolished a new building could not be built on the site because of the current zoning.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plaintiffs were advised that pursuant to the </w:t>
      </w:r>
      <w:r>
        <w:rPr>
          <w:rFonts w:ascii="arial" w:eastAsia="arial" w:hAnsi="arial" w:cs="arial"/>
          <w:b/>
          <w:i/>
          <w:color w:val="000000"/>
          <w:sz w:val="20"/>
          <w:lang w:val="en-US" w:eastAsia="en-US" w:bidi="ar-SA"/>
        </w:rPr>
        <w:t>LGA</w:t>
      </w:r>
      <w:r>
        <w:rPr>
          <w:rFonts w:ascii="arial" w:eastAsia="arial" w:hAnsi="arial" w:cs="arial"/>
          <w:color w:val="000000"/>
          <w:sz w:val="20"/>
          <w:lang w:val="en-US" w:eastAsia="en-US" w:bidi="ar-SA"/>
        </w:rPr>
        <w:t>, all approvals granted by the Board of Variance must be acted upon within two years of the date of approval, meaning that the 2000 approval expired in 2002. RMTL asked for the City's interpretation of the Board of Variance's decision and Mr. Martens responded in part on August 1, 2000: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Our position has remained unchanged. You can rebuild the building as is, or alter the building structurally as permitted by the Board of Variance. You may not remove the building and replace [it] with a new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difficulty in this case appears to stem from interpretation placed on the Board of Variance's decision by the plaintiffs, who consider that the Board's decision removed any further hindrance to their ability to rebuild the damaged building with vertical walls and a new roof. The City did not accept this interpretation on the basis that the work envisaged by the plaintiffs would result in the demolition of the damaged building and its replacement with a new building contrary to s. 911(8) of the </w:t>
      </w:r>
      <w:r>
        <w:rPr>
          <w:rFonts w:ascii="arial" w:eastAsia="arial" w:hAnsi="arial" w:cs="arial"/>
          <w:b/>
          <w:i/>
          <w:color w:val="000000"/>
          <w:sz w:val="20"/>
          <w:lang w:val="en-US" w:eastAsia="en-US" w:bidi="ar-SA"/>
        </w:rPr>
        <w:t>LGA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its statement of claim, RMTL asserts that it applied for a building permit to be issued for the construction of a building as designed on the plan that had been before the Board of Variance, but that Mr. Martens on August 1, 2000 refused to issue the permit. However, Mr. Martens deposed that although the City had received copies of certain plans with respect to the fire-damaged building to his knowledge the City never received an application for a building permit for the property based on the plans. Mr. Martens further deposed that when sending the August 1, 2000 letter to RMTL he understood that the damaged portion of the building could be rebuilt, but it was unclear to him what had been approved by the Board of Variance in its decision and that he remained unclear as to what had been approved by the Board or the effect of its July 12, 2000 decision. Mr. Martens also stated that before sending the August 1, 2000 letter he received advice from the City's then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RMTL asserts that the Board of Variance's decision exempted it from s. 911(5) of the </w:t>
      </w:r>
      <w:r>
        <w:rPr>
          <w:rFonts w:ascii="arial" w:eastAsia="arial" w:hAnsi="arial" w:cs="arial"/>
          <w:b/>
          <w:i/>
          <w:color w:val="000000"/>
          <w:sz w:val="20"/>
          <w:lang w:val="en-US" w:eastAsia="en-US" w:bidi="ar-SA"/>
        </w:rPr>
        <w:t>LGA</w:t>
      </w:r>
      <w:r>
        <w:rPr>
          <w:rFonts w:ascii="arial" w:eastAsia="arial" w:hAnsi="arial" w:cs="arial"/>
          <w:color w:val="000000"/>
          <w:sz w:val="20"/>
          <w:lang w:val="en-US" w:eastAsia="en-US" w:bidi="ar-SA"/>
        </w:rPr>
        <w:t xml:space="preserve"> and allowed it to undertake structural alterations or additions to the building pursuant to the plan of the proposed building which Mr. Sengotta deposed was attached to the minutes of the hearing before the Board. RMTL submits that once the Board granted the variance requested, there was no statutory restraint that prohibited RMTL from obtaining a building permit to reconstruct the building as proposed and that it was entitled to a building permit on August 1, 2000, relying on the decision in </w:t>
      </w:r>
      <w:r>
        <w:rPr>
          <w:rFonts w:ascii="arial" w:eastAsia="arial" w:hAnsi="arial" w:cs="arial"/>
          <w:b/>
          <w:i/>
          <w:color w:val="000000"/>
          <w:sz w:val="20"/>
          <w:lang w:val="en-US" w:eastAsia="en-US" w:bidi="ar-SA"/>
        </w:rPr>
        <w:t>Cheung v. Victoria (City)</w:t>
      </w:r>
      <w:r>
        <w:rPr>
          <w:rFonts w:ascii="arial" w:eastAsia="arial" w:hAnsi="arial" w:cs="arial"/>
          <w:color w:val="000000"/>
          <w:sz w:val="20"/>
          <w:lang w:val="en-US" w:eastAsia="en-US" w:bidi="ar-SA"/>
        </w:rPr>
        <w:t xml:space="preserve"> </w:t>
      </w:r>
      <w:hyperlink r:id="rId857" w:history="1">
        <w:r>
          <w:rPr>
            <w:rFonts w:ascii="arial" w:eastAsia="arial" w:hAnsi="arial" w:cs="arial"/>
            <w:i/>
            <w:color w:val="0077CC"/>
            <w:sz w:val="20"/>
            <w:u w:val="single"/>
            <w:shd w:val="clear" w:color="auto" w:fill="FFFFFF"/>
            <w:lang w:val="en-US" w:eastAsia="en-US" w:bidi="ar-SA"/>
          </w:rPr>
          <w:t>(1994), 121 D.L.R. (4th) 86</w:t>
        </w:r>
      </w:hyperlink>
      <w:r>
        <w:rPr>
          <w:rFonts w:ascii="arial" w:eastAsia="arial" w:hAnsi="arial" w:cs="arial"/>
          <w:color w:val="000000"/>
          <w:sz w:val="20"/>
          <w:lang w:val="en-US" w:eastAsia="en-US" w:bidi="ar-SA"/>
        </w:rPr>
        <w:t xml:space="preserve">, </w:t>
      </w:r>
      <w:hyperlink r:id="rId857" w:history="1">
        <w:r>
          <w:rPr>
            <w:rFonts w:ascii="arial" w:eastAsia="arial" w:hAnsi="arial" w:cs="arial"/>
            <w:i/>
            <w:color w:val="0077CC"/>
            <w:sz w:val="20"/>
            <w:u w:val="single"/>
            <w:shd w:val="clear" w:color="auto" w:fill="FFFFFF"/>
            <w:lang w:val="en-US" w:eastAsia="en-US" w:bidi="ar-SA"/>
          </w:rPr>
          <w:t>100 B.C.L.R. (2d) 235</w:t>
        </w:r>
      </w:hyperlink>
      <w:r>
        <w:rPr>
          <w:rFonts w:ascii="arial" w:eastAsia="arial" w:hAnsi="arial" w:cs="arial"/>
          <w:color w:val="000000"/>
          <w:sz w:val="20"/>
          <w:lang w:val="en-US" w:eastAsia="en-US" w:bidi="ar-SA"/>
        </w:rPr>
        <w:t xml:space="preserve"> (C.A.). The Cheungs filed a completed application for a building permit to redevelop their land, to which the City responded by instructing its solicitor to draft a down-zoning bylaw to block the proposed development. The City then refused to grant the Cheungs a building permit. The chambers judge granted an order requiring the City to issue a building permit, a decision upheld on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However, in </w:t>
      </w:r>
      <w:r>
        <w:rPr>
          <w:rFonts w:ascii="arial" w:eastAsia="arial" w:hAnsi="arial" w:cs="arial"/>
          <w:b/>
          <w:i/>
          <w:color w:val="000000"/>
          <w:sz w:val="20"/>
          <w:lang w:val="en-US" w:eastAsia="en-US" w:bidi="ar-SA"/>
        </w:rPr>
        <w:t>Cheung</w:t>
      </w:r>
      <w:r>
        <w:rPr>
          <w:rFonts w:ascii="arial" w:eastAsia="arial" w:hAnsi="arial" w:cs="arial"/>
          <w:color w:val="000000"/>
          <w:sz w:val="20"/>
          <w:lang w:val="en-US" w:eastAsia="en-US" w:bidi="ar-SA"/>
        </w:rPr>
        <w:t xml:space="preserve"> the respondents filed an application for a building permit. In the instant case, neither the City and Mr. Martens nor the Sengottas and RMTL have produced any document prepared in or about August 2000 which might be construed as an application by the plaintiffs for a building permit. The City in its letter of August 27, 1998 advised that a building permit would be required prior to any reconstruction of the fire-damaged building. The chairman of the Board of Variance at the July 12, 2000 hearing advised RMTL that the granting of the variance did not constitute approval for a building permit. Mr. Martens deposed that the only application for a building permit received from the plaintiffs was that dated May 4,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City's building bylaw No. 3823 was in force from 1985 to 2003 and it provided at Division 8(1) that when an application for a permit had been made, the proposed work set out in the application conformed with the bylaw and all other applicable bylaws and the </w:t>
      </w:r>
      <w:r>
        <w:rPr>
          <w:rFonts w:ascii="arial" w:eastAsia="arial" w:hAnsi="arial" w:cs="arial"/>
          <w:b/>
          <w:i/>
          <w:color w:val="000000"/>
          <w:sz w:val="20"/>
          <w:lang w:val="en-US" w:eastAsia="en-US" w:bidi="ar-SA"/>
        </w:rPr>
        <w:t>MA</w:t>
      </w:r>
      <w:r>
        <w:rPr>
          <w:rFonts w:ascii="arial" w:eastAsia="arial" w:hAnsi="arial" w:cs="arial"/>
          <w:color w:val="000000"/>
          <w:sz w:val="20"/>
          <w:lang w:val="en-US" w:eastAsia="en-US" w:bidi="ar-SA"/>
        </w:rPr>
        <w:t>, R.S.B.C. 1979, ch. 270, and that the applicant for the permit had paid the prescribed fee, the building inspector "shall issue" the permit for which the application is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Division 8(3) of bylaw No. 3823 states that a building permit application shall be made in the form prescribed, be signed by the owner or agent, state the intended use or uses of the building, include copies in duplicate of the specifications and scale drawings of the building, provide details as to dimensions of the building, the uses of the rooms, as well as the dimensions of the land, grades and elevations, and other information if required by the City. The plaintiffs submit that the City never prescribed a form for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plaintiffs submit that even if a prescribed form did exist under bylaw No. 3283, the failure to complete such a form is not fatal, as the building inspector had the proposed plans for the building, a request for a building permit and knowledge that the damaged building would be used as it had been in the past. However, the bylaw did set out the information needed when applying for a building permit and required payment of a fee. There is no evidence that the plaintiffs in or about August 2000 provided all the information required by bylaw 8323 or the necessary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Gallo v. Toronto (City)</w:t>
      </w:r>
      <w:r>
        <w:rPr>
          <w:rFonts w:ascii="arial" w:eastAsia="arial" w:hAnsi="arial" w:cs="arial"/>
          <w:color w:val="000000"/>
          <w:sz w:val="20"/>
          <w:lang w:val="en-US" w:eastAsia="en-US" w:bidi="ar-SA"/>
        </w:rPr>
        <w:t xml:space="preserve">, </w:t>
      </w:r>
      <w:hyperlink r:id="rId858" w:history="1">
        <w:r>
          <w:rPr>
            <w:rFonts w:ascii="arial" w:eastAsia="arial" w:hAnsi="arial" w:cs="arial"/>
            <w:i/>
            <w:color w:val="0077CC"/>
            <w:sz w:val="20"/>
            <w:u w:val="single"/>
            <w:shd w:val="clear" w:color="auto" w:fill="FFFFFF"/>
            <w:lang w:val="en-US" w:eastAsia="en-US" w:bidi="ar-SA"/>
          </w:rPr>
          <w:t>[1973] 3 O.R. 892</w:t>
        </w:r>
      </w:hyperlink>
      <w:r>
        <w:rPr>
          <w:rFonts w:ascii="arial" w:eastAsia="arial" w:hAnsi="arial" w:cs="arial"/>
          <w:color w:val="000000"/>
          <w:sz w:val="20"/>
          <w:lang w:val="en-US" w:eastAsia="en-US" w:bidi="ar-SA"/>
        </w:rPr>
        <w:t xml:space="preserve">, </w:t>
      </w:r>
      <w:hyperlink r:id="rId858" w:history="1">
        <w:r>
          <w:rPr>
            <w:rFonts w:ascii="arial" w:eastAsia="arial" w:hAnsi="arial" w:cs="arial"/>
            <w:i/>
            <w:color w:val="0077CC"/>
            <w:sz w:val="20"/>
            <w:u w:val="single"/>
            <w:shd w:val="clear" w:color="auto" w:fill="FFFFFF"/>
            <w:lang w:val="en-US" w:eastAsia="en-US" w:bidi="ar-SA"/>
          </w:rPr>
          <w:t>38 D.L.R. (3d) 536</w:t>
        </w:r>
      </w:hyperlink>
      <w:r>
        <w:rPr>
          <w:rFonts w:ascii="arial" w:eastAsia="arial" w:hAnsi="arial" w:cs="arial"/>
          <w:color w:val="000000"/>
          <w:sz w:val="20"/>
          <w:lang w:val="en-US" w:eastAsia="en-US" w:bidi="ar-SA"/>
        </w:rPr>
        <w:t xml:space="preserve"> (Div. Ct.), the Ontario Divisional Court addressed an application brought under the </w:t>
      </w:r>
      <w:r>
        <w:rPr>
          <w:rFonts w:ascii="arial" w:eastAsia="arial" w:hAnsi="arial" w:cs="arial"/>
          <w:b/>
          <w:i/>
          <w:color w:val="000000"/>
          <w:sz w:val="20"/>
          <w:lang w:val="en-US" w:eastAsia="en-US" w:bidi="ar-SA"/>
        </w:rPr>
        <w:t>Judicial Review Procedure Act</w:t>
      </w:r>
      <w:r>
        <w:rPr>
          <w:rFonts w:ascii="arial" w:eastAsia="arial" w:hAnsi="arial" w:cs="arial"/>
          <w:color w:val="000000"/>
          <w:sz w:val="20"/>
          <w:lang w:val="en-US" w:eastAsia="en-US" w:bidi="ar-SA"/>
        </w:rPr>
        <w:t xml:space="preserve">, 1971 (Ont.), Vol. 2, c. 48 for an order in the nature of </w:t>
      </w:r>
      <w:r>
        <w:rPr>
          <w:rFonts w:ascii="arial" w:eastAsia="arial" w:hAnsi="arial" w:cs="arial"/>
          <w:i/>
          <w:color w:val="000000"/>
          <w:sz w:val="20"/>
          <w:lang w:val="en-US" w:eastAsia="en-US" w:bidi="ar-SA"/>
        </w:rPr>
        <w:t>mandamus</w:t>
      </w:r>
      <w:r>
        <w:rPr>
          <w:rFonts w:ascii="arial" w:eastAsia="arial" w:hAnsi="arial" w:cs="arial"/>
          <w:color w:val="000000"/>
          <w:sz w:val="20"/>
          <w:lang w:val="en-US" w:eastAsia="en-US" w:bidi="ar-SA"/>
        </w:rPr>
        <w:t xml:space="preserve"> requiring the City to issue a building permit. The original application for a building permit was not complete, but Gallo was prepared to meet any objections of the City at any time. The court held that was not enough, stating at para. 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original application for a building permit must be essentially in order, and any amendments should be specific and in train. Otherwise it would be sufficient to file any application for a building permit, undertake to comply with any city requirements, and ask for a conditional mandatory order. No owner is entitled to such an order in such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onus lies on the plaintiffs to establish that they substantially complied with the requirements of bylaw No. 8323 in or around August 2000 which is the time period in which they say that they applied for a building permit. I am not satisfied that the plaintiffs provided sufficient material required by bylaw No. 8323 from which I might conclude that the plaintiffs had satisfied the requirements of Division 8(1) and (3) such that the building inspector, Mr. Martens, was obligated to issue a building permit. In the absence of an application for a building permit the plaintiffs have failed to establish the necessary appropriate basis for their claim against Mr. Martens and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plaintiffs on May 4, 2004 did apply for a building permit to replace the damaged building. No issue has been taken with Mr. Martens' refusal to issue a permit after he concluded the proposed use was contrary to the zoning.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Misfeasance or Abuse of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plaintiffs found their claims against Mr. Martens for refusing to issue a building permit on August 1, 2000 at paras. 12, 14 and 15 of their statement of claim:</w:t>
      </w:r>
      <w:r>
        <w:rPr>
          <w:rFonts w:ascii="arial" w:eastAsia="arial" w:hAnsi="arial" w:cs="arial"/>
          <w:sz w:val="20"/>
          <w:lang w:val="en-US" w:eastAsia="en-US" w:bidi="ar-SA"/>
        </w:rPr>
        <w:cr/>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refusal by Martens to issue a building permit and his refusal to allow the damaged building to be removed was made by him:</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knowing that the Board of Variance had exempted RMTL from the provisions of s. 911(5);</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knowing that the Board of Variance had authorized the structural alterations proposed by RMTL;</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knowing that he lacked the authority to refuse approval for the removal of the building and to refuse a permit to rebuild the structure; and</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improper purpose of attempting to end a legal nonconforming use of the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Martens' decision of August 1st, 2000 constituted deliberate misconduct and was an intentional illegal act in the form of:</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intentional use of his statutory authority for an improper purpose;</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 done with actual knowledge that the act was beyond his statutory authority; or</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 done with reckless indifference or wilful blindness to his lack of statutory authority.</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Martens' decision was taken with the intent to harm the plaintiffs for the benefit of the City. In particular, his decision was taken with:</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actual intention to harm the plaintiffs;</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actual knowledge that harm to the plaintiffs would result; or</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reckless indifference or wilful blindness to the harm to the plaintiffs that could be foreseen to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The claims allege Mr. Martens' action in refusing to issue a building permit to RMTL in or about August 2000 was for an "improper purpose" involving "deliberate misconduct" and "intentional illegal acts" with "reckless indifference or wilful blindness" to the harm resulting to the plaintiffs. These are allegations of misfeasance or abuse of public office. The language reflects s. 287(3) of the </w:t>
      </w:r>
      <w:r>
        <w:rPr>
          <w:rFonts w:ascii="arial" w:eastAsia="arial" w:hAnsi="arial" w:cs="arial"/>
          <w:b/>
          <w:i/>
          <w:color w:val="000000"/>
          <w:sz w:val="20"/>
          <w:lang w:val="en-US" w:eastAsia="en-US" w:bidi="ar-SA"/>
        </w:rPr>
        <w:t>LGA</w:t>
      </w:r>
      <w:r>
        <w:rPr>
          <w:rFonts w:ascii="arial" w:eastAsia="arial" w:hAnsi="arial" w:cs="arial"/>
          <w:color w:val="000000"/>
          <w:sz w:val="20"/>
          <w:lang w:val="en-US" w:eastAsia="en-US" w:bidi="ar-SA"/>
        </w:rPr>
        <w:t>, which describes the limited situations in which a claim may be advanced against a municipal public officer personally. Section 287(2) and (3) state:</w:t>
      </w:r>
      <w:r>
        <w:rPr>
          <w:rFonts w:ascii="arial" w:eastAsia="arial" w:hAnsi="arial" w:cs="arial"/>
          <w:sz w:val="20"/>
          <w:lang w:val="en-US" w:eastAsia="en-US" w:bidi="ar-SA"/>
        </w:rPr>
        <w:cr/>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action for damages lies or may be instituted against a municipal public officer or former municipal public officer</w:t>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anything said or done or omitted to be said or done by that person in the performance or intended performance of the person's duty or the exercise of the person's power, or</w:t>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any alleged neglect or default in the performance or intended performance of that person's duty or exercise of that person's power.</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(2) does not provide a defence if</w:t>
      </w:r>
    </w:p>
    <w:p>
      <w:pPr>
        <w:numPr>
          <w:numId w:val="4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municipal public officer has, in relation to the conduct that is the subject matter of the action, been guilty of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malicious or wilful misconduct, or</w:t>
      </w:r>
    </w:p>
    <w:p>
      <w:pPr>
        <w:numPr>
          <w:numId w:val="4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cause of action is libel or slander.</w:t>
      </w:r>
    </w:p>
    <w:p>
      <w:pPr>
        <w:numPr>
          <w:numId w:val="4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(2) does not absolve any of the corporations or bodies referred to in subsection (1) (a) to (k) from vicarious liability arising out of a tort committed by any of the individuals referred to in subsection (1) for which the corporation or body would have been liable had this section not been in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Gook Country Estates v. The Corporation of the City of Quesnel et al</w:t>
      </w:r>
      <w:r>
        <w:rPr>
          <w:rFonts w:ascii="arial" w:eastAsia="arial" w:hAnsi="arial" w:cs="arial"/>
          <w:color w:val="000000"/>
          <w:sz w:val="20"/>
          <w:lang w:val="en-US" w:eastAsia="en-US" w:bidi="ar-SA"/>
        </w:rPr>
        <w:t xml:space="preserve">, </w:t>
      </w:r>
      <w:hyperlink r:id="rId859" w:history="1">
        <w:r>
          <w:rPr>
            <w:rFonts w:ascii="arial" w:eastAsia="arial" w:hAnsi="arial" w:cs="arial"/>
            <w:i/>
            <w:color w:val="0077CC"/>
            <w:sz w:val="20"/>
            <w:u w:val="single"/>
            <w:shd w:val="clear" w:color="auto" w:fill="FFFFFF"/>
            <w:lang w:val="en-US" w:eastAsia="en-US" w:bidi="ar-SA"/>
          </w:rPr>
          <w:t>2006 BCSC 1382</w:t>
        </w:r>
      </w:hyperlink>
      <w:r>
        <w:rPr>
          <w:rFonts w:ascii="arial" w:eastAsia="arial" w:hAnsi="arial" w:cs="arial"/>
          <w:color w:val="000000"/>
          <w:sz w:val="20"/>
          <w:lang w:val="en-US" w:eastAsia="en-US" w:bidi="ar-SA"/>
        </w:rPr>
        <w:t xml:space="preserve">, </w:t>
      </w:r>
      <w:hyperlink r:id="rId859" w:history="1">
        <w:r>
          <w:rPr>
            <w:rFonts w:ascii="arial" w:eastAsia="arial" w:hAnsi="arial" w:cs="arial"/>
            <w:i/>
            <w:color w:val="0077CC"/>
            <w:sz w:val="20"/>
            <w:u w:val="single"/>
            <w:shd w:val="clear" w:color="auto" w:fill="FFFFFF"/>
            <w:lang w:val="en-US" w:eastAsia="en-US" w:bidi="ar-SA"/>
          </w:rPr>
          <w:t>48 R.P.R. (4th) 16</w:t>
        </w:r>
      </w:hyperlink>
      <w:r>
        <w:rPr>
          <w:rFonts w:ascii="arial" w:eastAsia="arial" w:hAnsi="arial" w:cs="arial"/>
          <w:color w:val="000000"/>
          <w:sz w:val="20"/>
          <w:lang w:val="en-US" w:eastAsia="en-US" w:bidi="ar-SA"/>
        </w:rPr>
        <w:t>, Mr. Justice N.H. Smith addressed the issues of misfeasance or abuse of public office and canvasses the topic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[170] The tort of abuse of public office is made out in two similar situations. The first is where a public official has exercised power for the specific purpose of injuring a person or class of persons. The second is where the official has acted with knowledge that he or she has no power to do the act complained of and that the act is likely to injure the plaintiff. In either case, the plaintiff must show deliberate disregard of official duty coupled with knowledge that the misconduct is likely to injure the plaintiff (</w:t>
      </w:r>
      <w:r>
        <w:rPr>
          <w:rFonts w:ascii="arial" w:eastAsia="arial" w:hAnsi="arial" w:cs="arial"/>
          <w:b/>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860" w:history="1">
        <w:r>
          <w:rPr>
            <w:rFonts w:ascii="arial" w:eastAsia="arial" w:hAnsi="arial" w:cs="arial"/>
            <w:i/>
            <w:color w:val="0077CC"/>
            <w:sz w:val="20"/>
            <w:u w:val="single"/>
            <w:shd w:val="clear" w:color="auto" w:fill="FFFFFF"/>
            <w:lang w:val="en-US" w:eastAsia="en-US" w:bidi="ar-SA"/>
          </w:rPr>
          <w:t>[2003] 3 S.C.R. 263</w:t>
        </w:r>
      </w:hyperlink>
      <w:r>
        <w:rPr>
          <w:rFonts w:ascii="arial" w:eastAsia="arial" w:hAnsi="arial" w:cs="arial"/>
          <w:color w:val="000000"/>
          <w:sz w:val="20"/>
          <w:lang w:val="en-US" w:eastAsia="en-US" w:bidi="ar-SA"/>
        </w:rPr>
        <w:t xml:space="preserve">, </w:t>
      </w:r>
      <w:hyperlink r:id="rId860"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xml:space="preserve">, para. 23). Neither injury to the plaintiff nor unlawful conduct, standing alone, will create liability. The Supreme Court of Canada said at para. 28 and para. 29 of </w:t>
      </w:r>
      <w:r>
        <w:rPr>
          <w:rFonts w:ascii="arial" w:eastAsia="arial" w:hAnsi="arial" w:cs="arial"/>
          <w:b/>
          <w:i/>
          <w:color w:val="000000"/>
          <w:sz w:val="20"/>
          <w:lang w:val="en-US" w:eastAsia="en-US" w:bidi="ar-SA"/>
        </w:rPr>
        <w:t>Odhavji</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a democracy, public officers must retain the authority to make decisions that, where appropriate, are adverse to the interests of certain citizens. Knowledge of harm is thus an insufficient basis on which to conclude that the defendant has acted in bad faith or dishonestly.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Liability does not attach to each officer who blatantly disregards his or her official duty, but only to a public officer who, in addition, demonstrates a conscious disregard for the interests of those who will be affected by the misconduct in question ... Unlawful conduct in the exercise of public functions is a public wrong, but, absent some awareness of harm there is no basis on which to conclude that the defendant has breached an obligation that she or he owes to the plaintiff </w:t>
      </w:r>
      <w:r>
        <w:rPr>
          <w:rFonts w:ascii="arial" w:eastAsia="arial" w:hAnsi="arial" w:cs="arial"/>
          <w:color w:val="000000"/>
          <w:sz w:val="20"/>
          <w:u w:val="single"/>
          <w:lang w:val="en-US" w:eastAsia="en-US" w:bidi="ar-SA"/>
        </w:rPr>
        <w:t>as an individual</w:t>
      </w:r>
      <w:r>
        <w:rPr>
          <w:rFonts w:ascii="arial" w:eastAsia="arial" w:hAnsi="arial" w:cs="arial"/>
          <w:color w:val="000000"/>
          <w:sz w:val="20"/>
          <w:lang w:val="en-US" w:eastAsia="en-US" w:bidi="ar-SA"/>
        </w:rPr>
        <w:t>. And absent the breach of an obligation that the defendant owes to the plaintiff, there can be no liability in tort.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[171] In </w:t>
      </w:r>
      <w:r>
        <w:rPr>
          <w:rFonts w:ascii="arial" w:eastAsia="arial" w:hAnsi="arial" w:cs="arial"/>
          <w:b/>
          <w:i/>
          <w:color w:val="000000"/>
          <w:sz w:val="20"/>
          <w:lang w:val="en-US" w:eastAsia="en-US" w:bidi="ar-SA"/>
        </w:rPr>
        <w:t>Three Rivers District Council v. Bank of England</w:t>
      </w:r>
      <w:r>
        <w:rPr>
          <w:rFonts w:ascii="arial" w:eastAsia="arial" w:hAnsi="arial" w:cs="arial"/>
          <w:color w:val="000000"/>
          <w:sz w:val="20"/>
          <w:lang w:val="en-US" w:eastAsia="en-US" w:bidi="ar-SA"/>
        </w:rPr>
        <w:t xml:space="preserve">, [2000] 3 All E.R. 1 (H.L.), [1995] 4 All E.R. 312 (Eng. C.A.), Lord Hobhouse emphasized the distinction between the torts of abuse of public office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 p. 44: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is not covered (by the tort of abuse of public office) is mere failure, oversight or accident. Neglect, unless there is a relevant duty of care, does not suffice and the applicable tort would then be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not misfeasance and different criteria would apply.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[172] In </w:t>
      </w:r>
      <w:r>
        <w:rPr>
          <w:rFonts w:ascii="arial" w:eastAsia="arial" w:hAnsi="arial" w:cs="arial"/>
          <w:b/>
          <w:i/>
          <w:color w:val="000000"/>
          <w:sz w:val="20"/>
          <w:lang w:val="en-US" w:eastAsia="en-US" w:bidi="ar-SA"/>
        </w:rPr>
        <w:t>Odhavji</w:t>
      </w:r>
      <w:r>
        <w:rPr>
          <w:rFonts w:ascii="arial" w:eastAsia="arial" w:hAnsi="arial" w:cs="arial"/>
          <w:color w:val="000000"/>
          <w:sz w:val="20"/>
          <w:lang w:val="en-US" w:eastAsia="en-US" w:bidi="ar-SA"/>
        </w:rPr>
        <w:t>, Iacobucci J. said at para.30 that the tort of abuse of public office exists to protect individual citizens: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sum, I believe that the underlying purpose of the tort is to protect each citizen's reasonable expectation that a public officer will not intentionally injure </w:t>
      </w:r>
      <w:r>
        <w:rPr>
          <w:rFonts w:ascii="arial" w:eastAsia="arial" w:hAnsi="arial" w:cs="arial"/>
          <w:color w:val="000000"/>
          <w:sz w:val="20"/>
          <w:u w:val="single"/>
          <w:lang w:val="en-US" w:eastAsia="en-US" w:bidi="ar-SA"/>
        </w:rPr>
        <w:t>a member of the public</w:t>
      </w:r>
      <w:r>
        <w:rPr>
          <w:rFonts w:ascii="arial" w:eastAsia="arial" w:hAnsi="arial" w:cs="arial"/>
          <w:color w:val="000000"/>
          <w:sz w:val="20"/>
          <w:lang w:val="en-US" w:eastAsia="en-US" w:bidi="ar-SA"/>
        </w:rPr>
        <w:t xml:space="preserve"> through deliberate and unlawful conduct in the exercise of public functions.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Before addressing the factual context from which the plaintiffs claim that Mr. Martens committed the abuse of public office, I will refer to the decision of Newbury J.A. in </w:t>
      </w:r>
      <w:r>
        <w:rPr>
          <w:rFonts w:ascii="arial" w:eastAsia="arial" w:hAnsi="arial" w:cs="arial"/>
          <w:b/>
          <w:i/>
          <w:color w:val="000000"/>
          <w:sz w:val="20"/>
          <w:lang w:val="en-US" w:eastAsia="en-US" w:bidi="ar-SA"/>
        </w:rPr>
        <w:t>Powder Mountain Resorts Ltd. v. British Columbia</w:t>
      </w:r>
      <w:r>
        <w:rPr>
          <w:rFonts w:ascii="arial" w:eastAsia="arial" w:hAnsi="arial" w:cs="arial"/>
          <w:color w:val="000000"/>
          <w:sz w:val="20"/>
          <w:lang w:val="en-US" w:eastAsia="en-US" w:bidi="ar-SA"/>
        </w:rPr>
        <w:t xml:space="preserve">, </w:t>
      </w:r>
      <w:hyperlink r:id="rId861" w:history="1">
        <w:r>
          <w:rPr>
            <w:rFonts w:ascii="arial" w:eastAsia="arial" w:hAnsi="arial" w:cs="arial"/>
            <w:i/>
            <w:color w:val="0077CC"/>
            <w:sz w:val="20"/>
            <w:u w:val="single"/>
            <w:shd w:val="clear" w:color="auto" w:fill="FFFFFF"/>
            <w:lang w:val="en-US" w:eastAsia="en-US" w:bidi="ar-SA"/>
          </w:rPr>
          <w:t>2001 BCCA 619</w:t>
        </w:r>
      </w:hyperlink>
      <w:r>
        <w:rPr>
          <w:rFonts w:ascii="arial" w:eastAsia="arial" w:hAnsi="arial" w:cs="arial"/>
          <w:color w:val="000000"/>
          <w:sz w:val="20"/>
          <w:lang w:val="en-US" w:eastAsia="en-US" w:bidi="ar-SA"/>
        </w:rPr>
        <w:t xml:space="preserve">, </w:t>
      </w:r>
      <w:hyperlink r:id="rId861" w:history="1">
        <w:r>
          <w:rPr>
            <w:rFonts w:ascii="arial" w:eastAsia="arial" w:hAnsi="arial" w:cs="arial"/>
            <w:i/>
            <w:color w:val="0077CC"/>
            <w:sz w:val="20"/>
            <w:u w:val="single"/>
            <w:shd w:val="clear" w:color="auto" w:fill="FFFFFF"/>
            <w:lang w:val="en-US" w:eastAsia="en-US" w:bidi="ar-SA"/>
          </w:rPr>
          <w:t>94 B.C.L.R. (3d) 14</w:t>
        </w:r>
      </w:hyperlink>
      <w:r>
        <w:rPr>
          <w:rFonts w:ascii="arial" w:eastAsia="arial" w:hAnsi="arial" w:cs="arial"/>
          <w:color w:val="000000"/>
          <w:sz w:val="20"/>
          <w:lang w:val="en-US" w:eastAsia="en-US" w:bidi="ar-SA"/>
        </w:rPr>
        <w:t>, at para. 8 where she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abuse of public office remains an intentional tort requiring proof of bad faith, it will in the minds of most observers carry the 'stench of dishonesty'. This court has suggested that where bad faith on the part of a public official is alleged, clear proof commensurate with the seriousness of the wrong should be provided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To establish that Mr. Martens has committed the tort of abuse of public office, the plaintiffs must establish that Mr. Martens exercised power for the specific purpose of injuring them or that Mr. Martens acted with knowledge that he had no power to do the act complained of and that the act was likely to injure the plaintiffs. In either case, the plaintiffs must show deliberate disregard of official duty coupled with the knowledge that his misconduct was likely to injure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difficulty is the absence of evidence to support the plaintiffs' claims. Mr. Martens, in his affidavit material, has unequivocally denied the plaintiffs' allegations that his actions in any fashion constituted the tort of abuse of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As the City's chief building inspector Mr. Martens dealt often with the plaintiffs, particularly with Mr. Bill Sengotta, and the material filed indicates that he was well aware of the difficulties the plaintiffs were experiencing in repairing or reconstructing the damaged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Although the plaintiffs allege that Mr. Martens wrongfully refused to issue a building permit in or about August 2000, I have concluded that what material was before him at that time did not constitute an application for a building permit as described in bylaw No. 8323. Mr. Martens cannot be held to have refused to issue a building permit when the requisite basis for issuing the permit was absent.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Another difficulty encountered with the plaintiffs' claims against Mr. Martens lies in the manner in which the City's business was conducted. Mr. Martens was not the only City official involved in this matter. The City's solicitor provided advice to Mr. Martens and dealt with plaintiffs' counsel. There were other elected and non-elected City officials involved in the decisions made with respect to the plaintiffs' property following the 1998 fire, and while Mr. Martens played a part others also played differing roles. No allegations of misfeasance are made against any other City official.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There is no evidence that Mr. Martens' actions earned him personal gain, or that any of his actions was designed to injure any of the plaintiffs, or that any of Mr. Martens' acts were done with the knowledge that his act or acts were unlawful, or that any act was done with the subjective knowledge that his act or acts would probably injure the plaintiffs. To use the plaintiffs' language, there is no evidence that Mr. Martens was wilfully blind, that his actions were for an improper purpose, that his acts involved deliberate misconduct, intentional illegal acts, or that he acted with reckless indifference to the harm his actions might cause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documents filed as exhibits reflect upon Mr. Martens as a prudent individual who ensured that his involvement with the plaintiffs' file was properly recorded with his own correspondence, reports, memorandums, as well as that prepared by other City officials and included that received from the plaintiffs. There is, as I have written, no evidence which could lead me to the conclusion that Mr. Martens committed the tort of abuse of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The City further relies upon s. 286 of the </w:t>
      </w:r>
      <w:r>
        <w:rPr>
          <w:rFonts w:ascii="arial" w:eastAsia="arial" w:hAnsi="arial" w:cs="arial"/>
          <w:b/>
          <w:i/>
          <w:color w:val="000000"/>
          <w:sz w:val="20"/>
          <w:lang w:val="en-US" w:eastAsia="en-US" w:bidi="ar-SA"/>
        </w:rPr>
        <w:t>LGA</w:t>
      </w:r>
      <w:r>
        <w:rPr>
          <w:rFonts w:ascii="arial" w:eastAsia="arial" w:hAnsi="arial" w:cs="arial"/>
          <w:color w:val="000000"/>
          <w:sz w:val="20"/>
          <w:lang w:val="en-US" w:eastAsia="en-US" w:bidi="ar-SA"/>
        </w:rPr>
        <w:t xml:space="preserve"> which sets out a two-month time limit in which to bring action for damages against a municipality, stating:</w:t>
      </w:r>
      <w:r>
        <w:rPr>
          <w:rFonts w:ascii="arial" w:eastAsia="arial" w:hAnsi="arial" w:cs="arial"/>
          <w:sz w:val="20"/>
          <w:lang w:val="en-US" w:eastAsia="en-US" w:bidi="ar-SA"/>
        </w:rPr>
        <w:cr/>
      </w:r>
    </w:p>
    <w:p>
      <w:pPr>
        <w:numPr>
          <w:numId w:val="4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municipality is in no case liable for damages unless notice in writing, setting out the time, place and manner in which the damage has been sustained, is delivered to the municipality within 2 months from the date on which the damage was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Bill Sengotta deposes RMTL's July 7, 2000 letter to the City complies with s. 286 of the </w:t>
      </w:r>
      <w:r>
        <w:rPr>
          <w:rFonts w:ascii="arial" w:eastAsia="arial" w:hAnsi="arial" w:cs="arial"/>
          <w:b/>
          <w:i/>
          <w:color w:val="000000"/>
          <w:sz w:val="20"/>
          <w:lang w:val="en-US" w:eastAsia="en-US" w:bidi="ar-SA"/>
        </w:rPr>
        <w:t>LGA.</w:t>
      </w:r>
      <w:r>
        <w:rPr>
          <w:rFonts w:ascii="arial" w:eastAsia="arial" w:hAnsi="arial" w:cs="arial"/>
          <w:color w:val="000000"/>
          <w:sz w:val="20"/>
          <w:lang w:val="en-US" w:eastAsia="en-US" w:bidi="ar-SA"/>
        </w:rPr>
        <w:t xml:space="preserve"> The correspondence outlines the monthly costs incurred by RMTL because of its inability to utilize the fire-damaged building as a shop for its trucking operation. The July 7, 2000 correspondence does not set out the time, place and manner in which the damage was sustained and I do not accept it as notice to the City of a complaint of fault and a claim that the plaintiff sustained damage by reason of such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 on R18A Application: Action No. 36707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City and Mr. Martens will have judgment as sought, specifically:</w:t>
      </w:r>
      <w:r>
        <w:rPr>
          <w:rFonts w:ascii="arial" w:eastAsia="arial" w:hAnsi="arial" w:cs="arial"/>
          <w:sz w:val="20"/>
          <w:lang w:val="en-US" w:eastAsia="en-US" w:bidi="ar-SA"/>
        </w:rPr>
        <w:cr/>
      </w:r>
    </w:p>
    <w:p>
      <w:pPr>
        <w:numPr>
          <w:numId w:val="4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dismissal of the plaintiffs' application for a mandatory judgment compelling the chief building inspector to consider the plaintiffs' application for a building permit;</w:t>
      </w:r>
    </w:p>
    <w:p>
      <w:pPr>
        <w:numPr>
          <w:numId w:val="4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dismissal of the plaintiffs' application for a declaration that the City's resolutions of February 10, 2003, May 10, 2004, and June 14, 2004 are null and void; and</w:t>
      </w:r>
    </w:p>
    <w:p>
      <w:pPr>
        <w:numPr>
          <w:numId w:val="4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dismissal of the plaintiffs' application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Pursuant to the agreement between counsel, I adjourn generally the plaintiffs' claim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defendants have been successful in this Rule 18A summary trial and accordingly will have their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R.M.L. BLAIR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9" style="position:absolute;z-index:2518958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62"/>
          <w:headerReference w:type="default" r:id="rId863"/>
          <w:footerReference w:type="even" r:id="rId864"/>
          <w:footerReference w:type="default" r:id="rId865"/>
          <w:headerReference w:type="first" r:id="rId866"/>
          <w:footerReference w:type="first" r:id="rId86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68" w:history="1">
        <w:r>
          <w:rPr>
            <w:rFonts w:ascii="arial" w:eastAsia="arial" w:hAnsi="arial" w:cs="arial"/>
            <w:b/>
            <w:bCs/>
            <w:i/>
            <w:color w:val="0077CC"/>
            <w:kern w:val="32"/>
            <w:sz w:val="28"/>
            <w:szCs w:val="32"/>
            <w:u w:val="single"/>
            <w:shd w:val="clear" w:color="auto" w:fill="FFFFFF"/>
            <w:lang w:val="en-US" w:eastAsia="en-US" w:bidi="ar-SA"/>
          </w:rPr>
          <w:t>Western Surety Co. v. Hancon Holdings Ltd., [2007] B.C.J. No. 250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Gerow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8 - 10,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7,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S012718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250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180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6 W.W.R. 630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68 B.C.L.R. (4th) 382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59 C.L.R. (3d) 255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155 A.C.W.S. (3d) 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CarswellBC 274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Western Surety Company, Plaintiff, and Hancon Holdings Ltd., Ballenas Engineering Ltd., Moh Creek Logging Ltd., Ring Contracting Ltd., Sound Contracting Ltd., Rascal Trucking Ltd., CDF Developments Ltd. and Hans P. Heringa,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0" style="position:absolute;z-index:2516992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1" w:name="Keywords_39"/>
      <w:bookmarkEnd w:id="261"/>
      <w:r>
        <w:rPr>
          <w:rFonts w:ascii="arial" w:eastAsia="arial" w:hAnsi="arial" w:cs="arial"/>
          <w:b/>
          <w:color w:val="000000"/>
          <w:sz w:val="20"/>
          <w:lang w:val="en-US" w:eastAsia="en-US" w:bidi="ar-SA"/>
        </w:rPr>
        <w:t>Civil procedure — Interest — Statutory interest — Surety for labour and material bond only entitled to court interest where this was all that original surety agreement provided for — Subsequent agreement with indemnitors under bond, with term providing for payment of higher rate of interest, was not valid where surety provided no consideration for subsequent agreement.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Creditors and debtors law — Guarantee and indemnity — Enforcement — Surety or guarantor — Rights against creditor — Rights against debtor — Where agreement provided surety with mortgage over 13 properties owned by indemnitors under bond, to ensure repayment of debt under bond, surety should not have registered consent judgment against additional property of indemnitors — This amounted to abuse of process and slander on title, resulting in award of $20,000 to indemnitors.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Real property law — Mortgages — Mortgage agreement — Validity — Mortgage agreement granting surety mortgage over 13 properties of indemnitors under bond not valid where surety already obliged to pay out under bond — Surety provided no additional consideration for mortgage agreement.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Real property law — Registration of documents — Validity of — Where agreement provided surety with mortgage over 13 properties owned by indemnitors under bond, to ensure repayment of debt under bond, surety should not have registered consent judgment against additional property of indemnitors — This amounted to abuse of process and slander on title, resulting in award of $20,000 to indemnitors.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Abuse of legal procedure — Abuse of process — Where agreement provided surety with mortgage over 13 properties owned by indemnitors under bond, to ensure repayment of debt under bond, surety should not have registered consent judgment against additional property of indemnitors — This amounted to abuse of process and slander on title, resulting in award of $20,000 to indemnitors.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2" w:name="Case Summary_35"/>
            <w:bookmarkEnd w:id="26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Western to recover amount paid out under labour and material bond -- Western issued labour and material bond on behalf of Moh, providing that Western would pay any subcontractors or material suppliers unpaid by Moh -- Moh defaulted in paying subcontractors and suppliers in 2000 -- Western paid amounts Moh had not paid, and entered agreement with Moh's indemnitors granting Western mortgages over 13 properties and consent to judgment -- New agreement provided for payment of interest on debt, term not included in original agreement of indemnity -- Indemnitors initially made payments under agreement, but fell behind and asked Western for time -- Western filed and registered consent to judgment against 29 properties in 2001 -- Indemnitors made one further payment under agreement -- Indemnitors obtained order setting aside consent one year later, by convincing judge agreement was uncertain and ambiguous -- Western commenced action to recover principal amount it paid out under bond plus interest payable under agreement and costs -- Indemnitors admitted debt, but asserted agreement was not enforceable due to lack of consideration from Western to indemnitors -- Asserted Western only entitled to principal and interest pursuant to Court Order Interest Act -- Indemnitors counterclaimed for damages arising from Western's wrongful registration of consent judgment -- Indemnitors alleged Western filed and registered judgment against their properties with intent to extort payment from indemnitors in priority over their other creditors -- HELD: Action allowed in part and counterclaim allowed -- Agreement was not enforceable contract because of lack of consideration to indemnitors from Western -- Western was fulfilling pre-existing obligation by paying subcontractors and suppliers -- Compliance with pre-existing obligation did not constitute consideration for new contract -- New interest provisions in agreement put Western in better position than it was in under initial indemnity agreement -- Mortgage security was also provided, giving Western immediate recourse to default without need to prove claim in court to enforce debt -- Court interest was payable on debt -- Western entitled to some legal costs, but not those incurred in preparing and attending at trial -- Indemnitors entitled to costs of trial -- Western's conduct in registering security against 29 properties was heavy handed and oppressive, as it already had security for debt in form of mortgages over 13 properties -- To seek payment in priority over other creditors of indemnitors was improper, collateral purpose for filing judgment, making Western guilty of abuse of process and slander of title -- Indemnitors awarded $20,000 for their damages Western's abuse of process.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3" w:name="Legislation Cited_32"/>
      <w:bookmarkEnd w:id="26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1" style="position:absolute;z-index:2517504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Builders' Lien Act, </w:t>
      </w:r>
      <w:r>
        <w:rPr>
          <w:rFonts w:ascii="arial" w:eastAsia="arial" w:hAnsi="arial" w:cs="arial"/>
          <w:i/>
          <w:color w:val="000000"/>
          <w:sz w:val="20"/>
          <w:lang w:val="en-US" w:eastAsia="en-US" w:bidi="ar-SA"/>
        </w:rPr>
        <w:t>S.B.C. 1997, c. 45</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Court Order Interest Act,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64" w:name="Counsel_39"/>
      <w:bookmarkEnd w:id="26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2" style="position:absolute;z-index:251801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B.M. Samuels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J.J. Hyde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5" w:name="Judgment_39"/>
      <w:bookmarkEnd w:id="265"/>
      <w:r>
        <w:pict>
          <v:line id="_x0000_s1223" style="position:absolute;z-index:25185280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May 1, 2007 and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6" w:name="GEROW J."/>
            <w:bookmarkEnd w:id="266"/>
            <w:r>
              <w:rPr>
                <w:rFonts w:ascii="arial" w:eastAsia="arial" w:hAnsi="arial" w:cs="arial"/>
                <w:b/>
                <w:color w:val="000000"/>
                <w:sz w:val="30"/>
                <w:lang w:val="en-US" w:eastAsia="en-US" w:bidi="ar-SA"/>
              </w:rPr>
              <w:t>GEROW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Western Surety Ltd. issued a labour and material bond (the "Bond") on behalf of a contractor, Moh Creek Logging Ltd. for a project known as the Mary Ellen and Dover Road project (the "Project') in 2000. It was a term of the Bond that if Moh Creek failed to pay any of its subcontractors or material suppliers, Western Surety would pay them. All of the defendants are indemnitors under the Bond. Moh Creek failed to pay some of its subcontractors and material suppliers on the Project. In August 2000, the unpaid subcontractors and material suppliers claimed against the Bond and Western Surety was required to pay the amounts that Moh Creek had not paid. Shortly after Moh Creek notified Western Surety of the default an agreement was entered into between Western Surety and the defendants (the "Agreement") in which the defendants granted Western Surety mortgages over 13 properties and a Consent to Judgment. In May 2001, Western Surety filed and registered the Consent Judgment against 29 properties owned wholly or in part by the defendants. In March 2001, the defendants sought and obtained an order setting aside the Consent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Western Surety is seeking the principal amount it paid out under the Bond plus interest it says is payable under the Agreement. As well, Western Surety is seeking its legal costs. The defendants have admitted the debt for the amount Western Surety paid out under the Bond of $138,187, but have not paid it. The defendants assert that the Agreement is not enforceable due to a lack of consideration from Western Surety to the defendants, and that Western Surety is only entitled to the principal amount owing plus interest pursuant to the </w:t>
      </w:r>
      <w:r>
        <w:rPr>
          <w:rFonts w:ascii="arial" w:eastAsia="arial" w:hAnsi="arial" w:cs="arial"/>
          <w:b/>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xml:space="preserve">. Western Surety says that the issue of whether the Agreement is an enforceable contract is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as a result of the decision setting aside the Consent Judgment. The defendants are counterclaiming for damages arising from the wrongful registration of the Consent Judgment against the 29 properties owned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issues are:</w:t>
      </w:r>
      <w:r>
        <w:rPr>
          <w:rFonts w:ascii="arial" w:eastAsia="arial" w:hAnsi="arial" w:cs="arial"/>
          <w:sz w:val="20"/>
          <w:lang w:val="en-US" w:eastAsia="en-US" w:bidi="ar-SA"/>
        </w:rPr>
        <w:cr/>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the issue of whether the Agreement is an enforceable contract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and if not, is the Agreement an enforceable contract between the parties?</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rate of interest is payable upon the debt?</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if any, legal costs of Western Surety are recoverable from the defendants?</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defendants entitled to a set-off for damages suffered as a result of the filing of the consent judgment, and if so, what is the amount of the set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Owners require contractors to obtain bonds on most large construction projects. Western Surety is in the business of providing bonds to contractors for projects which require them. Typically the contractor will obtain a performance bond and a labour and material bond. The labour and material bond provides assurance to the owner that if the contractor does not pay its subcontractors or material suppliers, the surety (bonding company) will pay the claimants, and thereby there will be no liens filed on the owner's property. In some cases, where the project involves a road or other land against which no lien can be filed, a public owner, such as the City of Nanaimo, requires a bond in order to protect potential claimants.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are a number of companies that are involved in various construction related businesses, and an individual, Hans Heringa. Mr. Heringa is the principal of Moh Creek and the other defendants, and has dealt with Western Surety in order to obtain bonding for various projects since 1990. Between 1990 and 2000, Western Surety provided approximately 70 bonds to the defendants for projects the defendants were involved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2000, Moh Creek undertook the Project which involved some road work for the City of Nanaimo. Bonding was required for the Project, and Moh Creek obtained the Bond dated February 1, 2000 from Western Surety.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 labour and material bond is a tripartite agreement involving a principal (Moh Creek), a surety (Western Surety), and an obligee (the City of Nanaimo). Before a surety issues a bond, it requires the principal to give a full indemnity. It also typically requires an indemnity from officers, directors, and related companies. In 1992, Mr. Heringa and the other related companies which have been named as defendants provided a General Agreement of Indemnity to Western Surety. The General Agreement of Indemnity requires that the indemnitors place Western Surety in funds before it is required to pay the claimants when there is a claim against a bond. The intent of the General Agreement of Indemnity was that Western Surety would not have to use its own funds to pay any claims against bonds that it issued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August 3, 2000, Mr. Heringa wrote to his broker advising that Moh Creek had a cash flow problem and could not pay $288,457.91 owed to its subcontractors and material suppliers. In the letter, Mr. Heringa requested a cash injection of $200,000 to Moh Creek so that Moh Creek could pay the subcontractors and material suppliers. The letter stated that Moh Creek had cash flow problems because the City of Nanaimo had unexpectedly drawn on a letter of credit, and that Moh Creek needed to pay the subcontractors and material suppliers in order to be in a position to collect the builders' lien holdback monies being held by the City. Mr. Heringa explained that the progress funds for the Project had been used to finance other projects and offered to provide security for an advance of monies to pay 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type of arrangement Mr. Heringa was requesting is called a work-out agreement. Under a work-out agreement funds are advanced by a surety to assist a contractor in paying trades, and that defers payments under the bonds and actions against the indemnitors. Such an agreement allows the contractor to negotiate directly with the trades. A surety will enter into a work-out agreement from time to time because it is commonly recognized that the contractor is in the best position to engage in negotiations with its trades and material suppliers.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letter was forwarded on to Western Surety which refused Mr. Heringa's request to inject cash into Moh Creek so that Moh Creek could pay its subcontractors and material suppliers directly. Western Surety advised Mr. Heringa that it was only prepared to make payments directly to claimants who made valid claims against the Bond. Subsequently, three claimants made claims against the Bond and Western Surety paid out the following amounts under the Bond: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2614"/>
        <w:gridCol w:w="2091"/>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Hub City Paving</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$161,210.34</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2823"/>
        <w:gridCol w:w="1882"/>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Western Power Cable</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$ 84,926.17</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732"/>
        <w:gridCol w:w="2405"/>
        <w:gridCol w:w="2301"/>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Lussier &amp; Sons</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$ 26,519.00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City released the holdback of $88,457.92 and Moh Creek assigned the holdback to Western Surety, thereby reducing the amount owing by the indemnitors to Western Surety. The defendants made two further payments of $25,000 on April 25, 2001 and $21,000 on March 6, 2002 to Western Surety, which reduced the principal amount outstanding to $138,197.59.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Shortly after the August 3rd letter, the Agreement was entered into. The Agreement was drafted by Mr. Bourassa, the general counsel and chief compliance officer for Western Surety.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Agreement provided that Western Surety was willing to advance funds to the subcontractors and material suppliers on the terms and conditions set out in the Agreement. Mr. Bourassa's evidence is that Western Surety's request that the defendants enter into the Agreement was unique, but he felt it was necessary because of the contractor's admission that it had commingled funds between various projects in contravention of the provisions of the </w:t>
      </w:r>
      <w:r>
        <w:rPr>
          <w:rFonts w:ascii="arial" w:eastAsia="arial" w:hAnsi="arial" w:cs="arial"/>
          <w:b/>
          <w:i/>
          <w:color w:val="000000"/>
          <w:sz w:val="20"/>
          <w:lang w:val="en-US" w:eastAsia="en-US" w:bidi="ar-SA"/>
        </w:rPr>
        <w:t>Builders' Lien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1997, c. 45</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relevant portions of the Agreement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WHEREAS: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WSC has issued Performance Bonds and Labour and Material Bonds on behalf of Moh Creek and affiliated companies including, but not limited to, bonds relating to road construction - Mary Ellen Drive and Dover Road (the "Bonds").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WSC has received claims pursuant to the Bonds; and</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Pursuant to an Indemnity and Security Agreement dated December 16, 1992, between Moh Creek and the Indemnitors on one hand and WSC on the other hand (the "General Indemnity Agreement"), the Indemnitors agreed, inter alia, to exonerate, indemnify and keep indemnified WSC from and against any and all liabilities, losses and expenses of whatsoever kind or nature imposed upon, sustained or incurred by WSC by reason of its having executed, provided or procured bonds on behalf of Moh Creek;</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Moh Creek has requested WSC to advance funds on its behalf to pay claims made pursuant to the Bonds;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WSC is willing to advance funds on behalf of Moh Creek on the terms and conditions herein set out.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NOW THEREFORE THIS AGREEMENT WITNESSETH THAT in consideration of the premises and the covenants and agreements herein contained and the sum of Two Dollars ($2.00) of lawful money on Canada now paid by each party to each of the others (the receipt of which is hereby acknowledged) the parties hereto agree as follows: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WSC agreed to advance funds to or on behalf of Moh Creek to pay claims made pursuant to the Bonds (the "Advances"). The amounts of the Advances shall be at the sole discretion of WSC. Nothing herein shall be construed or interpreted as creating an obligation on WSC to make any Advances.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Notwithstanding the terms of the General Indemnity Agreement, the Advances shall bear interest at the rate of Prime plus 3% per annum calculated from the date of the Advance until repayment in full (the "Interest"). ... Moh Creek and the Indemnitors promise to repay the Advances, together with interest thereon, on demand by WSC. Until such demand is made, Moh Creek and the Indemnitors shall pay to WSC all available cash flow until the Advances, Interest and Expenses, are paid in full.</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security for the performance and fulfillment of all obligations of Moh Creek hereunder, Moh Creek hereby assigns and transfers to WSC all moneys due or growing due as progress payments pursuant to the Mary Ellen Drive and Dover Road contract for work performed prior to or following the date of this Agreement.</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security for the performance and fulfillment of their respective obligations under the General Indemnity Agreement, Moh Creek and the Indemnitors will execute an Appearance and Consent to Judgment in an action under the General Indemnity Agreement in an amount which includes the anticipated Advances, Expenses and Interest to be held by counsel for WSC on the basis that it will not be entered unless Moh Creek does not make payment of the Advances, Expenses and Interest in accordance with a payment schedule to be agreed upon by Moh Creek and WSC prior to September 30, 2000 and in any event payment in full shall be made by December 31, 2001 or make such other agreement to extend that period.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security for the performance and fulfillment of his respective obligation under the General Indemnity Agreement, Hans Heringa grants a mortgage on a running account basis in the amount of the Advances, Expenses and Interest against title to the lands described in Schedule "A".</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Indemnitors confirm that the General Indemnity Agreement remains in full force and effect notwithstanding the entering into of this Agreement and the carrying out of any or all of the transactions herein provided for and notwithstanding that this Agreement may hereafter be terminated by WSC or be otherwise terminated.</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Indemnitors agree that all liabilities, losses and reasonable and necessary expenses incurred by WSC by reason of its having executed this Agreement, including without limitation, the Expenses shall be conclusively deemed to be liabilities, losses or expenses incurred by WSC by reason of its having executed the Bonds and accordingly agree that such liabilities, losses and expenses are reimbursable to WSC pursuant to the General Indemnity Agreement.</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Moh Creek and the Indemnitors jointly and severally covenant and agree to pay all reasonable and necessary expenses of WSC including legal, accounting, engineering and consulting fees incurred by WSC whether before or after the date hereof in connection with: (i) the investigation of the financial condition of the Indemnitors: (ii) the negotiation and execution of this Agreement and of any and all documents herein provided for (the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the Agreement, Mr. Heringa granted Western Surety mortgages over 13 properties, as well as the Consent to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After the Agreement was entered into, Western Surety made several requests to Mr. Heringa for the payment schedule referred to in the Agreement. Mr. Heringa requested an extension of time beyond September 30, 2000 to provide the payment schedule. By March 2001 the parties had not agreed to a payment schedule. On March 12, 2001, counsel for Western Surety wrote to the defendants demanding immediate payment of all outstanding principal and interest by April 12, 2001, and warning that if the monies were not received Western Surety would proceed to realize on the security under the Agreement, including filing and registering the Consent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Heringa responded on March 15, 2001 requesting that Western Surety not file and register the Consent Judgment. In the letter, Mr. Heringa explained that the defendants were still experiencing financial problems, and promised to pay $25,000 following an auction sale. Mr. Heringa followed up with a letter of March 26, 2001 confirming that the $25,000 would be forwarded to Western Surety in April 2001, and asking to renegotiate the terms of the Agreement. On April 25, 2001, the defendants paid $25,000 to Western Surety.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May 14, 2001, without further notice to the defendants, Western Surety entered the Consent Judgment, which was registered the following day on titles of 29 properties owned wholly or in part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March 6, 2002, a further payment of $21,000 was made by the defendants to Western Surety.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March 13, 2002, the defendants brought an application to have the Consent Judgment removed from the titles. In opposing the application, Western Surety argued that it was entitled to file and register the Consent Judgment because the defendants were in default under the Agreement for failing to provide a payment schedule as required by paragraph 4 of the Agreement. However, Morrison J. set aside the Consent Judgment on the basis that it was premature. In her reasons, Morrison J. stated that paragraph 4 of the Agreement was uncertain and ambiguous.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April 26, 2002, Western Surety removed the Consent Judgment from the titles of the 29 properties owned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Is the issue of whether the Agreement is enforceable res judicata, and if not, is the Agreement an enforceable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 have concluded that the issue of whether the Agreement is an enforceable contract is not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As well, I have concluded that the Agreement is not an enforceable contract because there was a lack of consideration by Western Surety to the defendants for the Agreement. Western Surety was fulfilling a pre-existing obligation under the Bond when it paid the claimant subcontractors and material suppliers.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Western Surety asserts that the validity of the Agreement has already been adjudicated upon by Morrison J. in her decision to set aside the Consent Judgment in March 2002, and therefore the issue of whether the Agreement is valid is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maxim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applies if the judicial decision and order dealt with the same issues and causes: </w:t>
      </w:r>
      <w:r>
        <w:rPr>
          <w:rFonts w:ascii="arial" w:eastAsia="arial" w:hAnsi="arial" w:cs="arial"/>
          <w:b/>
          <w:i/>
          <w:color w:val="000000"/>
          <w:sz w:val="20"/>
          <w:lang w:val="en-US" w:eastAsia="en-US" w:bidi="ar-SA"/>
        </w:rPr>
        <w:t>Lehndorff Management Ltd. v. L.R.S. Development Enterprises Ltd.</w:t>
      </w:r>
      <w:r>
        <w:rPr>
          <w:rFonts w:ascii="arial" w:eastAsia="arial" w:hAnsi="arial" w:cs="arial"/>
          <w:color w:val="000000"/>
          <w:sz w:val="20"/>
          <w:lang w:val="en-US" w:eastAsia="en-US" w:bidi="ar-SA"/>
        </w:rPr>
        <w:t xml:space="preserve"> </w:t>
      </w:r>
      <w:hyperlink r:id="rId869" w:history="1">
        <w:r>
          <w:rPr>
            <w:rFonts w:ascii="arial" w:eastAsia="arial" w:hAnsi="arial" w:cs="arial"/>
            <w:i/>
            <w:color w:val="0077CC"/>
            <w:sz w:val="20"/>
            <w:u w:val="single"/>
            <w:shd w:val="clear" w:color="auto" w:fill="FFFFFF"/>
            <w:lang w:val="en-US" w:eastAsia="en-US" w:bidi="ar-SA"/>
          </w:rPr>
          <w:t>(1980), 19 B.C.L.R. 59</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Western Surety relies on </w:t>
      </w:r>
      <w:r>
        <w:rPr>
          <w:rFonts w:ascii="arial" w:eastAsia="arial" w:hAnsi="arial" w:cs="arial"/>
          <w:b/>
          <w:i/>
          <w:color w:val="000000"/>
          <w:sz w:val="20"/>
          <w:lang w:val="en-US" w:eastAsia="en-US" w:bidi="ar-SA"/>
        </w:rPr>
        <w:t>Paterson v. Reeves</w:t>
      </w:r>
      <w:r>
        <w:rPr>
          <w:rFonts w:ascii="arial" w:eastAsia="arial" w:hAnsi="arial" w:cs="arial"/>
          <w:color w:val="000000"/>
          <w:sz w:val="20"/>
          <w:lang w:val="en-US" w:eastAsia="en-US" w:bidi="ar-SA"/>
        </w:rPr>
        <w:t xml:space="preserve">, </w:t>
      </w:r>
      <w:hyperlink r:id="rId870" w:history="1">
        <w:r>
          <w:rPr>
            <w:rFonts w:ascii="arial" w:eastAsia="arial" w:hAnsi="arial" w:cs="arial"/>
            <w:i/>
            <w:color w:val="0077CC"/>
            <w:sz w:val="20"/>
            <w:u w:val="single"/>
            <w:shd w:val="clear" w:color="auto" w:fill="FFFFFF"/>
            <w:lang w:val="en-US" w:eastAsia="en-US" w:bidi="ar-SA"/>
          </w:rPr>
          <w:t>[2002] B.C.J. No. 2120</w:t>
        </w:r>
      </w:hyperlink>
      <w:r>
        <w:rPr>
          <w:rFonts w:ascii="arial" w:eastAsia="arial" w:hAnsi="arial" w:cs="arial"/>
          <w:color w:val="000000"/>
          <w:sz w:val="20"/>
          <w:lang w:val="en-US" w:eastAsia="en-US" w:bidi="ar-SA"/>
        </w:rPr>
        <w:t xml:space="preserve">, </w:t>
      </w:r>
      <w:hyperlink r:id="rId870" w:history="1">
        <w:r>
          <w:rPr>
            <w:rFonts w:ascii="arial" w:eastAsia="arial" w:hAnsi="arial" w:cs="arial"/>
            <w:i/>
            <w:color w:val="0077CC"/>
            <w:sz w:val="20"/>
            <w:u w:val="single"/>
            <w:shd w:val="clear" w:color="auto" w:fill="FFFFFF"/>
            <w:lang w:val="en-US" w:eastAsia="en-US" w:bidi="ar-SA"/>
          </w:rPr>
          <w:t>2002 BCSC 1341</w:t>
        </w:r>
      </w:hyperlink>
      <w:r>
        <w:rPr>
          <w:rFonts w:ascii="arial" w:eastAsia="arial" w:hAnsi="arial" w:cs="arial"/>
          <w:color w:val="000000"/>
          <w:sz w:val="20"/>
          <w:lang w:val="en-US" w:eastAsia="en-US" w:bidi="ar-SA"/>
        </w:rPr>
        <w:t xml:space="preserve"> for the proposition that the defendants could not come to court seeking only the adjudication of a part of their case, but must bring their whole case. Western Surety argues that the defendants could not seek to strike a paragraph in the Agreement in their interlocutory application before Morrison J. and now seek to strike the whole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Paterson</w:t>
      </w:r>
      <w:r>
        <w:rPr>
          <w:rFonts w:ascii="arial" w:eastAsia="arial" w:hAnsi="arial" w:cs="arial"/>
          <w:color w:val="000000"/>
          <w:sz w:val="20"/>
          <w:lang w:val="en-US" w:eastAsia="en-US" w:bidi="ar-SA"/>
        </w:rPr>
        <w:t xml:space="preserve"> discusses the law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noting that it can apply to interlocutory orders depending on the issue before the court on the first application and whether the order that was made was conclusive of the issue. The issue must have been raised and been fundamental to the decision in the first hearing. If the issue is one to which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applies, the court must consider whether an application of the doctrine would work an injustice in the circumstances of the case: </w:t>
      </w:r>
      <w:r>
        <w:rPr>
          <w:rFonts w:ascii="arial" w:eastAsia="arial" w:hAnsi="arial" w:cs="arial"/>
          <w:b/>
          <w:i/>
          <w:color w:val="000000"/>
          <w:sz w:val="20"/>
          <w:lang w:val="en-US" w:eastAsia="en-US" w:bidi="ar-SA"/>
        </w:rPr>
        <w:t>Paterson</w:t>
      </w:r>
      <w:r>
        <w:rPr>
          <w:rFonts w:ascii="arial" w:eastAsia="arial" w:hAnsi="arial" w:cs="arial"/>
          <w:color w:val="000000"/>
          <w:sz w:val="20"/>
          <w:lang w:val="en-US" w:eastAsia="en-US" w:bidi="ar-SA"/>
        </w:rPr>
        <w:t xml:space="preserve">at [paragraph] 23, referring to </w:t>
      </w:r>
      <w:r>
        <w:rPr>
          <w:rFonts w:ascii="arial" w:eastAsia="arial" w:hAnsi="arial" w:cs="arial"/>
          <w:b/>
          <w:i/>
          <w:color w:val="000000"/>
          <w:sz w:val="20"/>
          <w:lang w:val="en-US" w:eastAsia="en-US" w:bidi="ar-SA"/>
        </w:rPr>
        <w:t>Danyluk v. Ainsworth Technologies Inc.</w:t>
      </w:r>
      <w:r>
        <w:rPr>
          <w:rFonts w:ascii="arial" w:eastAsia="arial" w:hAnsi="arial" w:cs="arial"/>
          <w:color w:val="000000"/>
          <w:sz w:val="20"/>
          <w:lang w:val="en-US" w:eastAsia="en-US" w:bidi="ar-SA"/>
        </w:rPr>
        <w:t xml:space="preserve">, </w:t>
      </w:r>
      <w:hyperlink r:id="rId871" w:history="1">
        <w:r>
          <w:rPr>
            <w:rFonts w:ascii="arial" w:eastAsia="arial" w:hAnsi="arial" w:cs="arial"/>
            <w:i/>
            <w:color w:val="0077CC"/>
            <w:sz w:val="20"/>
            <w:u w:val="single"/>
            <w:shd w:val="clear" w:color="auto" w:fill="FFFFFF"/>
            <w:lang w:val="en-US" w:eastAsia="en-US" w:bidi="ar-SA"/>
          </w:rPr>
          <w:t>[2001] 2 S.C.R. 460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Neither trial counsel was counsel at the interlocutory application before Morrison J. The only order sought in the amended notice of motion was that the Consent Judgment be set aside. There was no order being sought to strike either a paragraph of or the whole Agreement. The written arguments are centered on the validity of the Consent Judgment. Morrison J.'s reasons do not refer to the issues of either the enforceability of the Agreement, or whether there was consideration for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the circumstances, Western Surety has not established that the same issues were being decided. In my opinion, Western Surety has failed to establish that the doctrine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applies to the issue of whether the Agreement is unenforceable due to a lack of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defendants assert that the Agreement is not an enforceable contract between the parties because they received no consideration for entering into the Agreement. Western Surety's obligation to pay the subcontractors and material suppliers arose from the Bond, not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Compliance with a pre-existing obligation does not constitute consideration for a new contract. There is no consideration if all the plaintiff does is perform an obligation imposed upon it by a prior contract between the plaintiff and the defendant: </w:t>
      </w:r>
      <w:r>
        <w:rPr>
          <w:rFonts w:ascii="arial" w:eastAsia="arial" w:hAnsi="arial" w:cs="arial"/>
          <w:b/>
          <w:i/>
          <w:color w:val="000000"/>
          <w:sz w:val="20"/>
          <w:lang w:val="en-US" w:eastAsia="en-US" w:bidi="ar-SA"/>
        </w:rPr>
        <w:t>Burton v. Brook</w:t>
      </w:r>
      <w:r>
        <w:rPr>
          <w:rFonts w:ascii="arial" w:eastAsia="arial" w:hAnsi="arial" w:cs="arial"/>
          <w:color w:val="000000"/>
          <w:sz w:val="20"/>
          <w:lang w:val="en-US" w:eastAsia="en-US" w:bidi="ar-SA"/>
        </w:rPr>
        <w:t xml:space="preserve"> </w:t>
      </w:r>
      <w:hyperlink r:id="rId872" w:history="1">
        <w:r>
          <w:rPr>
            <w:rFonts w:ascii="arial" w:eastAsia="arial" w:hAnsi="arial" w:cs="arial"/>
            <w:i/>
            <w:color w:val="0077CC"/>
            <w:sz w:val="20"/>
            <w:u w:val="single"/>
            <w:shd w:val="clear" w:color="auto" w:fill="FFFFFF"/>
            <w:lang w:val="en-US" w:eastAsia="en-US" w:bidi="ar-SA"/>
          </w:rPr>
          <w:t>(1956), 6 D.L.R. (2d) 464</w:t>
        </w:r>
      </w:hyperlink>
      <w:r>
        <w:rPr>
          <w:rFonts w:ascii="arial" w:eastAsia="arial" w:hAnsi="arial" w:cs="arial"/>
          <w:color w:val="000000"/>
          <w:sz w:val="20"/>
          <w:lang w:val="en-US" w:eastAsia="en-US" w:bidi="ar-SA"/>
        </w:rPr>
        <w:t xml:space="preserve"> at 471 (B.C.S.C.), referring to G.C. Cheshire &amp; C.H.S. Fifoot, </w:t>
      </w:r>
      <w:r>
        <w:rPr>
          <w:rFonts w:ascii="arial" w:eastAsia="arial" w:hAnsi="arial" w:cs="arial"/>
          <w:i/>
          <w:color w:val="000000"/>
          <w:sz w:val="20"/>
          <w:lang w:val="en-US" w:eastAsia="en-US" w:bidi="ar-SA"/>
        </w:rPr>
        <w:t>The Law of Contract</w:t>
      </w:r>
      <w:r>
        <w:rPr>
          <w:rFonts w:ascii="arial" w:eastAsia="arial" w:hAnsi="arial" w:cs="arial"/>
          <w:color w:val="000000"/>
          <w:sz w:val="20"/>
          <w:lang w:val="en-US" w:eastAsia="en-US" w:bidi="ar-SA"/>
        </w:rPr>
        <w:t xml:space="preserve">, 3rd ed. (London: Butterworths, 1952) at 69, and </w:t>
      </w:r>
      <w:r>
        <w:rPr>
          <w:rFonts w:ascii="arial" w:eastAsia="arial" w:hAnsi="arial" w:cs="arial"/>
          <w:b/>
          <w:i/>
          <w:color w:val="000000"/>
          <w:sz w:val="20"/>
          <w:lang w:val="en-US" w:eastAsia="en-US" w:bidi="ar-SA"/>
        </w:rPr>
        <w:t>Combe v. Combe</w:t>
      </w:r>
      <w:r>
        <w:rPr>
          <w:rFonts w:ascii="arial" w:eastAsia="arial" w:hAnsi="arial" w:cs="arial"/>
          <w:color w:val="000000"/>
          <w:sz w:val="20"/>
          <w:lang w:val="en-US" w:eastAsia="en-US" w:bidi="ar-SA"/>
        </w:rPr>
        <w:t xml:space="preserve">, [1951] 2 K.B. 215. Promising to do what one is already contractually obliged to do is not consideration which provides support for the new contract: </w:t>
      </w:r>
      <w:r>
        <w:rPr>
          <w:rFonts w:ascii="arial" w:eastAsia="arial" w:hAnsi="arial" w:cs="arial"/>
          <w:b/>
          <w:i/>
          <w:color w:val="000000"/>
          <w:sz w:val="20"/>
          <w:lang w:val="en-US" w:eastAsia="en-US" w:bidi="ar-SA"/>
        </w:rPr>
        <w:t>Gilbert Steel Ltd. v. University Construction Ltd.</w:t>
      </w:r>
      <w:r>
        <w:rPr>
          <w:rFonts w:ascii="arial" w:eastAsia="arial" w:hAnsi="arial" w:cs="arial"/>
          <w:color w:val="000000"/>
          <w:sz w:val="20"/>
          <w:lang w:val="en-US" w:eastAsia="en-US" w:bidi="ar-SA"/>
        </w:rPr>
        <w:t xml:space="preserve">, </w:t>
      </w:r>
      <w:hyperlink r:id="rId873" w:history="1">
        <w:r>
          <w:rPr>
            <w:rFonts w:ascii="arial" w:eastAsia="arial" w:hAnsi="arial" w:cs="arial"/>
            <w:i/>
            <w:color w:val="0077CC"/>
            <w:sz w:val="20"/>
            <w:u w:val="single"/>
            <w:shd w:val="clear" w:color="auto" w:fill="FFFFFF"/>
            <w:lang w:val="en-US" w:eastAsia="en-US" w:bidi="ar-SA"/>
          </w:rPr>
          <w:t>[1973] 3 O.R. 268</w:t>
        </w:r>
      </w:hyperlink>
      <w:r>
        <w:rPr>
          <w:rFonts w:ascii="arial" w:eastAsia="arial" w:hAnsi="arial" w:cs="arial"/>
          <w:color w:val="000000"/>
          <w:sz w:val="20"/>
          <w:lang w:val="en-US" w:eastAsia="en-US" w:bidi="ar-SA"/>
        </w:rPr>
        <w:t xml:space="preserve"> (Ont. H.C.), aff'd </w:t>
      </w:r>
      <w:hyperlink r:id="rId874" w:history="1">
        <w:r>
          <w:rPr>
            <w:rFonts w:ascii="arial" w:eastAsia="arial" w:hAnsi="arial" w:cs="arial"/>
            <w:i/>
            <w:color w:val="0077CC"/>
            <w:sz w:val="20"/>
            <w:u w:val="single"/>
            <w:shd w:val="clear" w:color="auto" w:fill="FFFFFF"/>
            <w:lang w:val="en-US" w:eastAsia="en-US" w:bidi="ar-SA"/>
          </w:rPr>
          <w:t>(1976), 12 O.R. (2d) 19</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obligation to pay the claimant subcontractors and material suppliers arose under the Bond, not the Agreement. Mr. Bourassa testified that once Western Surety was satisfied the claims were made within the required time, were valid, and that there was no defence to them, Western Surety was obliged to pay them under the Bond.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Western Surety asserts that there was consideration in that Western Surety granted the defendants forbearance as it gave them time to pay the debt as evidenced by paragraph 4 of the Agreement. Western Surety says that even if there has been no promise to forbear, the fact that there has been some forbearance constitutes consideration. Western Surety says in this case there was both a promise, as well as actual forbearance.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Although Western Surety asserts that the Agreement provided time to the defendants to repay the debt, paragraph 2 of the Agreement provides that the defendants had to pay all available cash flow from the time the Agreement was entered into until the debt was paid in full to Western Surety, and that the defendants must pay the entire amount upon demand by Western Surety. As well, in paragraph 3 of the Agreement, Moh Creek transfers to Western Surety all money due or growing due on the Project. Forbearance is valuable consideration; however it is my opinion that no time was granted to the defendants in the Agreement, as the debt was to be paid from all available cash flow and in full upon demand.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Western Surety points to the fact that the defendants were required to put Western Surety in funds prior to it paying out the Bond under the General Agreement of Indemnity. However, Western Surety's obligation to pay the claimants arose from the Bond not the General Agreement of Indemnity. Having paid out under the Bond, Western Surety was entitled to proceed against the defendants for those amounts pursuant to the General Agreement of Indemnity. It chose not to. The General Agreement of Indemnity requires that the defendants indemnify Western Surety for any amounts Western Surety paid out under any bond issued to the defendants, but there is no requirement to pay interest. The requirement in the Agreement that the defendants repay Western Surety any Advances, together with interest at prime plus 3% from all available cash flow and immediately upon demand, put Western Surety in a better position than under the General Agreement of Indemnity as it was entitled to interest under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As well, the Agreement gave Western Surety mortgage security for the debt and, in the Consent to Judgment, immediate recourse to default by the defendants without the need to prove a claim in court to enforce the debt. All of these provisions are for the benefit of Western Surety.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Heringa's evidence is that he entered into the Agreement at the request of Western Surety because he wanted to cooperate with Western Surety and make sure the subcontractors and material suppliers were paid as quickly as possible. He had never made a bond claim and did not receive legal advice prior to signing the Agreement. He did not receive the $2 referred to in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my view, Western Surety has failed to establish that the defendants received any consideration for the Agreement, and the Agreement is therefore unenforceable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What rate of interest is payable upon the debt?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defendants agree that if the Agreement is unenforceable, court order interest is payable on the debt. There will be a reference to the registrar in the event that the parties cannot agree to the amount of court interest payable.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What, if any, of Western Surety's legal costs are recoverable from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General Agreement of Indemnity refers to legal costs. The applicable provision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Second - That the Indemnitor ... will at all times indemnify and save the Company harmless from and against every claim, demand, liability, loss, cost, charge, counsel fee (including fees of special counsel whenever by the Company deemed necessary), expense, suit, order, judgment and adjudication whatsoever, and any and all liability therefor, sustained or incurred by the Company by reason of having executed or procured the execution of said bonds or obligations, and will place the Company in funds to meet the same before it shall be required to make payment, and in case the Indemnitor requests the Company to join in the prosecution or defense of any legal proceeding, the Indemnitor will, on demand of the Company, place it in funds sufficient to defray all expenses and all judgments that may be rendered therein.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defendants argue that the provision can only be construed as applying to legal expenses arising from claims or actions by third parties, rather than disputes between Western Surety and the indemnitors.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Western Surety asserts that as long as a claim is advanced against the Bond, as it was here, the indemnitors have to make Western Surety whole for all costs and expenses arising out of having issued the Bond.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clause is drafted very widely and applies to any legal costs or expenses Western Surety has resulting from the issuance of a bond, not just those of third parties. In my opinion, Western Surety is entitled to be reimbursed by the defendants for the legal costs and disbursements it has incurred to collect the monies it paid out under the Bond from the defendants. However, not all of Western Surety's legal costs arose from the pursuit of the debt arising from the payments under the Bond. Prior to the trial, an agreed statement of facts was entered into wherein the defendants admitted that it owed Western Surety the monies that Western Surety paid out under the Bond. At trial, the defendants agreed that interest would be payable on the debt at court interest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issue at the trial was the enforceability of the Agreement, not the debt arising from payments under the Bond. As a result, Western Surety is not entitled to the legal fees it incurred preparing and attending at the trial. The defendants were successful on the issue of the enforceability of the Agreement and are therefore entitled to costs of the trial at scale B to be set off against Western Surety's legal costs for the action leading up to, but not including preparation for trial after December 12, 2006. On December 12, 2006, the defendants issued a notice to admit to Western Surety admitting their indebtedness for the amounts Western Surety paid out under the Bond.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Are the defendants entitled to a set-off for damages suffered as a result of the filing of the consent judgment, and if so, what is the extent of the set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defendants have made a counterclaim for damages resulting from the improper filing and registering of the Consent Judgment against the 29 properties owned wholly or in part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Western Surety takes the position that the defendants have not proved they have suffered any damages as a result of the filing and registration of the Consent Judgment against the properties, and therefore they are not entitled to any damages pursuant to breach of contract. Western Surety says that the defendants cannot advance a claim for damages at large because they pleaded breach of contract in the counterclaim and are not advancing any cause of action in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It is not necessary for the defendants to plead specific causes of action. They need only plead material facts that can support one or more causes of action: </w:t>
      </w:r>
      <w:r>
        <w:rPr>
          <w:rFonts w:ascii="arial" w:eastAsia="arial" w:hAnsi="arial" w:cs="arial"/>
          <w:b/>
          <w:i/>
          <w:color w:val="000000"/>
          <w:sz w:val="20"/>
          <w:lang w:val="en-US" w:eastAsia="en-US" w:bidi="ar-SA"/>
        </w:rPr>
        <w:t>Alford v. Canada (Attorney General)</w:t>
      </w:r>
      <w:r>
        <w:rPr>
          <w:rFonts w:ascii="arial" w:eastAsia="arial" w:hAnsi="arial" w:cs="arial"/>
          <w:color w:val="000000"/>
          <w:sz w:val="20"/>
          <w:lang w:val="en-US" w:eastAsia="en-US" w:bidi="ar-SA"/>
        </w:rPr>
        <w:t xml:space="preserve">, </w:t>
      </w:r>
      <w:hyperlink r:id="rId875" w:history="1">
        <w:r>
          <w:rPr>
            <w:rFonts w:ascii="arial" w:eastAsia="arial" w:hAnsi="arial" w:cs="arial"/>
            <w:i/>
            <w:color w:val="0077CC"/>
            <w:sz w:val="20"/>
            <w:u w:val="single"/>
            <w:shd w:val="clear" w:color="auto" w:fill="FFFFFF"/>
            <w:lang w:val="en-US" w:eastAsia="en-US" w:bidi="ar-SA"/>
          </w:rPr>
          <w:t>[1998] B.C.J. No. 2965</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defendants submit that the counterclaim pleads the material facts necessary to establish a claim that Western Surety has been guilty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intentionally wrongful conduct in filing and registering the Consent Judgment. The defendants argue that the material facts pleaded support tort claims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slander of title, and abuse of process. The defendants rely on the material facts pleaded in paragraph 8 of the statement of defence and counterclaim which reads: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14 May 2001, the Plaintiff, in breach of the Agreement, wrongfully filed the Appearance and entered the Consent Order and, on or about 15, May 2001, registered a Certificate of Judgment in respect thereof at the Victoria Land Title Office against the interests of the Defendants in 29 properties; this effectively tied up $1.5 to $2.5 million in equity in the said properties and represented an effective claim of $5.8 million against the credit of the Defendants, causing damages to the Defendants, and each of them, to be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Western Surety agrees that if the material facts are pleaded then the cause of action does not have to be pleaded. However, Western Surety says that material facts are not pleaded which would allow the defendants to advance claims based on the torts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abuse of process or slander of title. Western Surety asserts that if the Agreement is not enforceable, the defendants' claim is defeated as there can be no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tort of injurious falsehood grew out of slander of title and other intentional torts which resulted in injury to another person's trade or business, and provides general protection against false statements that would, in the case of slander of title, prevent the person from leasing or selling his land. Slander of title involves slanderous remarks cast upon a person's property. It is akin to the tort of defamation in that it involves a false statement about the plaintiff; however, it differs from defamation in that the false words do not reflect upon the character of the plaintiff, but on the plaintiff's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For slander of title to be actionable the statement, which can be a lien, a certificate of pending litigation ("CPL"), or other notices against title, must operate as a cloud upon the plaintiff's rights to the property at issue which makes third parties "shun and avoid" the plaintiff's property from a commercial point of view: P. Milmo </w:t>
      </w:r>
      <w:r>
        <w:rPr>
          <w:rFonts w:ascii="arial" w:eastAsia="arial" w:hAnsi="arial" w:cs="arial"/>
          <w:i/>
          <w:color w:val="000000"/>
          <w:sz w:val="20"/>
          <w:lang w:val="en-US" w:eastAsia="en-US" w:bidi="ar-SA"/>
        </w:rPr>
        <w:t>et al.</w:t>
      </w:r>
      <w:r>
        <w:rPr>
          <w:rFonts w:ascii="arial" w:eastAsia="arial" w:hAnsi="arial" w:cs="arial"/>
          <w:color w:val="000000"/>
          <w:sz w:val="20"/>
          <w:lang w:val="en-US" w:eastAsia="en-US" w:bidi="ar-SA"/>
        </w:rPr>
        <w:t xml:space="preserve">, eds., </w:t>
      </w:r>
      <w:r>
        <w:rPr>
          <w:rFonts w:ascii="arial" w:eastAsia="arial" w:hAnsi="arial" w:cs="arial"/>
          <w:i/>
          <w:color w:val="000000"/>
          <w:sz w:val="20"/>
          <w:lang w:val="en-US" w:eastAsia="en-US" w:bidi="ar-SA"/>
        </w:rPr>
        <w:t>Gatley on Libel and Slander</w:t>
      </w:r>
      <w:r>
        <w:rPr>
          <w:rFonts w:ascii="arial" w:eastAsia="arial" w:hAnsi="arial" w:cs="arial"/>
          <w:color w:val="000000"/>
          <w:sz w:val="20"/>
          <w:lang w:val="en-US" w:eastAsia="en-US" w:bidi="ar-SA"/>
        </w:rPr>
        <w:t>, 10th ed. (London: Sweet &amp; Maxwell, 2004) at 591-592.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Almas v. Spenceley</w:t>
      </w:r>
      <w:r>
        <w:rPr>
          <w:rFonts w:ascii="arial" w:eastAsia="arial" w:hAnsi="arial" w:cs="arial"/>
          <w:color w:val="000000"/>
          <w:sz w:val="20"/>
          <w:lang w:val="en-US" w:eastAsia="en-US" w:bidi="ar-SA"/>
        </w:rPr>
        <w:t xml:space="preserve"> </w:t>
      </w:r>
      <w:hyperlink r:id="rId876" w:history="1">
        <w:r>
          <w:rPr>
            <w:rFonts w:ascii="arial" w:eastAsia="arial" w:hAnsi="arial" w:cs="arial"/>
            <w:i/>
            <w:color w:val="0077CC"/>
            <w:sz w:val="20"/>
            <w:u w:val="single"/>
            <w:shd w:val="clear" w:color="auto" w:fill="FFFFFF"/>
            <w:lang w:val="en-US" w:eastAsia="en-US" w:bidi="ar-SA"/>
          </w:rPr>
          <w:t>(1972), 25 D.L.R. (3d) 653</w:t>
        </w:r>
      </w:hyperlink>
      <w:r>
        <w:rPr>
          <w:rFonts w:ascii="arial" w:eastAsia="arial" w:hAnsi="arial" w:cs="arial"/>
          <w:color w:val="000000"/>
          <w:sz w:val="20"/>
          <w:lang w:val="en-US" w:eastAsia="en-US" w:bidi="ar-SA"/>
        </w:rPr>
        <w:t xml:space="preserve"> (Ont. C.A.) the court stated at [paragraph] 11 that in an action for slander of title the following elements have to be proved:</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 published words in disparagement of the plaintiff's property;</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such words were false;</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such words were published with actual malice;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 sustained special damages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Abuse of process is also an intentional tort. In </w:t>
      </w:r>
      <w:r>
        <w:rPr>
          <w:rFonts w:ascii="arial" w:eastAsia="arial" w:hAnsi="arial" w:cs="arial"/>
          <w:b/>
          <w:i/>
          <w:color w:val="000000"/>
          <w:sz w:val="20"/>
          <w:lang w:val="en-US" w:eastAsia="en-US" w:bidi="ar-SA"/>
        </w:rPr>
        <w:t>First Canadian Land Corporation Ltd. v. Rosinante Holdings Ltd.</w:t>
      </w:r>
      <w:r>
        <w:rPr>
          <w:rFonts w:ascii="arial" w:eastAsia="arial" w:hAnsi="arial" w:cs="arial"/>
          <w:color w:val="000000"/>
          <w:sz w:val="20"/>
          <w:lang w:val="en-US" w:eastAsia="en-US" w:bidi="ar-SA"/>
        </w:rPr>
        <w:t xml:space="preserve"> </w:t>
      </w:r>
      <w:hyperlink r:id="rId877" w:history="1">
        <w:r>
          <w:rPr>
            <w:rFonts w:ascii="arial" w:eastAsia="arial" w:hAnsi="arial" w:cs="arial"/>
            <w:i/>
            <w:color w:val="0077CC"/>
            <w:sz w:val="20"/>
            <w:u w:val="single"/>
            <w:shd w:val="clear" w:color="auto" w:fill="FFFFFF"/>
            <w:lang w:val="en-US" w:eastAsia="en-US" w:bidi="ar-SA"/>
          </w:rPr>
          <w:t>(1985), 62 B.C.L.R. 262</w:t>
        </w:r>
      </w:hyperlink>
      <w:r>
        <w:rPr>
          <w:rFonts w:ascii="arial" w:eastAsia="arial" w:hAnsi="arial" w:cs="arial"/>
          <w:color w:val="000000"/>
          <w:sz w:val="20"/>
          <w:lang w:val="en-US" w:eastAsia="en-US" w:bidi="ar-SA"/>
        </w:rPr>
        <w:t xml:space="preserve"> at [paragraph] 21-23, the B.C. Court of Appeal confirmed that a wrongful filing of a </w:t>
      </w:r>
      <w:r>
        <w:rPr>
          <w:rFonts w:ascii="arial" w:eastAsia="arial" w:hAnsi="arial" w:cs="arial"/>
          <w:i/>
          <w:color w:val="000000"/>
          <w:sz w:val="20"/>
          <w:lang w:val="en-US" w:eastAsia="en-US" w:bidi="ar-SA"/>
        </w:rPr>
        <w:t>lis pendens</w:t>
      </w:r>
      <w:r>
        <w:rPr>
          <w:rFonts w:ascii="arial" w:eastAsia="arial" w:hAnsi="arial" w:cs="arial"/>
          <w:color w:val="000000"/>
          <w:sz w:val="20"/>
          <w:lang w:val="en-US" w:eastAsia="en-US" w:bidi="ar-SA"/>
        </w:rPr>
        <w:t xml:space="preserve"> could give rise to both a claim for abuse of process and slander of title. In order to establish an abuse of process as a result of wrongfully filing a </w:t>
      </w:r>
      <w:r>
        <w:rPr>
          <w:rFonts w:ascii="arial" w:eastAsia="arial" w:hAnsi="arial" w:cs="arial"/>
          <w:i/>
          <w:color w:val="000000"/>
          <w:sz w:val="20"/>
          <w:lang w:val="en-US" w:eastAsia="en-US" w:bidi="ar-SA"/>
        </w:rPr>
        <w:t>lis pendens</w:t>
      </w:r>
      <w:r>
        <w:rPr>
          <w:rFonts w:ascii="arial" w:eastAsia="arial" w:hAnsi="arial" w:cs="arial"/>
          <w:color w:val="000000"/>
          <w:sz w:val="20"/>
          <w:lang w:val="en-US" w:eastAsia="en-US" w:bidi="ar-SA"/>
        </w:rPr>
        <w:t>, the plaintiff must establish malice in the sense that the process was invoked for improper purposes collateral to the ostensible purpose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Although Western Surety asserts that the same considerations do not apply to the wrongful filing of a consent judgment, it has provided no authority to that effect. In my view, the same considerations should apply to the wrongful filing of a consent judgment. Morrison J. found that the Consent Judgment was wrongfully filed and registered by Western Surety.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order to succeed in a claim for abuse of process and slander of title, the defendants must establish that Western Surety filed and registered the Consent Judgment for improper purposes collateral to the ostensible purpose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am of the view that the facts pleaded are sufficient to support a claim for abuse of process and slander of title. In paragraph 8 of the amended statement of defence and counterclaim, the defendants have pleaded that Western Surety wrongfully filed and registered the Consent Judgment against the properties, thereby causing the defendants damage by tying up $1.5 million to $2.5 million in equity.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There was no question of surprise as to what the issues were. The issue of whether Western Surety acted with malice was canvassed with the witnesses and in argument. I cannot see how the course of the trial would have been altered in any way if the necessary ingredients for abuse of process or slander of title had been more precisely pleaded, or if the words "abuse of process", "slander of title", or "malice" had been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However, the defendants do not plead any material facts to support a claim that Western Surety was negligent as the facts pleaded are that Western Surety acted intentionally.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this case, the defendants assert that the Consent Judgment was filed and registered, not to realize on the security for the debt but to extort payment out of the defendants in priority to other creditors. The defendants say this is borne out by the fact that prior to filing and registering the Consent Judgment, Western Surety did not investigate the equity in either the mortgaged properties or the properties upon which the Consent Judgment was registered.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defendants point to the following course of conduct on the part of Western Surety as showing a total disregard for the situation of the defendants and an oppressive exercise of Western Surety's powers:</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12, 2001, Western Surety threatens entry of the Consent Judgment and execution on the mortgage securities;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15, 2001, Mr. Heringa replies requesting that Western Surety not file the Consent Judgment and advising that the defendants will pay $25,000 towards the debt in April;</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20, 2001, Mr. Heringa provides Western Surety with financial information and sets out the efforts being made by the defendants to generate funds to pay creditors;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April 25, 2001, the defendants pay $25,000 to Western Surety;</w:t>
      </w:r>
    </w:p>
    <w:p>
      <w:pPr>
        <w:numPr>
          <w:numId w:val="1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May 14, 2001, Western Surety files the Consent Judgment;</w:t>
      </w:r>
    </w:p>
    <w:p>
      <w:pPr>
        <w:numPr>
          <w:numId w:val="1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May 15, 2001, the Consent Judgment is registered against all properties of the defendants which can be located;</w:t>
      </w:r>
    </w:p>
    <w:p>
      <w:pPr>
        <w:numPr>
          <w:numId w:val="20"/>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May 15, 2001, Mr. Heringa writes to Western Surety setting out plans to pay the debt. Mr. Bourassa wrote two notes on the letter. He wrote "Our judgment will prevent this" beside comments that Mr. Heringa was looking at the option of refinancing a property and selling another property to generate funds to repay a portion of the debt; and he wrote "BS" beside Mr. Heringa's statement "We are trying to be as fair as possible, to all our Creditors".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his evidence, Mr. Bourassa confirmed that at the time the Consent Judgment was registered against the properties, Western Surety did not intend to execute against any of the properties. He thought that the registration of the Consent Judgment would be an impediment to dealing with the properties and the defendants would want to clear the titles. His evidence is that Western Surety wanted "to inspire" Mr. Heringa to pay the amounts 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Western Surety argues that the registration of the Consent Judgment was not done with malice as it had received legal advice that the failure of the defendants to provide a payment schedule was a default under the Agreement, and that Western Surety thought it was acting within its rights when it registered the Consent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However, the evidence is that Western Surety was already secured for the amount of the debt at the time it registered the Consent Judgment. It had mortgages over 13 properties with equity well in excess of the debt, which at the time was approximately $160,000, yet Western Surety proceeded to register the Consent Judgment against a further 29 properties with a collective equity in excess of $1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my view, the conduct of Western Surety was heavy handed and oppressive in registering the Consent Judgment against 29 properties when it already had sufficient security for the debt in the form of mortgages over 13 properties. Although it asserts that the amount of the security was uncertain, Western Surety took no steps to determine the amount of security it had, or the value of the defendants' interest in the properties against which the Consent Judgment was registered.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registration of the Consent Judgment was admittedly not done for the purpose of realizing on any of the properties secured by the Consent Judgment, but rather to force the defendants to pay the debt in priority to any other creditor. In other words, the filing and registration of the Consent Judgment was done for an improper, collateral purpose. As a result, I have concluded that Western Surety was guilty of abuse of process and slander of title in filing and registering the Consent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defendants assert that it is difficult, if not impossible, to prove damages as a result of the filing and registration of the Consent Judgment. Mr. Heringa wrote to Western Surety in February 2002 outlining the damages the defendants had suffered as a result of the registration of the Consent Judgment; however, those damages have not been established. It is apparent from the documents that the defendants had serious financial problems prior to the registration of the Consent Judgment against the properties. The evidence is that following the registration of the Consent Judgment the defendants' financial situation improved.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defendants assert that the registration of the Consent Judgment against 29 properties impacted the defendants' ability to do business, as their properties were encumbered and could not be sold or used to raise capital. Western Surety says that it cooperated with the defendants after the Consent Judgment was registered. It says that the defendants notified Western Surety that a number of properties were either being sold or refinanced, and asked that Western Surety remove its judgment on those properties, and that it did so. Western Surety says it cooperated with the defendants in each and every instance a request was made, but that is not borne out by the evidence. The evidence is that Mr. Heringa made continuous requests to Western Surety to remove the Consent Judgment from the defendants' properties, and that Western Surety only did so on three occasions. Mr. Bourassa's evidence is that Western Surety was only willing to release the Consent Judgment from the properties if an amount acceptable to Western Surety was going to be paid to it. Mr. Bourassa testified that he was always ready to consider requests, but that the majority of them didn't seem to be appropriate to follow up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D.K. Investments Ltd. v. S.W.S. Investments Ltd.</w:t>
      </w:r>
      <w:r>
        <w:rPr>
          <w:rFonts w:ascii="arial" w:eastAsia="arial" w:hAnsi="arial" w:cs="arial"/>
          <w:color w:val="000000"/>
          <w:sz w:val="20"/>
          <w:lang w:val="en-US" w:eastAsia="en-US" w:bidi="ar-SA"/>
        </w:rPr>
        <w:t xml:space="preserve"> </w:t>
      </w:r>
      <w:hyperlink r:id="rId878" w:history="1">
        <w:r>
          <w:rPr>
            <w:rFonts w:ascii="arial" w:eastAsia="arial" w:hAnsi="arial" w:cs="arial"/>
            <w:i/>
            <w:color w:val="0077CC"/>
            <w:sz w:val="20"/>
            <w:u w:val="single"/>
            <w:shd w:val="clear" w:color="auto" w:fill="FFFFFF"/>
            <w:lang w:val="en-US" w:eastAsia="en-US" w:bidi="ar-SA"/>
          </w:rPr>
          <w:t>(1986), 6 B.C.L.R. (2d) 291</w:t>
        </w:r>
      </w:hyperlink>
      <w:r>
        <w:rPr>
          <w:rFonts w:ascii="arial" w:eastAsia="arial" w:hAnsi="arial" w:cs="arial"/>
          <w:color w:val="000000"/>
          <w:sz w:val="20"/>
          <w:lang w:val="en-US" w:eastAsia="en-US" w:bidi="ar-SA"/>
        </w:rPr>
        <w:t xml:space="preserve"> (C.A.) the court discussed the award of damages for abuse of process at [paragraph] 43: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for the tort of abuse of process, damages are at large. Thus the award is not limited to the pecuniary loss that can be specifically proved. Just as in defamation and in malicious prosecution, the injured party may have considerable difficulty in leading evidence to show the full extent of its loss. Frequently it will be a matter of great difficulty for the trial judge. However, upon taking all the circumstances into account, including, but not limited to the pecuniary loss proved, he will be in a position to make an appropriate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Although no special or general damages have been established by the defendants to support an award of damages for slander of title, the defendants undoubtedly suffered damages from having their equity in 29 properties tied up by the Consent Judgment. Having considered all the circumstances, including the failure of the defendants to mitigate their damages by repaying the debt under the Bond in a timely fashion, I am of the view that an award of $20,000 is appropriate for abuse of process. The defendants are entitled to a set-off of that amount against any monies owing to Western Surety.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Agreement is not enforceable between the parties due to lack of consideration from Western Surety to the defendants. Western Surety is entitled to the amount of its debt of $138,197 plus court order interest. There will be a reference to the registrar in the event the parties cannot agree on the court order interest payable. Western Surety is entitled to its legal costs of this matter in accordance with the General Agreement of Indemnity up to December 12, 2006. The defendants are entitled to costs thereafter, including preparation and attendance at trial at scale B, to be set off against any costs they owe to Western Surety.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Western Surety committed an abuse of process by wrongfully filing and registering the Consent Judgment against the defendants' interest in 29 properties. The defendants are entitled to an award of $20,000 for the abuse of process, to be set off against any monies due and owing by the defendants to Western Surety.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GEROW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May 1,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 to the Reasons for Judgment issued advising that I refer to paragraph 69 of my written reasons for judgment dated February 7, 2007, and confirm that Western Surety is entitled to all its costs of the action until December 12, 2006 in the accordance with the terms of the General Agreement of Indemnity (subject to any interlocutory orders as to costs).</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4" style="position:absolute;z-index:2518968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79"/>
          <w:headerReference w:type="default" r:id="rId880"/>
          <w:footerReference w:type="even" r:id="rId881"/>
          <w:footerReference w:type="default" r:id="rId882"/>
          <w:headerReference w:type="first" r:id="rId883"/>
          <w:footerReference w:type="first" r:id="rId88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85" w:history="1">
        <w:r>
          <w:rPr>
            <w:rFonts w:ascii="arial" w:eastAsia="arial" w:hAnsi="arial" w:cs="arial"/>
            <w:b/>
            <w:bCs/>
            <w:i/>
            <w:color w:val="0077CC"/>
            <w:kern w:val="32"/>
            <w:sz w:val="28"/>
            <w:szCs w:val="32"/>
            <w:u w:val="single"/>
            <w:shd w:val="clear" w:color="auto" w:fill="FFFFFF"/>
            <w:lang w:val="en-US" w:eastAsia="en-US" w:bidi="ar-SA"/>
          </w:rPr>
          <w:t>Zimpelmann v. Canada, [2001] B.C.J. No. 618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Dorgan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11,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23,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00/2536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618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439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104 A.C.W.S. (3d) 870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B.C.T.C. 439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Brigitte Zimpelmann, plaintiff, and The Queen in Right of Canada and Attorney General of Canada,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5" style="position:absolute;z-index:2517002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7" w:name="Keywords_40"/>
      <w:bookmarkEnd w:id="267"/>
      <w:r>
        <w:rPr>
          <w:rFonts w:ascii="arial" w:eastAsia="arial" w:hAnsi="arial" w:cs="arial"/>
          <w:b/>
          <w:color w:val="000000"/>
          <w:sz w:val="20"/>
          <w:lang w:val="en-US" w:eastAsia="en-US" w:bidi="ar-SA"/>
        </w:rPr>
        <w:t xml:space="preserve">Crown — Statutes affecting the Crown — Particular matters — Limitation periods — Actions against the Crown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defences — Armed forces.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8" w:name="Case Summary_36"/>
            <w:bookmarkEnd w:id="26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federal Crown to dismiss the claim by the plaintiff, Zimpelmann, for injuries allegedly arising from the negligent performance of a training exercise by members of the Canadian Armed Forces. The Crown argued that the action was statute-barred, relying on the six-month limitation period in the National Defence Act. Zimpelmann suffered her injuries over a year before the claim was filed. Within six months of the injuries, the Crown agreed to pay for certain medical expenses. Zimpelmann argued that the Crown was not a person under the Act and was not entitled to rely on the limitation period therein. She argued that the provincial limitation period applied.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69" w:name="Holdings of Court_31"/>
            <w:bookmarkEnd w:id="269"/>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claim was dismissed, as it was statute-barred under the Act. The Crown was allowed to set up defences that could be used as if it was a person. The actions of the Crown in agreeing to pay for medical expenses were not an admission of liability. The federal limitation period took priority over the provincial limitation period.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0" w:name="Legislation Cited_33"/>
      <w:bookmarkEnd w:id="27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6" style="position:absolute;z-index:2517514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Crown Liability and Proceedings Act, R.S. 1985, c. C-50, ss. 3(a), 24(1),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National Defence Act, R.S. 1985, c. N-5, s. 269(1).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1" w:name="Counsel_40"/>
      <w:bookmarkEnd w:id="27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7" style="position:absolute;z-index:251802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 Margot Ney, for the plaintiff. Ward R. Bansley,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2" w:name="Judgment_40"/>
      <w:bookmarkEnd w:id="272"/>
      <w:r>
        <w:pict>
          <v:line id="_x0000_s1228" style="position:absolute;z-index:25185382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3" w:name="DORGAN J."/>
            <w:bookmarkEnd w:id="273"/>
            <w:r>
              <w:rPr>
                <w:rFonts w:ascii="arial" w:eastAsia="arial" w:hAnsi="arial" w:cs="arial"/>
                <w:b/>
                <w:color w:val="000000"/>
                <w:sz w:val="30"/>
                <w:lang w:val="en-US" w:eastAsia="en-US" w:bidi="ar-SA"/>
              </w:rPr>
              <w:t>DORGAN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alleges that members of the Canadian Armed Forces negligently performed a training exercise, causing her to fall and suffer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Pursuant to Rule 18(A), the defendants apply for an order dismissing the plaintiff's claim, arguing it is statute barred. The defendants rely on s. 269(1) of the National Defence Act, R.S. 1985, c. N-5, which contains a 6 month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injuries the plaintiff alleges occurred on March 9, 1999. Her writ and statement of claim were filed on May 24, 2000. Within 6 months of the alleged injuries, on October 5, 1999, the office of the Judge Advocate General agreed to pay for certain medical expenses the plaintiff claimed. On November 15, 1999, again within the 6 month period, that office paid the plaintiff $465.43 for some of her preliminary medical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contends that the provincial limitation period should govern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issue raised is whether the Crown is able to rely on s. 269 of the National Defence Act to strike the plaintiff's claim as being out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Actions against the Crown are governed by the Crown Liability and Proceedings Act, R.S. 1985, c. C-50, s. 3(a) which states:</w:t>
      </w:r>
      <w:r>
        <w:rPr>
          <w:rFonts w:ascii="arial" w:eastAsia="arial" w:hAnsi="arial" w:cs="arial"/>
          <w:sz w:val="20"/>
          <w:lang w:val="en-US" w:eastAsia="en-US" w:bidi="ar-SA"/>
        </w:rPr>
        <w:cr/>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Crown is liable in tort for the damages for which, if it were a private person of full age and capacity, it would be liable</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respect of a tort committed by a servant of the Crown;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Section 32 of the Crown Liability and Proceedings Act reads:</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as otherwise provided in this Act or in any other Act of Parliament, the laws relating to prescription and the limitation of actions in force in a province between subject and subject apply to any proceedings by or against the Crown in respect of any cause of action arising in that province, and proceedings by or against the Crown in respect of a cause of action arising otherwise than in a province shall be taken within six years after the cause of action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Counsel for the defendants argues that the alleged injury occurred while members of the Canadian Armed Forces were performing their duties under the National Defence Act. Therefore the claim is barred by s. 269(1) of that Act, which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action, prosecution or other proceeding lies against any person for any act done in pursuance or execution or intended execution of this Act or any regulations or military or departmental duty or authority, or in respect of any alleged neglect or default in the execution of this Act, regulations or any such duty or authority, unless it is commenced within six months after the act, neglect or default complained of or, in the case of continuance of injury or damage, within six months after the ceasing thereof.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Counsel for the defendants argues that s. 269(1) applies because of s. 24(1) of the Crown Liability and Proceedings Act, which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any proceedings against the Crown, the Crown may raise</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defence that would be available if the proceedings were a suit or an action in a competent court between subject and subject;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plaintiff does not argue that the members of the Canadian Armed Forces were not acting in accordance with the National Defence Act but, rather, argues that the Crown cannot be considered a "person" for the purposes of s. 269(1). In support of that contention, plaintiff's counsel cites the cases of R. v. Canada (Minister of National Defence), </w:t>
      </w:r>
      <w:hyperlink r:id="rId886" w:history="1">
        <w:r>
          <w:rPr>
            <w:rFonts w:ascii="arial" w:eastAsia="arial" w:hAnsi="arial" w:cs="arial"/>
            <w:i/>
            <w:color w:val="0077CC"/>
            <w:sz w:val="20"/>
            <w:u w:val="single"/>
            <w:shd w:val="clear" w:color="auto" w:fill="FFFFFF"/>
            <w:lang w:val="en-US" w:eastAsia="en-US" w:bidi="ar-SA"/>
          </w:rPr>
          <w:t>[1993] N.S.J. No. 385</w:t>
        </w:r>
      </w:hyperlink>
      <w:r>
        <w:rPr>
          <w:rFonts w:ascii="arial" w:eastAsia="arial" w:hAnsi="arial" w:cs="arial"/>
          <w:color w:val="000000"/>
          <w:sz w:val="20"/>
          <w:lang w:val="en-US" w:eastAsia="en-US" w:bidi="ar-SA"/>
        </w:rPr>
        <w:t xml:space="preserve"> (N.S.C.A) and Way v. Canada, </w:t>
      </w:r>
      <w:hyperlink r:id="rId887" w:history="1">
        <w:r>
          <w:rPr>
            <w:rFonts w:ascii="arial" w:eastAsia="arial" w:hAnsi="arial" w:cs="arial"/>
            <w:i/>
            <w:color w:val="0077CC"/>
            <w:sz w:val="20"/>
            <w:u w:val="single"/>
            <w:shd w:val="clear" w:color="auto" w:fill="FFFFFF"/>
            <w:lang w:val="en-US" w:eastAsia="en-US" w:bidi="ar-SA"/>
          </w:rPr>
          <w:t>[1993] F.C.J. No. 374</w:t>
        </w:r>
      </w:hyperlink>
      <w:r>
        <w:rPr>
          <w:rFonts w:ascii="arial" w:eastAsia="arial" w:hAnsi="arial" w:cs="arial"/>
          <w:color w:val="000000"/>
          <w:sz w:val="20"/>
          <w:lang w:val="en-US" w:eastAsia="en-US" w:bidi="ar-SA"/>
        </w:rPr>
        <w:t xml:space="preserve"> (F.C.T.D.).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However, the decision of Scaglione v. McLean, </w:t>
      </w:r>
      <w:hyperlink r:id="rId888" w:history="1">
        <w:r>
          <w:rPr>
            <w:rFonts w:ascii="arial" w:eastAsia="arial" w:hAnsi="arial" w:cs="arial"/>
            <w:i/>
            <w:color w:val="0077CC"/>
            <w:sz w:val="20"/>
            <w:u w:val="single"/>
            <w:shd w:val="clear" w:color="auto" w:fill="FFFFFF"/>
            <w:lang w:val="en-US" w:eastAsia="en-US" w:bidi="ar-SA"/>
          </w:rPr>
          <w:t>[1998] O.J. No. 800</w:t>
        </w:r>
      </w:hyperlink>
      <w:r>
        <w:rPr>
          <w:rFonts w:ascii="arial" w:eastAsia="arial" w:hAnsi="arial" w:cs="arial"/>
          <w:color w:val="000000"/>
          <w:sz w:val="20"/>
          <w:lang w:val="en-US" w:eastAsia="en-US" w:bidi="ar-SA"/>
        </w:rPr>
        <w:t xml:space="preserve"> (Ont. H.C.) supports the defendants' position in the case at bar. In Scaglione the defendant argued that the claim was barred by s. 269(1) of the National Defence Act, supra, and the plaintiff relied on the authorities cited by the plaintiff in the case at bar. In Scaglione Swinton J. concluded that the Crown is not precluded from relying on s. 269(1) when it is alleged to be vicariously liable for its servants' actions. His comments regarding the applicability of s. 269(1) and the conclusions he reached defeat the plaintiff's arguments in the case at bar. Swinton J. states at p.4: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argued that the Crown could be held liable even if an action was statute-barred against the Crown servant through the operation of a provision such as s. 269(1) of the National Defence Act, relying on cases such as Pelletier v. R., </w:t>
      </w:r>
      <w:hyperlink r:id="rId889" w:history="1">
        <w:r>
          <w:rPr>
            <w:rFonts w:ascii="arial" w:eastAsia="arial" w:hAnsi="arial" w:cs="arial"/>
            <w:i/>
            <w:color w:val="0077CC"/>
            <w:sz w:val="20"/>
            <w:u w:val="single"/>
            <w:shd w:val="clear" w:color="auto" w:fill="FFFFFF"/>
            <w:lang w:val="en-US" w:eastAsia="en-US" w:bidi="ar-SA"/>
          </w:rPr>
          <w:t>[1970] Ex.C.R. 2</w:t>
        </w:r>
      </w:hyperlink>
      <w:r>
        <w:rPr>
          <w:rFonts w:ascii="arial" w:eastAsia="arial" w:hAnsi="arial" w:cs="arial"/>
          <w:color w:val="000000"/>
          <w:sz w:val="20"/>
          <w:lang w:val="en-US" w:eastAsia="en-US" w:bidi="ar-SA"/>
        </w:rPr>
        <w:t xml:space="preserve">, and Keddy v. Canada </w:t>
      </w:r>
      <w:hyperlink r:id="rId890" w:history="1">
        <w:r>
          <w:rPr>
            <w:rFonts w:ascii="arial" w:eastAsia="arial" w:hAnsi="arial" w:cs="arial"/>
            <w:i/>
            <w:color w:val="0077CC"/>
            <w:sz w:val="20"/>
            <w:u w:val="single"/>
            <w:shd w:val="clear" w:color="auto" w:fill="FFFFFF"/>
            <w:lang w:val="en-US" w:eastAsia="en-US" w:bidi="ar-SA"/>
          </w:rPr>
          <w:t>(1992), 55 F.T.R. 110</w:t>
        </w:r>
      </w:hyperlink>
      <w:r>
        <w:rPr>
          <w:rFonts w:ascii="arial" w:eastAsia="arial" w:hAnsi="arial" w:cs="arial"/>
          <w:color w:val="000000"/>
          <w:sz w:val="20"/>
          <w:lang w:val="en-US" w:eastAsia="en-US" w:bidi="ar-SA"/>
        </w:rPr>
        <w:t xml:space="preserve">. Those cases held that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not barred against the Crown, even though the limitation period in s. 269(1) of the Act protected the individual servant from liability.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holdings in these cases do not seem consistent with s. 24(a) of the Crown Liability and Proceedings Act, which provides that the Crown can avail itself of all defences which would be available in an action between subject and subject. This would logically include the defence that an action was barred by the expiry of a limitation period</w:t>
      </w:r>
      <w:r>
        <w:rPr>
          <w:rFonts w:ascii="arial" w:eastAsia="arial" w:hAnsi="arial" w:cs="arial"/>
          <w:color w:val="000000"/>
          <w:sz w:val="20"/>
          <w:lang w:val="en-US" w:eastAsia="en-US" w:bidi="ar-SA"/>
        </w:rPr>
        <w:t>. Section 32 of the Act speaks directly to the application and choice of limitation periods. It gives priority to limitation periods set out in federal legislation, and incorporates provincial limitation periods in the absence of operative federal provisions.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Assuming that the defendant in this case is vicariously liable for the actions of its members, I adopt the approach taken by Swinton J. in Scaglione. The plain interpretation of s. 24(1)(a) of the Crown Liability and Proceedings Act gives the Crown the right to use any defence that would be open to it if it were an individual defendant. Section 3 of that Act provides that the Crown is liable for actions as if it were a person. It logically follows, then, that the Crown should be permitted to rely on defences it would be permitted to rely upon if it were a person. The decisions cited by counsel for the plaintiff simply do not deal with s. 24(1)(a) of the Crown Liability and Proceedings Act. Plaintiff's counsel attempted to distinguish the Scaglione decision by stating that it dealt with discoverability. However, that issue did not affect the analysis of the two federal Acts undertaken by Swinton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the case at bar it is worth noting that the defendants took some steps which, arguably, confirm its liability, namely, the payment of some of the plaintiff's medical expenses. However, the evidence before me falls far short of an admission of liability by the defendant within the limitation period prescribed by the National Defence Act. With no clear admission of liability by the defendants within 6 months following the alleged injury, and acknowledging that s. 32 of the Crown Liability and Proceedings Act gives priority to limitation periods set out in federal legislation, incorporating provincial limitation periods only in the absence of operative federal provisions and, further, that this is not an application to amend pleadings or to add a party to an existing action brought within the applicable limitation period, I must find that the reasoning in Scaglione is persuasive.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Accordingly, the defendants' application to dismiss the plaintiff's claim is granted. Costs follow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DORGAN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9" style="position:absolute;z-index:2518978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91"/>
          <w:headerReference w:type="default" r:id="rId892"/>
          <w:footerReference w:type="even" r:id="rId893"/>
          <w:footerReference w:type="default" r:id="rId894"/>
          <w:headerReference w:type="first" r:id="rId895"/>
          <w:footerReference w:type="first" r:id="rId89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97" w:history="1">
        <w:r>
          <w:rPr>
            <w:rFonts w:ascii="arial" w:eastAsia="arial" w:hAnsi="arial" w:cs="arial"/>
            <w:b/>
            <w:bCs/>
            <w:i/>
            <w:color w:val="0077CC"/>
            <w:kern w:val="32"/>
            <w:sz w:val="28"/>
            <w:szCs w:val="32"/>
            <w:u w:val="single"/>
            <w:shd w:val="clear" w:color="auto" w:fill="FFFFFF"/>
            <w:lang w:val="en-US" w:eastAsia="en-US" w:bidi="ar-SA"/>
          </w:rPr>
          <w:t>Adams v. Sheane, [2014] B.C.J. No. 768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F.E. Verhoeven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8-10,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29,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S17023, S17118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Chilliwack</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768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733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Larry Adams, Brian Anderson, Nadina Bond, Elaine Bundschuh, Robert Fryer, Genda Haynes, formerly known as Gwendolyn Alice Hayward, Sandra Holmstron, Yvonne Hunter, Timothy La Face, Robert Luinenburg, Duyen Ly, Rodney Major, Albert McConnel, Peter Mueller, James Siegner, Patricia Steward, Bo John-Erik Wendell, formerly known as Sandra Wendell, and Roxanne Wright, Plaintiffs, and Anne Sheane and McDonagh Sheane, Defendants And between Rosanne Dong, Sarah Gauthier, Janice Dixon, Mijo Flanjak, Valerie Gris, Vincent Jue, Randy Lamb, Danny Pitcairn, Dale Proctor, Bruce Skelton, Robert Wehry and Patricia Gilmaster, Plaintiffs, and Anne Sheane and McDonagh Sheane,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0"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4" w:name="Keywords_41"/>
      <w:bookmarkEnd w:id="274"/>
      <w:r>
        <w:rPr>
          <w:rFonts w:ascii="arial" w:eastAsia="arial" w:hAnsi="arial" w:cs="arial"/>
          <w:b/>
          <w:color w:val="000000"/>
          <w:sz w:val="20"/>
          <w:lang w:val="en-US" w:eastAsia="en-US" w:bidi="ar-SA"/>
        </w:rPr>
        <w:t xml:space="preserve">Civil litigation — Civil procedure — Parties — Class or representative actions — Class counsel — Members of class or sub-class — Procedure — Settlements — Trials — Summary trials — Availability — Summary trial application by defendants to dismiss plaintiffs' actions allowed — Application by plaintiffs for judgment dismissed — Plaintiff former students at school for deaf alleged defendant lawyers were negligent and breached fiduciary duty which deprived them ability to receive class action proceeds — Trial unnecessary to determine whether plaintiffs had loss attributable to defendants — Plaintiffs failed to prove that but for alleged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the defendants, they would have attempted to opt back into class — Lost opportunity to participate in settlement resulted from terms of certification order and plaintiffs' decision to opt out of class.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Legal Profession — Barristers and solicitors — Liability — Settlements — Standard of care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Summary trial application by defendants to dismiss plaintiffs' actions allowed — Application by plaintiffs for judgment dismissed — Plaintiff former students at school for deaf alleged defendant lawyers were negligent and breached fiduciary duty which deprived them ability to receive class action proceeds — Trial unnecessary to determine whether plaintiffs had loss attributable to defendants — Plaintiffs failed to prove that but for alleged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the defendants, they would have attempted to opt back into class — Lost opportunity to participate in settlement resulted from terms of certification order and plaintiffs' decision to opt out of class.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Professional responsibility — Self-governing professions — Liability — Causation — Professions — Legal — Barristers and solicitors — Summary trial application by defendants to dismiss plaintiffs' actions allowed — Application by plaintiffs for judgment dismissed — Plaintiff former students at school for deaf alleged defendant lawyers were negligent and breached fiduciary duty which deprived them ability to receive class action proceeds — Trial unnecessary to determine whether plaintiffs had loss attributable to defendants — Plaintiffs failed to prove that but for alleged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the defendants, they would have attempted to opt back into class — Lost opportunity to participate in settlement resulted from terms of certification order and plaintiffs' decision to opt out of class.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5" w:name="Case Summary_37"/>
            <w:bookmarkEnd w:id="27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by way of summary trial to dismiss the plaintiffs' actions. Application by the plaintiffs for judgment. The plaintiffs were 30 former students at a school for the deaf. A class proceeding on behalf of former students who were abused resulted in a settlement. The plaintiffs opted out of the class proceeding and brought individual claims. They commenced claims against the defendant lawyers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on the basis that the defendants deprived them of the ability to received class action proceeds.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6" w:name="Holdings of Court_32"/>
            <w:bookmarkEnd w:id="276"/>
            <w:r>
              <w:rPr>
                <w:rFonts w:ascii="arial" w:eastAsia="arial" w:hAnsi="arial" w:cs="arial"/>
                <w:color w:val="000000"/>
                <w:sz w:val="20"/>
                <w:lang w:val="en-US" w:eastAsia="en-US" w:bidi="ar-SA"/>
              </w:rPr>
              <w:t>HELD: The defendants' application was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application was dismissed. There was no need for a trial to determine whether the plaintiffs had suffered a loss attributable to the defendants. The plaintiffs failed to prove that but for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they would have acted to attempt to opt back into the class proceeding. The plaintiffs did not even make the bare assertion that they would have acted differently and relied only upon the submissions of counsel. The plaintiffs had a clear opportunity to have the trustee review the decision to exclude them from the class and failed to act. It was also highly speculative that the plaintiffs would have been able to opt back in to the class since it would require a fundamental change to the certification order. The plaintiffs' loss of opportunity to participate in the settlement resulted from the terms of the certification order and the plaintiffs' decision to opt out of the class. There was no causative relationship between these factors and the defendants.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7" w:name="Legislation Cited_34"/>
      <w:bookmarkEnd w:id="27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1" style="position:absolute;z-index:2517524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Class Proceedings Act, </w:t>
      </w:r>
      <w:hyperlink r:id="rId898" w:history="1">
        <w:r>
          <w:rPr>
            <w:rFonts w:ascii="arial" w:eastAsia="arial" w:hAnsi="arial" w:cs="arial"/>
            <w:i/>
            <w:color w:val="0077CC"/>
            <w:sz w:val="20"/>
            <w:u w:val="single"/>
            <w:shd w:val="clear" w:color="auto" w:fill="FFFFFF"/>
            <w:lang w:val="en-US" w:eastAsia="en-US" w:bidi="ar-SA"/>
          </w:rPr>
          <w:t>RSBC 1996, CHAPTER 50, s. 6</w:t>
        </w:r>
      </w:hyperlink>
      <w:r>
        <w:rPr>
          <w:rFonts w:ascii="arial" w:eastAsia="arial" w:hAnsi="arial" w:cs="arial"/>
          <w:color w:val="000000"/>
          <w:sz w:val="20"/>
          <w:lang w:val="en-US" w:eastAsia="en-US" w:bidi="ar-SA"/>
        </w:rPr>
        <w:t>(2), s. 8(1) (f), s. 8(1)(g), s. 16(1), s. 16(2)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Crown Proceedings Act, S.B.C. 1974, c. 24,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8" w:name="Counsel_41"/>
      <w:bookmarkEnd w:id="27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2" style="position:absolute;z-index:251803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in both actions: R.A. Wattie.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in both actions: K. Simmons,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9" w:name="Judgment_41"/>
      <w:bookmarkEnd w:id="279"/>
      <w:r>
        <w:pict>
          <v:line id="_x0000_s1233" style="position:absolute;z-index:2518548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0" w:name="F.E. VERHOEVEN J."/>
            <w:bookmarkEnd w:id="280"/>
            <w:r>
              <w:rPr>
                <w:rFonts w:ascii="arial" w:eastAsia="arial" w:hAnsi="arial" w:cs="arial"/>
                <w:b/>
                <w:color w:val="000000"/>
                <w:sz w:val="30"/>
                <w:lang w:val="en-US" w:eastAsia="en-US" w:bidi="ar-SA"/>
              </w:rPr>
              <w:t>F.E. VERHOEVEN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apply for summary trial dismissal of the plaintiffs' claims in these two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are thirty former students of the Jericho Hill School for the Deaf and Blind (the "school"), all of whom opted out of a class action brought in 1998 by former students of the school against the Province of B.C. (the "Province"). Because they opted out of the class action, they retained their individual claims, but when the action settled in 2004 they did not share in the settlement proceeds. They allege that the defendants are at fault for the fact that they were unable to share in the class action settlement proceeds.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All but two of the plaintiffs received compensation from the Province's compensation program for former students of the school, the Jericho Individual Compensation Plan ("JICP"), which was in operation from 1996 to 2001. As a condition of obtaining JICP compensation, claimants were required to sign a release of the Province. The other two plaintiffs did not participate in the JICP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Subsequent to the settlement of the class action, the release of the plaintiff Larry Adams was held to be valid and binding against him: </w:t>
      </w:r>
      <w:r>
        <w:rPr>
          <w:rFonts w:ascii="arial" w:eastAsia="arial" w:hAnsi="arial" w:cs="arial"/>
          <w:i/>
          <w:color w:val="000000"/>
          <w:sz w:val="20"/>
          <w:lang w:val="en-US" w:eastAsia="en-US" w:bidi="ar-SA"/>
        </w:rPr>
        <w:t>Adams v. British Columbia</w:t>
      </w:r>
      <w:r>
        <w:rPr>
          <w:rFonts w:ascii="arial" w:eastAsia="arial" w:hAnsi="arial" w:cs="arial"/>
          <w:color w:val="000000"/>
          <w:sz w:val="20"/>
          <w:lang w:val="en-US" w:eastAsia="en-US" w:bidi="ar-SA"/>
        </w:rPr>
        <w:t xml:space="preserve">, </w:t>
      </w:r>
      <w:hyperlink r:id="rId899" w:history="1">
        <w:r>
          <w:rPr>
            <w:rFonts w:ascii="arial" w:eastAsia="arial" w:hAnsi="arial" w:cs="arial"/>
            <w:i/>
            <w:color w:val="0077CC"/>
            <w:sz w:val="20"/>
            <w:u w:val="single"/>
            <w:shd w:val="clear" w:color="auto" w:fill="FFFFFF"/>
            <w:lang w:val="en-US" w:eastAsia="en-US" w:bidi="ar-SA"/>
          </w:rPr>
          <w:t>2013 BCSC 557</w:t>
        </w:r>
      </w:hyperlink>
      <w:r>
        <w:rPr>
          <w:rFonts w:ascii="arial" w:eastAsia="arial" w:hAnsi="arial" w:cs="arial"/>
          <w:color w:val="000000"/>
          <w:sz w:val="20"/>
          <w:lang w:val="en-US" w:eastAsia="en-US" w:bidi="ar-SA"/>
        </w:rPr>
        <w:t xml:space="preserve">. The plaintiffs regard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xml:space="preserve"> as a test case, and so they say that they do not intend to pursue their individual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Anne Sheane is a lawyer who together with co-counsel from other law firms acted as counsel for the class action plaintiffs. McDonagh Sheane is Ms. Sheane's law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these actions the plaintiffs allege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They seek judgment in their favour on the summary trial applications brought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pleadings in the two actions are identical except in relation to the circumstances of the individual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factual background is not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Much of it is conveniently summarized in a decision of the class action management judge, Madam Justice Humphries, </w:t>
      </w:r>
      <w:r>
        <w:rPr>
          <w:rFonts w:ascii="arial" w:eastAsia="arial" w:hAnsi="arial" w:cs="arial"/>
          <w:i/>
          <w:color w:val="000000"/>
          <w:sz w:val="20"/>
          <w:lang w:val="en-US" w:eastAsia="en-US" w:bidi="ar-SA"/>
        </w:rPr>
        <w:t>Rumley v. HMTQ</w:t>
      </w:r>
      <w:r>
        <w:rPr>
          <w:rFonts w:ascii="arial" w:eastAsia="arial" w:hAnsi="arial" w:cs="arial"/>
          <w:color w:val="000000"/>
          <w:sz w:val="20"/>
          <w:lang w:val="en-US" w:eastAsia="en-US" w:bidi="ar-SA"/>
        </w:rPr>
        <w:t xml:space="preserve">, </w:t>
      </w:r>
      <w:hyperlink r:id="rId900" w:history="1">
        <w:r>
          <w:rPr>
            <w:rFonts w:ascii="arial" w:eastAsia="arial" w:hAnsi="arial" w:cs="arial"/>
            <w:i/>
            <w:color w:val="0077CC"/>
            <w:sz w:val="20"/>
            <w:u w:val="single"/>
            <w:shd w:val="clear" w:color="auto" w:fill="FFFFFF"/>
            <w:lang w:val="en-US" w:eastAsia="en-US" w:bidi="ar-SA"/>
          </w:rPr>
          <w:t>2005 BCSC 189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Rumley</w:t>
      </w:r>
      <w:r>
        <w:rPr>
          <w:rFonts w:ascii="arial" w:eastAsia="arial" w:hAnsi="arial" w:cs="arial"/>
          <w:color w:val="000000"/>
          <w:sz w:val="20"/>
          <w:lang w:val="en-US" w:eastAsia="en-US" w:bidi="ar-SA"/>
        </w:rPr>
        <w:t xml:space="preserve"> (BCSC)]: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This action was certified as a class action on February 8, 2000. Court approval of the settlement in the terms of the Settlement Agreement attached to the order was given on April 2, 2004. Before me now are four claimants who seek to be added to the class for the purpose of participating in the settlement.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The history of this matter is long and complex, but very little of it is relevant for the purposes of this application. From the early 1950's until 1992, Jericho Hill School operated as a residential school for deaf children. Allegations of abuse at the school were investigated by the Ombudsman in 1992, and as a result of that investigation, the province appointed Thomas Berger, Q.C. as special counsel to conduct an inquiry. Mr. Berger's report concluded that there was widespread sexual abuse over many years.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 The Province of British Columbia set up the Jericho Individual Compensation Program ("JICP") for students who had been abused at the school. While this program was ongoing, the class proceeding was started. Certification was refused at the trial level [ </w:t>
      </w:r>
      <w:hyperlink r:id="rId901" w:history="1">
        <w:r>
          <w:rPr>
            <w:rFonts w:ascii="arial" w:eastAsia="arial" w:hAnsi="arial" w:cs="arial"/>
            <w:i/>
            <w:color w:val="0077CC"/>
            <w:sz w:val="20"/>
            <w:u w:val="single"/>
            <w:shd w:val="clear" w:color="auto" w:fill="FFFFFF"/>
            <w:lang w:val="en-US" w:eastAsia="en-US" w:bidi="ar-SA"/>
          </w:rPr>
          <w:t>(1998), 65 B.C.L.R. (3d) 382</w:t>
        </w:r>
      </w:hyperlink>
      <w:r>
        <w:rPr>
          <w:rFonts w:ascii="arial" w:eastAsia="arial" w:hAnsi="arial" w:cs="arial"/>
          <w:color w:val="000000"/>
          <w:sz w:val="20"/>
          <w:lang w:val="en-US" w:eastAsia="en-US" w:bidi="ar-SA"/>
        </w:rPr>
        <w:t>], granted by the court of appeal, [</w:t>
      </w:r>
      <w:r>
        <w:rPr>
          <w:rFonts w:ascii="arial" w:eastAsia="arial" w:hAnsi="arial" w:cs="arial"/>
          <w:i/>
          <w:color w:val="000000"/>
          <w:sz w:val="20"/>
          <w:lang w:val="en-US" w:eastAsia="en-US" w:bidi="ar-SA"/>
        </w:rPr>
        <w:t>Rumley v. British Columbia</w:t>
      </w:r>
      <w:r>
        <w:rPr>
          <w:rFonts w:ascii="arial" w:eastAsia="arial" w:hAnsi="arial" w:cs="arial"/>
          <w:color w:val="000000"/>
          <w:sz w:val="20"/>
          <w:lang w:val="en-US" w:eastAsia="en-US" w:bidi="ar-SA"/>
        </w:rPr>
        <w:t xml:space="preserve">, </w:t>
      </w:r>
      <w:hyperlink r:id="rId902" w:history="1">
        <w:r>
          <w:rPr>
            <w:rFonts w:ascii="arial" w:eastAsia="arial" w:hAnsi="arial" w:cs="arial"/>
            <w:i/>
            <w:color w:val="0077CC"/>
            <w:sz w:val="20"/>
            <w:u w:val="single"/>
            <w:shd w:val="clear" w:color="auto" w:fill="FFFFFF"/>
            <w:lang w:val="en-US" w:eastAsia="en-US" w:bidi="ar-SA"/>
          </w:rPr>
          <w:t>1999 BCCA 689</w:t>
        </w:r>
      </w:hyperlink>
      <w:r>
        <w:rPr>
          <w:rFonts w:ascii="arial" w:eastAsia="arial" w:hAnsi="arial" w:cs="arial"/>
          <w:color w:val="000000"/>
          <w:sz w:val="20"/>
          <w:lang w:val="en-US" w:eastAsia="en-US" w:bidi="ar-SA"/>
        </w:rPr>
        <w:t>] and confirmed by the Supreme Court of Canada in 1999 [</w:t>
      </w:r>
      <w:r>
        <w:rPr>
          <w:rFonts w:ascii="arial" w:eastAsia="arial" w:hAnsi="arial" w:cs="arial"/>
          <w:i/>
          <w:color w:val="000000"/>
          <w:sz w:val="20"/>
          <w:lang w:val="en-US" w:eastAsia="en-US" w:bidi="ar-SA"/>
        </w:rPr>
        <w:t>Rumley v. British Columbia</w:t>
      </w:r>
      <w:r>
        <w:rPr>
          <w:rFonts w:ascii="arial" w:eastAsia="arial" w:hAnsi="arial" w:cs="arial"/>
          <w:color w:val="000000"/>
          <w:sz w:val="20"/>
          <w:lang w:val="en-US" w:eastAsia="en-US" w:bidi="ar-SA"/>
        </w:rPr>
        <w:t xml:space="preserve">, </w:t>
      </w:r>
      <w:hyperlink r:id="rId903" w:history="1">
        <w:r>
          <w:rPr>
            <w:rFonts w:ascii="arial" w:eastAsia="arial" w:hAnsi="arial" w:cs="arial"/>
            <w:i/>
            <w:color w:val="0077CC"/>
            <w:sz w:val="20"/>
            <w:u w:val="single"/>
            <w:shd w:val="clear" w:color="auto" w:fill="FFFFFF"/>
            <w:lang w:val="en-US" w:eastAsia="en-US" w:bidi="ar-SA"/>
          </w:rPr>
          <w:t>2001 SCC 69</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 There were approximately 1100 students who attended the school during the relevant times and thus fell within the definition of the class. Those resident in British Columbia would be in the class action unless they opted out, according to s. 8(1)(f) and s. 16(1) of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Those resident outside British Columbia would have to opt in under s. 8(1)(g) and s. 16(2) of the Act. The notice procedure following certification was comprehensive, carefully drafted, and clear. Special care was taken because of the nature of the class.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Once the action was certified, former students who accepted JICP compensation were required by the certification/notice order dated February 8, 2000 to opt out of the class action. Provision was made in the order to ensure that independent legal advice was available for every claimant who received an offer of compensation from the JICP to assist in the decision to accept compensation and opt out, or reject compensation and stay in the class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 Opt out forms of class members who chose to opt out of the class action were to be delivered to Arthur Anderson Inc. by March 31, 2001, later extended to March 31, 2002, and copies were to be sent to counsel for the representative plaintiffs and the defendant. On December 17, 2003, a subclass for non-residents of British Columbia who had opted in to the class proceeding was established pursuant to s. 6(2)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A process of registration was set up. Approximately 300-400 students registered...</w:t>
      </w:r>
      <w:bookmarkStart w:id="281" w:name="Backward_fnref_fnr-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281"/>
      <w:r>
        <w:rPr>
          <w:rFonts w:ascii="arial" w:eastAsia="arial" w:hAnsi="arial" w:cs="arial"/>
          <w:color w:val="000000"/>
          <w:sz w:val="20"/>
          <w:lang w:val="en-US" w:eastAsia="en-US" w:bidi="ar-SA"/>
        </w:rPr>
        <w:t>. As settlement negotiations were reaching a conclusion, counsel requested a cut-off date for class members who would be approved to participate in the settlement funds so that the adequacy of the amount under discussion could be assessed. A cut-off date for registration was applied for and set at January 31, 2004.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Some claimants had registered as members of the class, even though they had previously signed opt-out forms. It was not until the settlement was completed and the order entered that the trustee cross-checked registrants against opt-out forms. Those who had registered in the class and had not opted out of the class action were considered to be Approved Class Members for the purposes of the settlement. Those who had opted out of the class action, regardless of having later registered as class members, were sent notices as prescribed in Article 5.3 of the Settlement Agreement, telling them they were not approved class members and giving them 30 days in which to apply to the court for review. Article 5.3 reads: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Individual Compensation Fund Trustee will give a claimant written notice by pre-paid ordinary mail to the last known address for the claimant of its decision that the claimant is not an Approved Class Member promptly after that decision is made in accordance with Article 14. That notice will also advise the claimant of his or her right to have the Court review that decision by application made in the Class Proceeding within 30 days of mailing of the notice. Otherwise the decision is final and binding upon the claimant.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Article 14 reads: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ICF Trustee will review claim eligibility by examining the list of the registered class members and the list of persons who have opted out of the Class proceeding maintained by Messrs. Deloitte &amp; Touche and JICP data and, as needed, JHS records, and following such review, will determine whether any claimant registered in the Class Proceeding is an Approved Class Member.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ICF Trustee will give any claimant who is determined not to be an Approved Class Member notice of that decision as provided in Article 5.3. Such notice will advise the claimant of his or her right to apply to Court in the Class Proceeding for a review of the decision.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The notice was mailed out to all affected persons, including the four applicants, on June 28, 2004. Now, seven months later, these claimants have applied to be joined to the class action. They are Peter Mueller, Kenneth Hughes, James Siegner, and Rodney Major.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Although each of the four applicants before me were served with notice under Article 5.3, none has applied for review within the time specified in the Appendix to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Humphries J. denied the application of the four applicants before her to join the class following the settlement. She held that the class proceeding was concluded via the settlement incorporated into the court order. The only leeway for a person to assert that he or she should be an approved class member was Article 5.3 of the Settlement Agreement, which the applicants had not taken advantage of. She held that, in any event, as the class action case management judge, she was </w:t>
      </w:r>
      <w:r>
        <w:rPr>
          <w:rFonts w:ascii="arial" w:eastAsia="arial" w:hAnsi="arial" w:cs="arial"/>
          <w:i/>
          <w:color w:val="000000"/>
          <w:sz w:val="20"/>
          <w:lang w:val="en-US" w:eastAsia="en-US" w:bidi="ar-SA"/>
        </w:rPr>
        <w:t>functus</w:t>
      </w:r>
      <w:r>
        <w:rPr>
          <w:rFonts w:ascii="arial" w:eastAsia="arial" w:hAnsi="arial" w:cs="arial"/>
          <w:color w:val="000000"/>
          <w:sz w:val="20"/>
          <w:lang w:val="en-US" w:eastAsia="en-US" w:bidi="ar-SA"/>
        </w:rPr>
        <w:t>. However she added the following additional comments: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I would not view these matters as mere technicalities, however, particularly for Mueller, Hughes and Siegner. Great care was taken over the many years during which the action was before the court to ensure that every class member received adequate notice of every step that was taken. The wording of notices was discussed fully at each application to ensure they were as clear and unambiguous as they could be, given the difficulties faced by the members of the class.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The original Notice to Class Members explained opting out and registration in simple terms, and also explained that if a class member accepted compensation from JICP, he or she would be required to opt out of the class action. The opt-out forms were brief and clearly worded; Mueller, Hughes and Siegner signed them. As for Mr. Major, he appears to have made no efforts to ascertain or assert his rights until this very late date.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Each of these four applicants had clear notice that they should apply within thirty days to have their status reviewed by the court. Each of them, although receiving the notice, simply did nothing for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Three of the plaintiffs in these actions were among the four applicants before Humphries J. on the application: Peter Mueller, James Siegner, and Rodney Major. Like them, the other plaintiffs in these actions did not apply to the court within 30 days under Article 5.3 of the settlement agreement for a review of the decision of the trustee for the individual compensation fund ("ICF") (established under the settlement agreement) that they were not "Approved Class Members" within the meaning of the settlement agreement, and therefore could not share in ICF portion of the settlement proceeds.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JICP was established by the Province in 1995. It began processing claims in late 1996. The program included a Compensation Panel of three persons who reviewed the claims and recommended compensation, ranging from $3,000 to $60,000. (The affidavit of Anne Sheane sworn December 8, 2011 which is before me says that the range was $3,000 to $50,000, but the affidavit of Larry Adams, the only plaintiff to have sworn an affidavit in these proceedings, states that he received the maximum compensation of $60,000).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When the class action was commenced on January 29, 1998, the JICP was still ongoing.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Court of Appeal limited the class action to claims of injury, loss and damage resulting from misconduct of a sexual nature perpetrated by employees, agents or other students at the school: </w:t>
      </w:r>
      <w:r>
        <w:rPr>
          <w:rFonts w:ascii="arial" w:eastAsia="arial" w:hAnsi="arial" w:cs="arial"/>
          <w:i/>
          <w:color w:val="000000"/>
          <w:sz w:val="20"/>
          <w:lang w:val="en-US" w:eastAsia="en-US" w:bidi="ar-SA"/>
        </w:rPr>
        <w:t>Rumley v. British Columbia</w:t>
      </w:r>
      <w:r>
        <w:rPr>
          <w:rFonts w:ascii="arial" w:eastAsia="arial" w:hAnsi="arial" w:cs="arial"/>
          <w:color w:val="000000"/>
          <w:sz w:val="20"/>
          <w:lang w:val="en-US" w:eastAsia="en-US" w:bidi="ar-SA"/>
        </w:rPr>
        <w:t xml:space="preserve">, </w:t>
      </w:r>
      <w:hyperlink r:id="rId902" w:history="1">
        <w:r>
          <w:rPr>
            <w:rFonts w:ascii="arial" w:eastAsia="arial" w:hAnsi="arial" w:cs="arial"/>
            <w:i/>
            <w:color w:val="0077CC"/>
            <w:sz w:val="20"/>
            <w:u w:val="single"/>
            <w:shd w:val="clear" w:color="auto" w:fill="FFFFFF"/>
            <w:lang w:val="en-US" w:eastAsia="en-US" w:bidi="ar-SA"/>
          </w:rPr>
          <w:t>1999 BCCA 689</w:t>
        </w:r>
      </w:hyperlink>
      <w:r>
        <w:rPr>
          <w:rFonts w:ascii="arial" w:eastAsia="arial" w:hAnsi="arial" w:cs="arial"/>
          <w:color w:val="000000"/>
          <w:sz w:val="20"/>
          <w:lang w:val="en-US" w:eastAsia="en-US" w:bidi="ar-SA"/>
        </w:rPr>
        <w:t xml:space="preserve"> at paras. 51-52 [</w:t>
      </w:r>
      <w:r>
        <w:rPr>
          <w:rFonts w:ascii="arial" w:eastAsia="arial" w:hAnsi="arial" w:cs="arial"/>
          <w:i/>
          <w:color w:val="000000"/>
          <w:sz w:val="20"/>
          <w:lang w:val="en-US" w:eastAsia="en-US" w:bidi="ar-SA"/>
        </w:rPr>
        <w:t>Rumley</w:t>
      </w:r>
      <w:r>
        <w:rPr>
          <w:rFonts w:ascii="arial" w:eastAsia="arial" w:hAnsi="arial" w:cs="arial"/>
          <w:color w:val="000000"/>
          <w:sz w:val="20"/>
          <w:lang w:val="en-US" w:eastAsia="en-US" w:bidi="ar-SA"/>
        </w:rPr>
        <w:t xml:space="preserve"> (BCCA)]. The Supreme Court of Canada affirmed the Court of Appeal's decision: </w:t>
      </w:r>
      <w:r>
        <w:rPr>
          <w:rFonts w:ascii="arial" w:eastAsia="arial" w:hAnsi="arial" w:cs="arial"/>
          <w:i/>
          <w:color w:val="000000"/>
          <w:sz w:val="20"/>
          <w:lang w:val="en-US" w:eastAsia="en-US" w:bidi="ar-SA"/>
        </w:rPr>
        <w:t>Rumley v. British Columbia</w:t>
      </w:r>
      <w:r>
        <w:rPr>
          <w:rFonts w:ascii="arial" w:eastAsia="arial" w:hAnsi="arial" w:cs="arial"/>
          <w:color w:val="000000"/>
          <w:sz w:val="20"/>
          <w:lang w:val="en-US" w:eastAsia="en-US" w:bidi="ar-SA"/>
        </w:rPr>
        <w:t xml:space="preserve">, </w:t>
      </w:r>
      <w:hyperlink r:id="rId903" w:history="1">
        <w:r>
          <w:rPr>
            <w:rFonts w:ascii="arial" w:eastAsia="arial" w:hAnsi="arial" w:cs="arial"/>
            <w:i/>
            <w:color w:val="0077CC"/>
            <w:sz w:val="20"/>
            <w:u w:val="single"/>
            <w:shd w:val="clear" w:color="auto" w:fill="FFFFFF"/>
            <w:lang w:val="en-US" w:eastAsia="en-US" w:bidi="ar-SA"/>
          </w:rPr>
          <w:t>2001 SCC 69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Court of Appeal's decision did not deal with the interrelationship between the still ongoing JICP and the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After the Court of Appeal's decision on November 26, 1999, the operation of the JICP was in held in abeyance for about two and one-half months, to February 8, 2000, the date of the certification order in the Supreme Court of B.C. The JICP resumed operations and made its last compensation decision in late February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decision in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xml:space="preserve"> notes that certification of the class action cast doubt on upon the future of the JICP, which sought advice from the court: para. 27. The evidence for that is not before me. However the fact that the JICP was involved in the proceedings before Humphries J. leading to the certification order is clear from the order itself, which records that the JICP was represented by counsel on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certification order defined the class and common issues in precise accordance with the Court of Appeal's decision. It contained provisions for opting out and for notice to class members. It provided that Jerry Zuk of Arthur Anderson Inc. (later of Delloitte &amp; Touche LLP) was responsible for receiving both opt-out forms and registration forms, and that Arthur Anderson Inc. would deliver opt-out and registration forms to counsel for the representative plaintiffs and the Province forthwith upon receipt.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order included detailed, specific terms dealing with the ongoing JICP. The JICP was to provide a copy of the Notice to Class Members pursuant to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to all JICP applications in progress. It directed that the JICP recommend independent legal advice and recommend obtaining a certificate of independent legal advice for compensation offers it made, and that it pay for that advice. Most importantly, it provided that the Province (through the JICP, presumably), following the legal advice recommendation, was to advise the class member that they may accept the offer of compensation "once they have opted out of the class proceeding pursuant to the Notice". It provided that "If a class member decides to accept compensation from the JICP that class member must first opt out of the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Notice to Class Members also explained that acceptance of a JICP offer would require opting out of the class action, and that, "If you opt out, you will not be entitled to share in any amount which may be recovered in the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Claimants were entitled to independent legal advice from the lawyer of their choice.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Of the thirty plaintiffs in these actions, twenty-seven received JICP funds, and signed the opt-out form and a release of the Province, after the certification order was made. In all of these cases the JICP documented that they received independent legal advice, or had such advice recommended to them and declined it. Two plaintiffs (LaFace and Dixon) did not participate in the JICP but nevertheless opted out of the class action. Both signed and delivered to Mr. Zuk the opt-out form which provided, "I understand that by signing this form and sending it to you, I will not be allowed to share in any of the compensation which may be recovered in the class action lawsuit." One plaintiff (Major) received compensation from JICP in 1999 and signed a release of the Province after declining JICP's offer of free legal advice. He did not opt out of the class action, but he did not register for the class action prior to the court-imposed deadline for registration of January 31, 2004. Another plaintiff, (Seigner) had no dealings with the defendants. Counsel for the plaintiffs acknowledges that the claims of Major and Seigner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All but two of the plaintiffs (Luinenberg and Fryer) registered for the class action with Mr. Zuk, notwithstanding the fact that with the exception of Mr. Major they had opted out of the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As a result of the provisions of the certification order relating to the JICP, those former students whose JICP claims were resolved prior to the certification order were not required to opt out of the class action, which of course did not exist when their claims were resolved. As a result those former students could register as claimants for the class action and were ultimately able to receive class action settlement funds. Under the terms of the class action settlement the releases they signed in order to receive JICP payments were not a bar to sharing in the ICF payments. However those students who like the plaintiffs in these actions accepted JICP payments after the certification order were required to opt out of the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Class action settlement discussions began in the fall of 2000. There were five mediation sessions conducted between the December 2000 and July 2003. In order to facilitate settlement, a cut-off date for registration was required. As noted, the cut-off date was established as January 31, 2004 by court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April 2, 2004, the court approved a settlement of the class action. The order and settlement agreement appended to it were binding on all class members who had not opted out. The settlement agreement provided for a fund of $10,500,000 for individual compensation. It established an Individual Compensation Fund ("ICF") Plan for distribution of the funds to "Approved Class Members" as defined. Approved Class Members included class members who had registered before the relevant cut-off date and who had not opted out by delivering an opt-out form. The Canada Trust Company was appointed to administer the ICF. Compensation was established at Levels I, II, or III, with compensation of $10,000, $75,000, or $125,000, with any residue to be paid pro rata. Claim assessments were carried out by an ICF review team consisting of a psychiatrist and two psychologists. JICP payments made before the class was certified were deducted from the amounts paid to Level II or III recipients.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settlement also provided for a payment of $2,000,000 for a Jericho Legacy Trust for the benefit of members of the deaf and blind community in the Province. $2.6 million was to be paid for legal fees, and up to $450,000 for taxable disbursements. The Province also agreed to other funding commitments.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 noted by Humphries J., clause 5.3 of the agreement allowed claimants who received the trustee's written notice that they were not an Approved Class Member to apply for a review of that decision by the court, within 30 days. None of the plaintiffs did so. None has offered an explanation for not doing so, except perhaps for Mr. Adams, who says in his affidavit that he received the notice, but was not clear about its meaning, was confused, and sought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There were approximately 1,440 students at the school during the relevant times who thus potentially fell within the class. As noted, approximately 300 to 400 students registered with Mr. Zuk.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defendants contend that due to the nature of the opting out provisions in the certification order of Humphries J., and in actual fact, they had no responsibility for or involvement in the plaintiffs' decisions to opt out of the class action. The defendants say they acted as counsel to the representative plaintiffs and members of the class in the class action, but they had no solicitor-client relationship with the plaintiffs in the proceeding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plaintiffs' Statements of Claim do not allege that the defendants represented them as solicitors once the plaintiffs opted out of the class action. In fact the pleadings do not specifically allege that a solicitor-client relationship existed at any time. The Statements of Claim simply allege that the defendants were negligent. The Statements of Claim allege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advise that the Defendants were no longer acting for the Plaintiffs once they had opted out of the Class Action;</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advise or have the Class Action administrator advise that the Plaintiffs needed separate counsel to represent them;</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consenting to extending the time to Opt Out of the Class Action without ensuring those who had that the Class Action did not apply to them;</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advising some of the Plaintiffs who were in the Class Action when in fact the Defendants knew or ought to have known they were not;</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meeting with the Plaintiffs concerning the events at the School without advising them that the Defendants were not representing them;</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advise the Plaintiffs in a timely manner that they were not members of the Class Action;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advise the Plaintiffs about the consequences of opting out of the Class Action and failing to ensure the Plaintiffs understood the consequences when the Defendants knew the Plaintiffs were deaf and had a poor education;</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advise the Plaintiffs that by accepting the JICP settlement after February 8, 2000 they opted out of the class action;</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have the Plaintiffs obtain independent legal advice about settling after the certification of the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However on the application, the plaintiffs argue that the defendants acted for them as solicitors and were negligent in performing their duties, and further argue that they were in breach of fiduciary duty as solicitors. The defendants object to the allegations of breach of fiduciary duty, which were not pleaded, and were raised for the first time in oral argument on the hearing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Although the allegations in the Statements of Claim are imprecise and ambiguous, reading the pleadings very generously, it is possible to discern allegations of negligent advice against the defendants as solicitors; however it is clear that breach of fiduciary duty is not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agree with the defendants that they have had no opportunity to meet allegations of breach of fiduciary duty and that without such pleadings no such contention could be allowed at this stage. However on the view I take of the case allegations of breach of fiduciary duty would make no difference to the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Although the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set out in items g, h, and i focus upon the plaintiffs' decisions to opt out of the class action, on the hearing of the application, the plaintiffs did not contend that there was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duty on the part of the defendants in relation to those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the evidence, it is clear that pursuant to the terms of the certification order each plaintiff, except the two who opted out without receiving JICP funds, had independent legal advice concerning their decision to opt out of the class action and to sign a release of the Province, or was offered such advice and knowingly refused to take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the evidence, the defendants had no role in advising any of the plaintiffs regarding opting out of the class action and took no part in that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plaintiffs' allegations centre on the defendants' conduct after they opted out. The plaintiffs argue that the defendants held themselves out as solicitors for them even after they opted out of the class action, and that a solicitor-client relationship was therefore created. On the hearing of the application they added a further argument that the defendants are estopped from denying that there was a solicitor-client relationship between them and the plaintiffs, based on statements made in correspondence from the defendants. In my view the estoppel argument even if pleaded would not add anything material to the plaintiffs'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Pursuant to the terms of the certification order, once a claimant registered for the class action with Mr. Zuk, Mr. Zuk sent notice of the registration to both counsel. He also periodically sent reports to counsel and to the court concerning the numbers and names of the registrants. The reports included information as to the number and names of registrants who had opted out, and then nonetheless registered with him as class action claimants.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Once Ms. Sheane was notified that a person had registered with Mr. Zuk, she or her legal assistant prepared form letters to the registrants seeking consent to release of their JICP documentation if any, Jericho Hill school records, and release of income tax records. These letters were sent without first determining whether these registrants had opted out of the proceedings. It is largely on the basis of this correspondence that the plaintiffs allege that a solicitor-client relationship existed between themselves and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plaintiffs allege that the defendants owed a duty to advise them that, having opted out, they were not going to share in the proceeds of any settlement or award in the class action. They allege that Ms. Sheane should have applied on their behalf to opt back into the class action prior to the settlement, or she should have advised them to obtain independent legal advice before the settlement occurred, which would have led to an application to opt back into the class action proceedings. They argue that there was some realistic chance that such an application could have been successful. They argue that the amount of their loss is equal to the amount of money they would individually have received had they participated in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defendants argue, among other things, that the loss the plaintiffs assert flowed from their own decisions and was not caused by any breach of duty on their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Suitability for Disposition on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plaintiffs and the defendants seek judgment in their favour. Neither side argues that the matter is unsuitable for disposition on a summary trial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Few if any material facts are seriously in dispute. The defendant Ms. Sheane has sworn a lengthy affidavit, none of which is specifically contested by the plaintiffs. Only the plaintiff Larry Adams has sworn an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Even allowing for a delay for the proceedings in the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xml:space="preserve"> actions, it appears that the plaintiffs do not wish to pursue this matter to a trial in the conventional sense, or that they simply do not have the resources to do so. These actions were commenced nearly six years ago, in 2008. No examinations for discovery have been conducted. No trial date is set. The defendants suggest that a trial of six to eight weeks would be required. Counsel for the plaintiffs did not disagree. The costs of taking the matter to a conventional trial would be exorbitant. Much further delay would occur, in circumstances where the material facts are already very dated.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will be seen, the decisive issue in my view is whether the plaintiffs have established a loss attributable to a breach of duty on the part of the defendants. In practical terms it is unlikely that a conventional trial would shed much further light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MCoal Corporation v. R.J. Tocher Holdings Limited</w:t>
      </w:r>
      <w:r>
        <w:rPr>
          <w:rFonts w:ascii="arial" w:eastAsia="arial" w:hAnsi="arial" w:cs="arial"/>
          <w:color w:val="000000"/>
          <w:sz w:val="20"/>
          <w:lang w:val="en-US" w:eastAsia="en-US" w:bidi="ar-SA"/>
        </w:rPr>
        <w:t xml:space="preserve">, </w:t>
      </w:r>
      <w:hyperlink r:id="rId904" w:history="1">
        <w:r>
          <w:rPr>
            <w:rFonts w:ascii="arial" w:eastAsia="arial" w:hAnsi="arial" w:cs="arial"/>
            <w:i/>
            <w:color w:val="0077CC"/>
            <w:sz w:val="20"/>
            <w:u w:val="single"/>
            <w:shd w:val="clear" w:color="auto" w:fill="FFFFFF"/>
            <w:lang w:val="en-US" w:eastAsia="en-US" w:bidi="ar-SA"/>
          </w:rPr>
          <w:t>2012 BCSC 653</w:t>
        </w:r>
      </w:hyperlink>
      <w:r>
        <w:rPr>
          <w:rFonts w:ascii="arial" w:eastAsia="arial" w:hAnsi="arial" w:cs="arial"/>
          <w:color w:val="000000"/>
          <w:sz w:val="20"/>
          <w:lang w:val="en-US" w:eastAsia="en-US" w:bidi="ar-SA"/>
        </w:rPr>
        <w:t>, I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Under Rule 9-7(15)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on a hearing of a summary trial application, the court may grant judgment, unless the court is unable, on the whole of the evidence before the court on the application, to find the facts necessary to decide the issues of fact or law, or the court is of the opinion that it would be unjust to decide the issues on the application.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In deciding whether it will be unjust to give judgment, the chambers judge is entitled to consider,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the amount involved, the complexity of the matter, its urgency, any prejudice likely to arise by reason of delay, the cost of taking the case forward to a conventional trial in relation to the amount involved, the course of the proceedings and any other matters which arise for consideration: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Inspiration Management</w:t>
      </w:r>
      <w:r>
        <w:rPr>
          <w:rFonts w:ascii="arial" w:eastAsia="arial" w:hAnsi="arial" w:cs="arial"/>
          <w:color w:val="000000"/>
          <w:sz w:val="20"/>
          <w:lang w:val="en-US" w:eastAsia="en-US" w:bidi="ar-SA"/>
        </w:rPr>
        <w:t>], at 214.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The Rule must be applied only where it is possible to do justice between the parties in accordance with the requirements of the Rule itself and in accordance with the general principles which govern judges in their daily task of ensuring that justice is done: </w:t>
      </w:r>
      <w:r>
        <w:rPr>
          <w:rFonts w:ascii="arial" w:eastAsia="arial" w:hAnsi="arial" w:cs="arial"/>
          <w:i/>
          <w:color w:val="000000"/>
          <w:sz w:val="20"/>
          <w:lang w:val="en-US" w:eastAsia="en-US" w:bidi="ar-SA"/>
        </w:rPr>
        <w:t>Inspiration Management</w:t>
      </w:r>
      <w:r>
        <w:rPr>
          <w:rFonts w:ascii="arial" w:eastAsia="arial" w:hAnsi="arial" w:cs="arial"/>
          <w:color w:val="000000"/>
          <w:sz w:val="20"/>
          <w:lang w:val="en-US" w:eastAsia="en-US" w:bidi="ar-SA"/>
        </w:rPr>
        <w:t xml:space="preserve">, at 212, quoting </w:t>
      </w:r>
      <w:r>
        <w:rPr>
          <w:rFonts w:ascii="arial" w:eastAsia="arial" w:hAnsi="arial" w:cs="arial"/>
          <w:i/>
          <w:color w:val="000000"/>
          <w:sz w:val="20"/>
          <w:lang w:val="en-US" w:eastAsia="en-US" w:bidi="ar-SA"/>
        </w:rPr>
        <w:t>Placer Development Ltd. v. Skyline Explorations Ltd.</w:t>
      </w:r>
      <w:r>
        <w:rPr>
          <w:rFonts w:ascii="arial" w:eastAsia="arial" w:hAnsi="arial" w:cs="arial"/>
          <w:color w:val="000000"/>
          <w:sz w:val="20"/>
          <w:lang w:val="en-US" w:eastAsia="en-US" w:bidi="ar-SA"/>
        </w:rPr>
        <w:t xml:space="preserve"> </w:t>
      </w:r>
      <w:hyperlink r:id="rId349" w:history="1">
        <w:r>
          <w:rPr>
            <w:rFonts w:ascii="arial" w:eastAsia="arial" w:hAnsi="arial" w:cs="arial"/>
            <w:i/>
            <w:color w:val="0077CC"/>
            <w:sz w:val="20"/>
            <w:u w:val="single"/>
            <w:shd w:val="clear" w:color="auto" w:fill="FFFFFF"/>
            <w:lang w:val="en-US" w:eastAsia="en-US" w:bidi="ar-SA"/>
          </w:rPr>
          <w:t>(1985), 67 B.C.L.R. 366</w:t>
        </w:r>
      </w:hyperlink>
      <w:r>
        <w:rPr>
          <w:rFonts w:ascii="arial" w:eastAsia="arial" w:hAnsi="arial" w:cs="arial"/>
          <w:color w:val="000000"/>
          <w:sz w:val="20"/>
          <w:lang w:val="en-US" w:eastAsia="en-US" w:bidi="ar-SA"/>
        </w:rPr>
        <w:t xml:space="preserve"> (C.A.), at 385-386.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am not unable, on the whole of the evidence before me on the application, to find the facts necessary to decide the issues of fact or law necessary to the case, nor do I find that it would be unjust to give judgment on a summary trial in the circumstances of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Many of the applicable legal principles are summarized conveniently in the decision of Pearlman J. in </w:t>
      </w:r>
      <w:r>
        <w:rPr>
          <w:rFonts w:ascii="arial" w:eastAsia="arial" w:hAnsi="arial" w:cs="arial"/>
          <w:i/>
          <w:color w:val="000000"/>
          <w:sz w:val="20"/>
          <w:lang w:val="en-US" w:eastAsia="en-US" w:bidi="ar-SA"/>
        </w:rPr>
        <w:t>Campbell v. Ragona</w:t>
      </w:r>
      <w:r>
        <w:rPr>
          <w:rFonts w:ascii="arial" w:eastAsia="arial" w:hAnsi="arial" w:cs="arial"/>
          <w:color w:val="000000"/>
          <w:sz w:val="20"/>
          <w:lang w:val="en-US" w:eastAsia="en-US" w:bidi="ar-SA"/>
        </w:rPr>
        <w:t xml:space="preserve">, </w:t>
      </w:r>
      <w:hyperlink r:id="rId905" w:history="1">
        <w:r>
          <w:rPr>
            <w:rFonts w:ascii="arial" w:eastAsia="arial" w:hAnsi="arial" w:cs="arial"/>
            <w:i/>
            <w:color w:val="0077CC"/>
            <w:sz w:val="20"/>
            <w:u w:val="single"/>
            <w:shd w:val="clear" w:color="auto" w:fill="FFFFFF"/>
            <w:lang w:val="en-US" w:eastAsia="en-US" w:bidi="ar-SA"/>
          </w:rPr>
          <w:t>2010 BCSC 1339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[86] In order to assess the damages caused by a lawyers'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conduct of litigation, a plaintiff must establish that had the lawyer exercised a reasonable degree of skill and care, the plaintiff would have had a reasonable prospect of success in the litigation: </w:t>
      </w:r>
      <w:r>
        <w:rPr>
          <w:rFonts w:ascii="arial" w:eastAsia="arial" w:hAnsi="arial" w:cs="arial"/>
          <w:i/>
          <w:color w:val="000000"/>
          <w:sz w:val="20"/>
          <w:lang w:val="en-US" w:eastAsia="en-US" w:bidi="ar-SA"/>
        </w:rPr>
        <w:t>Cridge v. De Vooght</w:t>
      </w:r>
      <w:r>
        <w:rPr>
          <w:rFonts w:ascii="arial" w:eastAsia="arial" w:hAnsi="arial" w:cs="arial"/>
          <w:color w:val="000000"/>
          <w:sz w:val="20"/>
          <w:lang w:val="en-US" w:eastAsia="en-US" w:bidi="ar-SA"/>
        </w:rPr>
        <w:t xml:space="preserve">, </w:t>
      </w:r>
      <w:hyperlink r:id="rId906" w:history="1">
        <w:r>
          <w:rPr>
            <w:rFonts w:ascii="arial" w:eastAsia="arial" w:hAnsi="arial" w:cs="arial"/>
            <w:i/>
            <w:color w:val="0077CC"/>
            <w:sz w:val="20"/>
            <w:u w:val="single"/>
            <w:shd w:val="clear" w:color="auto" w:fill="FFFFFF"/>
            <w:lang w:val="en-US" w:eastAsia="en-US" w:bidi="ar-SA"/>
          </w:rPr>
          <w:t>2004 BCSC 101</w:t>
        </w:r>
      </w:hyperlink>
      <w:r>
        <w:rPr>
          <w:rFonts w:ascii="arial" w:eastAsia="arial" w:hAnsi="arial" w:cs="arial"/>
          <w:color w:val="000000"/>
          <w:sz w:val="20"/>
          <w:lang w:val="en-US" w:eastAsia="en-US" w:bidi="ar-SA"/>
        </w:rPr>
        <w:t xml:space="preserve"> at para. 9, aff'd </w:t>
      </w:r>
      <w:hyperlink r:id="rId907" w:history="1">
        <w:r>
          <w:rPr>
            <w:rFonts w:ascii="arial" w:eastAsia="arial" w:hAnsi="arial" w:cs="arial"/>
            <w:i/>
            <w:color w:val="0077CC"/>
            <w:sz w:val="20"/>
            <w:u w:val="single"/>
            <w:shd w:val="clear" w:color="auto" w:fill="FFFFFF"/>
            <w:lang w:val="en-US" w:eastAsia="en-US" w:bidi="ar-SA"/>
          </w:rPr>
          <w:t>[2005] B.C.J. No. 74</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[91] In order to establish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defendants, Mr. Campbell must prove on a balance of probabilities:</w:t>
      </w:r>
    </w:p>
    <w:p>
      <w:pPr>
        <w:numPr>
          <w:numId w:val="1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a duty, $* $*</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breach of that duty, and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31"/>
        <w:gridCol w:w="237"/>
        <w:gridCol w:w="721"/>
        <w:gridCol w:w="237"/>
        <w:gridCol w:w="7101"/>
        <w:gridCol w:w="102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w:t>
            </w:r>
          </w:p>
        </w:tc>
        <w:tc>
          <w:tcPr>
            <w:tcW w:w="10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06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breach caused the plaintiff damages.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[92] The plaintiff must prove, on a balance of probabilities, each element of the cause of action: </w:t>
      </w:r>
      <w:r>
        <w:rPr>
          <w:rFonts w:ascii="arial" w:eastAsia="arial" w:hAnsi="arial" w:cs="arial"/>
          <w:i/>
          <w:color w:val="000000"/>
          <w:sz w:val="20"/>
          <w:lang w:val="en-US" w:eastAsia="en-US" w:bidi="ar-SA"/>
        </w:rPr>
        <w:t>Roberge v. Huberman</w:t>
      </w:r>
      <w:r>
        <w:rPr>
          <w:rFonts w:ascii="arial" w:eastAsia="arial" w:hAnsi="arial" w:cs="arial"/>
          <w:color w:val="000000"/>
          <w:sz w:val="20"/>
          <w:lang w:val="en-US" w:eastAsia="en-US" w:bidi="ar-SA"/>
        </w:rPr>
        <w:t xml:space="preserve">, </w:t>
      </w:r>
      <w:hyperlink r:id="rId908" w:history="1">
        <w:r>
          <w:rPr>
            <w:rFonts w:ascii="arial" w:eastAsia="arial" w:hAnsi="arial" w:cs="arial"/>
            <w:i/>
            <w:color w:val="0077CC"/>
            <w:sz w:val="20"/>
            <w:u w:val="single"/>
            <w:shd w:val="clear" w:color="auto" w:fill="FFFFFF"/>
            <w:lang w:val="en-US" w:eastAsia="en-US" w:bidi="ar-SA"/>
          </w:rPr>
          <w:t>1999 BCCA 196</w:t>
        </w:r>
      </w:hyperlink>
      <w:r>
        <w:rPr>
          <w:rFonts w:ascii="arial" w:eastAsia="arial" w:hAnsi="arial" w:cs="arial"/>
          <w:color w:val="000000"/>
          <w:sz w:val="20"/>
          <w:lang w:val="en-US" w:eastAsia="en-US" w:bidi="ar-SA"/>
        </w:rPr>
        <w:t xml:space="preserve">, </w:t>
      </w:r>
      <w:hyperlink r:id="rId908" w:history="1">
        <w:r>
          <w:rPr>
            <w:rFonts w:ascii="arial" w:eastAsia="arial" w:hAnsi="arial" w:cs="arial"/>
            <w:i/>
            <w:color w:val="0077CC"/>
            <w:sz w:val="20"/>
            <w:u w:val="single"/>
            <w:shd w:val="clear" w:color="auto" w:fill="FFFFFF"/>
            <w:lang w:val="en-US" w:eastAsia="en-US" w:bidi="ar-SA"/>
          </w:rPr>
          <w:t>62 B.C.L.R. (3d) 385</w:t>
        </w:r>
      </w:hyperlink>
      <w:r>
        <w:rPr>
          <w:rFonts w:ascii="arial" w:eastAsia="arial" w:hAnsi="arial" w:cs="arial"/>
          <w:color w:val="000000"/>
          <w:sz w:val="20"/>
          <w:lang w:val="en-US" w:eastAsia="en-US" w:bidi="ar-SA"/>
        </w:rPr>
        <w:t xml:space="preserve"> at para. 18.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[93] The defendants are required to bring reasonable care, skill and knowledge to the professional services which they undertook to perform on Mr. Campbell's behalf: </w:t>
      </w:r>
      <w:r>
        <w:rPr>
          <w:rFonts w:ascii="arial" w:eastAsia="arial" w:hAnsi="arial" w:cs="arial"/>
          <w:i/>
          <w:color w:val="000000"/>
          <w:sz w:val="20"/>
          <w:lang w:val="en-US" w:eastAsia="en-US" w:bidi="ar-SA"/>
        </w:rPr>
        <w:t>Central Trust Co. v. Rafuse</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[1986] 2 S.C.R. 147</w:t>
        </w:r>
      </w:hyperlink>
      <w:r>
        <w:rPr>
          <w:rFonts w:ascii="arial" w:eastAsia="arial" w:hAnsi="arial" w:cs="arial"/>
          <w:color w:val="000000"/>
          <w:sz w:val="20"/>
          <w:lang w:val="en-US" w:eastAsia="en-US" w:bidi="ar-SA"/>
        </w:rPr>
        <w:t xml:space="preserve"> at paras. 58, 59.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[94] In </w:t>
      </w:r>
      <w:r>
        <w:rPr>
          <w:rFonts w:ascii="arial" w:eastAsia="arial" w:hAnsi="arial" w:cs="arial"/>
          <w:i/>
          <w:color w:val="000000"/>
          <w:sz w:val="20"/>
          <w:lang w:val="en-US" w:eastAsia="en-US" w:bidi="ar-SA"/>
        </w:rPr>
        <w:t>Fraser Park South Estates Ltd. v. Lang Michener Lawrence &amp; Shaw</w:t>
      </w:r>
      <w:r>
        <w:rPr>
          <w:rFonts w:ascii="arial" w:eastAsia="arial" w:hAnsi="arial" w:cs="arial"/>
          <w:color w:val="000000"/>
          <w:sz w:val="20"/>
          <w:lang w:val="en-US" w:eastAsia="en-US" w:bidi="ar-SA"/>
        </w:rPr>
        <w:t xml:space="preserve">, </w:t>
      </w:r>
      <w:hyperlink r:id="rId909" w:history="1">
        <w:r>
          <w:rPr>
            <w:rFonts w:ascii="arial" w:eastAsia="arial" w:hAnsi="arial" w:cs="arial"/>
            <w:i/>
            <w:color w:val="0077CC"/>
            <w:sz w:val="20"/>
            <w:u w:val="single"/>
            <w:shd w:val="clear" w:color="auto" w:fill="FFFFFF"/>
            <w:lang w:val="en-US" w:eastAsia="en-US" w:bidi="ar-SA"/>
          </w:rPr>
          <w:t>[1999] B.C.J. No. 150</w:t>
        </w:r>
      </w:hyperlink>
      <w:r>
        <w:rPr>
          <w:rFonts w:ascii="arial" w:eastAsia="arial" w:hAnsi="arial" w:cs="arial"/>
          <w:color w:val="000000"/>
          <w:sz w:val="20"/>
          <w:lang w:val="en-US" w:eastAsia="en-US" w:bidi="ar-SA"/>
        </w:rPr>
        <w:t xml:space="preserve"> (S.C.), the court summarized the elements of the duty of care owed by a reasonable and prudent solicitor to his or her client at paras. 45-47: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[45] The competing principles of law here are that firstly, the reasonable prudent solicitor has a duty:</w:t>
      </w:r>
    </w:p>
    <w:p>
      <w:pPr>
        <w:numPr>
          <w:numId w:val="1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To be skilful and careful.</w:t>
      </w:r>
    </w:p>
    <w:p>
      <w:pPr>
        <w:numPr>
          <w:numId w:val="1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To advise his client on all matters relevant to his retainer, so far as may be reasonably necessary.</w:t>
      </w:r>
    </w:p>
    <w:p>
      <w:pPr>
        <w:numPr>
          <w:numId w:val="18"/>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protect the interests of his client.</w:t>
      </w:r>
    </w:p>
    <w:p>
      <w:pPr>
        <w:numPr>
          <w:numId w:val="19"/>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carry out his instructions by all proper means.</w:t>
      </w:r>
    </w:p>
    <w:p>
      <w:pPr>
        <w:numPr>
          <w:numId w:val="20"/>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consult with his client on all questions of doubt which do not fall within the express or implied discretion left to him.</w:t>
      </w:r>
    </w:p>
    <w:p>
      <w:pPr>
        <w:numPr>
          <w:numId w:val="21"/>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keep his client informed to such an extent as may be reasonably necessary according to the same criteria.</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Tiffin Holdings v. Millican</w:t>
      </w:r>
      <w:r>
        <w:rPr>
          <w:rFonts w:ascii="arial" w:eastAsia="arial" w:hAnsi="arial" w:cs="arial"/>
          <w:color w:val="000000"/>
          <w:sz w:val="20"/>
          <w:lang w:val="en-US" w:eastAsia="en-US" w:bidi="ar-SA"/>
        </w:rPr>
        <w:t xml:space="preserve"> </w:t>
      </w:r>
      <w:hyperlink r:id="rId910" w:history="1">
        <w:r>
          <w:rPr>
            <w:rFonts w:ascii="arial" w:eastAsia="arial" w:hAnsi="arial" w:cs="arial"/>
            <w:i/>
            <w:color w:val="0077CC"/>
            <w:sz w:val="20"/>
            <w:u w:val="single"/>
            <w:shd w:val="clear" w:color="auto" w:fill="FFFFFF"/>
            <w:lang w:val="en-US" w:eastAsia="en-US" w:bidi="ar-SA"/>
          </w:rPr>
          <w:t>(1964), 49 D.L.R. (2d) 216</w:t>
        </w:r>
      </w:hyperlink>
      <w:r>
        <w:rPr>
          <w:rFonts w:ascii="arial" w:eastAsia="arial" w:hAnsi="arial" w:cs="arial"/>
          <w:color w:val="000000"/>
          <w:sz w:val="20"/>
          <w:lang w:val="en-US" w:eastAsia="en-US" w:bidi="ar-SA"/>
        </w:rPr>
        <w:t xml:space="preserve"> (Alta. S.C.))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[46] Secondly, the duty does not extend to ensuring or guaranteeing the expected results of the client, not [sic] does it extend to performing tasks beyond the solicitor's normal retainer without explicit instructions to do so. (</w:t>
      </w:r>
      <w:r>
        <w:rPr>
          <w:rFonts w:ascii="arial" w:eastAsia="arial" w:hAnsi="arial" w:cs="arial"/>
          <w:i/>
          <w:color w:val="000000"/>
          <w:sz w:val="20"/>
          <w:lang w:val="en-US" w:eastAsia="en-US" w:bidi="ar-SA"/>
        </w:rPr>
        <w:t>Midland Bank Trust Co. v. Hett, Stubbs and Kemp,</w:t>
      </w:r>
      <w:r>
        <w:rPr>
          <w:rFonts w:ascii="arial" w:eastAsia="arial" w:hAnsi="arial" w:cs="arial"/>
          <w:color w:val="000000"/>
          <w:sz w:val="20"/>
          <w:lang w:val="en-US" w:eastAsia="en-US" w:bidi="ar-SA"/>
        </w:rPr>
        <w:t xml:space="preserve"> [1978] 3 All E.R. (Q.B.) 571)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Finally, a professional's conduct should not be judged with the wisdom of hindsight but rather in light of the knowledge that reasonably ought to have been possessed at the time of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Haida Inn Partnership v.Touche Ross</w:t>
      </w:r>
      <w:r>
        <w:rPr>
          <w:rFonts w:ascii="arial" w:eastAsia="arial" w:hAnsi="arial" w:cs="arial"/>
          <w:color w:val="000000"/>
          <w:sz w:val="20"/>
          <w:lang w:val="en-US" w:eastAsia="en-US" w:bidi="ar-SA"/>
        </w:rPr>
        <w:t xml:space="preserve"> </w:t>
      </w:r>
      <w:hyperlink r:id="rId911" w:history="1">
        <w:r>
          <w:rPr>
            <w:rFonts w:ascii="arial" w:eastAsia="arial" w:hAnsi="arial" w:cs="arial"/>
            <w:i/>
            <w:color w:val="0077CC"/>
            <w:sz w:val="20"/>
            <w:u w:val="single"/>
            <w:shd w:val="clear" w:color="auto" w:fill="FFFFFF"/>
            <w:lang w:val="en-US" w:eastAsia="en-US" w:bidi="ar-SA"/>
          </w:rPr>
          <w:t>(1989), 42 B.C.L.R. (2d) 151</w:t>
        </w:r>
      </w:hyperlink>
      <w:r>
        <w:rPr>
          <w:rFonts w:ascii="arial" w:eastAsia="arial" w:hAnsi="arial" w:cs="arial"/>
          <w:color w:val="000000"/>
          <w:sz w:val="20"/>
          <w:lang w:val="en-US" w:eastAsia="en-US" w:bidi="ar-SA"/>
        </w:rPr>
        <w:t xml:space="preserve"> (B.C.S.C.))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[96] The object of an award of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to put the plaintiff in the position he would have enjoyed had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not occurred. The plaintiff must establish what that position would have been on a balance of probabilities: </w:t>
      </w:r>
      <w:r>
        <w:rPr>
          <w:rFonts w:ascii="arial" w:eastAsia="arial" w:hAnsi="arial" w:cs="arial"/>
          <w:i/>
          <w:color w:val="000000"/>
          <w:sz w:val="20"/>
          <w:lang w:val="en-US" w:eastAsia="en-US" w:bidi="ar-SA"/>
        </w:rPr>
        <w:t>Rainbow Industrial Caterers Ltd. v. Canadian National Railway Co.</w:t>
      </w:r>
      <w:r>
        <w:rPr>
          <w:rFonts w:ascii="arial" w:eastAsia="arial" w:hAnsi="arial" w:cs="arial"/>
          <w:color w:val="000000"/>
          <w:sz w:val="20"/>
          <w:lang w:val="en-US" w:eastAsia="en-US" w:bidi="ar-SA"/>
        </w:rPr>
        <w:t xml:space="preserve">, </w:t>
      </w:r>
      <w:hyperlink r:id="rId912" w:history="1">
        <w:r>
          <w:rPr>
            <w:rFonts w:ascii="arial" w:eastAsia="arial" w:hAnsi="arial" w:cs="arial"/>
            <w:i/>
            <w:color w:val="0077CC"/>
            <w:sz w:val="20"/>
            <w:u w:val="single"/>
            <w:shd w:val="clear" w:color="auto" w:fill="FFFFFF"/>
            <w:lang w:val="en-US" w:eastAsia="en-US" w:bidi="ar-SA"/>
          </w:rPr>
          <w:t>[1991] 3 S.C.R. 3</w:t>
        </w:r>
      </w:hyperlink>
      <w:r>
        <w:rPr>
          <w:rFonts w:ascii="arial" w:eastAsia="arial" w:hAnsi="arial" w:cs="arial"/>
          <w:color w:val="000000"/>
          <w:sz w:val="20"/>
          <w:lang w:val="en-US" w:eastAsia="en-US" w:bidi="ar-SA"/>
        </w:rPr>
        <w:t xml:space="preserve"> at paras. 22-24.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[97] Damages for breach of the duty of reasonable care and skill will be measured by the foreseeable consequences of the breach: </w:t>
      </w:r>
      <w:r>
        <w:rPr>
          <w:rFonts w:ascii="arial" w:eastAsia="arial" w:hAnsi="arial" w:cs="arial"/>
          <w:i/>
          <w:color w:val="000000"/>
          <w:sz w:val="20"/>
          <w:lang w:val="en-US" w:eastAsia="en-US" w:bidi="ar-SA"/>
        </w:rPr>
        <w:t>Webber v. Ernst &amp; Young</w:t>
      </w:r>
      <w:r>
        <w:rPr>
          <w:rFonts w:ascii="arial" w:eastAsia="arial" w:hAnsi="arial" w:cs="arial"/>
          <w:color w:val="000000"/>
          <w:sz w:val="20"/>
          <w:lang w:val="en-US" w:eastAsia="en-US" w:bidi="ar-SA"/>
        </w:rPr>
        <w:t xml:space="preserve">, </w:t>
      </w:r>
      <w:hyperlink r:id="rId913" w:history="1">
        <w:r>
          <w:rPr>
            <w:rFonts w:ascii="arial" w:eastAsia="arial" w:hAnsi="arial" w:cs="arial"/>
            <w:i/>
            <w:color w:val="0077CC"/>
            <w:sz w:val="20"/>
            <w:u w:val="single"/>
            <w:shd w:val="clear" w:color="auto" w:fill="FFFFFF"/>
            <w:lang w:val="en-US" w:eastAsia="en-US" w:bidi="ar-SA"/>
          </w:rPr>
          <w:t>2003 BCCA 95</w:t>
        </w:r>
      </w:hyperlink>
      <w:r>
        <w:rPr>
          <w:rFonts w:ascii="arial" w:eastAsia="arial" w:hAnsi="arial" w:cs="arial"/>
          <w:color w:val="000000"/>
          <w:sz w:val="20"/>
          <w:lang w:val="en-US" w:eastAsia="en-US" w:bidi="ar-SA"/>
        </w:rPr>
        <w:t xml:space="preserve"> at para. 86.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[100] Even where the court finds that a solicitor has breached his duty to warn, the plaintiff must still prove what steps the solicitor ought to have recommended, that he would have taken the solicitor's advice, and that if he had done so, he would not have sustained the loss: </w:t>
      </w:r>
      <w:r>
        <w:rPr>
          <w:rFonts w:ascii="arial" w:eastAsia="arial" w:hAnsi="arial" w:cs="arial"/>
          <w:i/>
          <w:color w:val="000000"/>
          <w:sz w:val="20"/>
          <w:lang w:val="en-US" w:eastAsia="en-US" w:bidi="ar-SA"/>
        </w:rPr>
        <w:t>Haag &amp; Haag v. Marshall</w:t>
      </w:r>
      <w:r>
        <w:rPr>
          <w:rFonts w:ascii="arial" w:eastAsia="arial" w:hAnsi="arial" w:cs="arial"/>
          <w:color w:val="000000"/>
          <w:sz w:val="20"/>
          <w:lang w:val="en-US" w:eastAsia="en-US" w:bidi="ar-SA"/>
        </w:rPr>
        <w:t xml:space="preserve">, </w:t>
      </w:r>
      <w:hyperlink r:id="rId914" w:history="1">
        <w:r>
          <w:rPr>
            <w:rFonts w:ascii="arial" w:eastAsia="arial" w:hAnsi="arial" w:cs="arial"/>
            <w:i/>
            <w:color w:val="0077CC"/>
            <w:sz w:val="20"/>
            <w:u w:val="single"/>
            <w:shd w:val="clear" w:color="auto" w:fill="FFFFFF"/>
            <w:lang w:val="en-US" w:eastAsia="en-US" w:bidi="ar-SA"/>
          </w:rPr>
          <w:t>[1989] B.C.J. No. 1576</w:t>
        </w:r>
      </w:hyperlink>
      <w:r>
        <w:rPr>
          <w:rFonts w:ascii="arial" w:eastAsia="arial" w:hAnsi="arial" w:cs="arial"/>
          <w:color w:val="000000"/>
          <w:sz w:val="20"/>
          <w:lang w:val="en-US" w:eastAsia="en-US" w:bidi="ar-SA"/>
        </w:rPr>
        <w:t xml:space="preserve">, </w:t>
      </w:r>
      <w:hyperlink r:id="rId914" w:history="1">
        <w:r>
          <w:rPr>
            <w:rFonts w:ascii="arial" w:eastAsia="arial" w:hAnsi="arial" w:cs="arial"/>
            <w:i/>
            <w:color w:val="0077CC"/>
            <w:sz w:val="20"/>
            <w:u w:val="single"/>
            <w:shd w:val="clear" w:color="auto" w:fill="FFFFFF"/>
            <w:lang w:val="en-US" w:eastAsia="en-US" w:bidi="ar-SA"/>
          </w:rPr>
          <w:t>39 B.C.L.R. (2d) 205</w:t>
        </w:r>
      </w:hyperlink>
      <w:r>
        <w:rPr>
          <w:rFonts w:ascii="arial" w:eastAsia="arial" w:hAnsi="arial" w:cs="arial"/>
          <w:color w:val="000000"/>
          <w:sz w:val="20"/>
          <w:lang w:val="en-US" w:eastAsia="en-US" w:bidi="ar-SA"/>
        </w:rPr>
        <w:t xml:space="preserve"> (B.C.C.A.) at 8-9.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[101] Similarly, with respect to his allegation that the defendants breached their duty to avoid conflict of interest, the plaintiff must prove that the conflict caused a loss: </w:t>
      </w:r>
      <w:r>
        <w:rPr>
          <w:rFonts w:ascii="arial" w:eastAsia="arial" w:hAnsi="arial" w:cs="arial"/>
          <w:i/>
          <w:color w:val="000000"/>
          <w:sz w:val="20"/>
          <w:lang w:val="en-US" w:eastAsia="en-US" w:bidi="ar-SA"/>
        </w:rPr>
        <w:t>DeCotiis v. McLellan</w:t>
      </w:r>
      <w:r>
        <w:rPr>
          <w:rFonts w:ascii="arial" w:eastAsia="arial" w:hAnsi="arial" w:cs="arial"/>
          <w:color w:val="000000"/>
          <w:sz w:val="20"/>
          <w:lang w:val="en-US" w:eastAsia="en-US" w:bidi="ar-SA"/>
        </w:rPr>
        <w:t xml:space="preserve">, </w:t>
      </w:r>
      <w:hyperlink r:id="rId915" w:history="1">
        <w:r>
          <w:rPr>
            <w:rFonts w:ascii="arial" w:eastAsia="arial" w:hAnsi="arial" w:cs="arial"/>
            <w:i/>
            <w:color w:val="0077CC"/>
            <w:sz w:val="20"/>
            <w:u w:val="single"/>
            <w:shd w:val="clear" w:color="auto" w:fill="FFFFFF"/>
            <w:lang w:val="en-US" w:eastAsia="en-US" w:bidi="ar-SA"/>
          </w:rPr>
          <w:t>2009 BCCA 596</w:t>
        </w:r>
      </w:hyperlink>
      <w:r>
        <w:rPr>
          <w:rFonts w:ascii="arial" w:eastAsia="arial" w:hAnsi="arial" w:cs="arial"/>
          <w:color w:val="000000"/>
          <w:sz w:val="20"/>
          <w:lang w:val="en-US" w:eastAsia="en-US" w:bidi="ar-SA"/>
        </w:rPr>
        <w:t xml:space="preserve"> at para.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Therefore, the issues in this case are whether the plaintiffs have established, on a balance of probabilities:</w:t>
      </w:r>
      <w:r>
        <w:rPr>
          <w:rFonts w:ascii="arial" w:eastAsia="arial" w:hAnsi="arial" w:cs="arial"/>
          <w:sz w:val="20"/>
          <w:lang w:val="en-US" w:eastAsia="en-US" w:bidi="ar-SA"/>
        </w:rPr>
        <w:cr/>
      </w:r>
    </w:p>
    <w:p>
      <w:pPr>
        <w:numPr>
          <w:numId w:val="22"/>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a duty;</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breach of that duty; and</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breach caused loss or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As I am satisfied that the plaintiffs' claims must fail on the third issue, it is not strictly necessary that I consider the first two issues. I will therefore turn to a discussion of the third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decision of Humphries J. in </w:t>
      </w:r>
      <w:r>
        <w:rPr>
          <w:rFonts w:ascii="arial" w:eastAsia="arial" w:hAnsi="arial" w:cs="arial"/>
          <w:i/>
          <w:color w:val="000000"/>
          <w:sz w:val="20"/>
          <w:lang w:val="en-US" w:eastAsia="en-US" w:bidi="ar-SA"/>
        </w:rPr>
        <w:t>Rumley</w:t>
      </w:r>
      <w:r>
        <w:rPr>
          <w:rFonts w:ascii="arial" w:eastAsia="arial" w:hAnsi="arial" w:cs="arial"/>
          <w:color w:val="000000"/>
          <w:sz w:val="20"/>
          <w:lang w:val="en-US" w:eastAsia="en-US" w:bidi="ar-SA"/>
        </w:rPr>
        <w:t xml:space="preserve"> (BCSC) makes it very clear that the plaintiffs, having declined or missed their opportunity to apply to be Approved Class Members pursuant to Article 5.3 of the settlement agreement, would not be able to share in the ICF settlement proceeds. Therefore the plaintiffs' theory of loss is that Ms. Sheane breached a duty owed to them as their solicitor to advise them, prior to the settlement, that because they had opted out they were not participating in the class action and would not share in any proceeds. They allege that had they applied to opt back into the action they would have been permitted to do so by the court, or at least there was a chance of that occurring. They say the result would have been that they would have shared in the settlement 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A plaintiff who alleges that a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caused the plaintiff to suffer the loss of a chance of a benefit must prove the loss of the chance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Therefore the plaintiffs are required to prove, first, that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they would have acted in the way that they assert. The plaintiffs have not proven that to my satisfaction.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only affidavit sworn by any of the plaintiffs is that of Mr. Adams, who only says he registered for the class action, and (subsequently, I infer) he received authorizations for release of CRA and JICP information from the defendants. He says, "I thought I was within the class action". He says he did not understand the release and the opt-out form he signed. However in the proceedings before Harvey J., the reasons for judgment disclose that Mr. Adams admitted that when he accepted the JICP money he was told that acceptance of the JICP money precluded him from participation in the class action: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xml:space="preserve"> at para. 115. The affidavit does not deal with the question of what he might have done had Ms. Sheane done anything differently. In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a bare assertion that a client would have behaved differently if he or she had received proper advice should be viewed with some skepticism: </w:t>
      </w:r>
      <w:r>
        <w:rPr>
          <w:rFonts w:ascii="arial" w:eastAsia="arial" w:hAnsi="arial" w:cs="arial"/>
          <w:i/>
          <w:color w:val="000000"/>
          <w:sz w:val="20"/>
          <w:lang w:val="en-US" w:eastAsia="en-US" w:bidi="ar-SA"/>
        </w:rPr>
        <w:t>Newton v. Marzban</w:t>
      </w:r>
      <w:r>
        <w:rPr>
          <w:rFonts w:ascii="arial" w:eastAsia="arial" w:hAnsi="arial" w:cs="arial"/>
          <w:color w:val="000000"/>
          <w:sz w:val="20"/>
          <w:lang w:val="en-US" w:eastAsia="en-US" w:bidi="ar-SA"/>
        </w:rPr>
        <w:t xml:space="preserve">, </w:t>
      </w:r>
      <w:hyperlink r:id="rId916" w:history="1">
        <w:r>
          <w:rPr>
            <w:rFonts w:ascii="arial" w:eastAsia="arial" w:hAnsi="arial" w:cs="arial"/>
            <w:i/>
            <w:color w:val="0077CC"/>
            <w:sz w:val="20"/>
            <w:u w:val="single"/>
            <w:shd w:val="clear" w:color="auto" w:fill="FFFFFF"/>
            <w:lang w:val="en-US" w:eastAsia="en-US" w:bidi="ar-SA"/>
          </w:rPr>
          <w:t>2008 BCSC 328</w:t>
        </w:r>
      </w:hyperlink>
      <w:r>
        <w:rPr>
          <w:rFonts w:ascii="arial" w:eastAsia="arial" w:hAnsi="arial" w:cs="arial"/>
          <w:color w:val="000000"/>
          <w:sz w:val="20"/>
          <w:lang w:val="en-US" w:eastAsia="en-US" w:bidi="ar-SA"/>
        </w:rPr>
        <w:t xml:space="preserve"> at para. 761. Here, I do not even have bare assertions; I have only the submissions of counsel as to what might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certification order itself precluded those who accepted JICP funds after the order from participating in the class action. Therefore allowing such persons to opt back into the litigation would have involved an application to the court to vary the certification order. Twenty-seven of the plaintiffs were in this category.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evidence does not support a conclusion that any of the plaintiffs, whether they received JICP funds or not, would have applied to opt back into the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fact that when each of the plaintiffs had a clear opportunity to have the court review the decision of the ICF Trustee excluding them from class action settlement suggests to me that they would not likely have brought an application to court at an earlier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However, even if the plaintiffs could overcome the hurdle of demonstrating on a balance of probabilities that but for the asserted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they would have applied to opt back into the class action prior the settlement, in the circumstances of this case, they are required to prove that there was a real and significant chance, rising above mere speculation, that the court would have allowed their application, and that they would therefore have shared in a settlement: </w:t>
      </w:r>
      <w:r>
        <w:rPr>
          <w:rFonts w:ascii="arial" w:eastAsia="arial" w:hAnsi="arial" w:cs="arial"/>
          <w:i/>
          <w:color w:val="000000"/>
          <w:sz w:val="20"/>
          <w:lang w:val="en-US" w:eastAsia="en-US" w:bidi="ar-SA"/>
        </w:rPr>
        <w:t>Folland v. Reardon</w:t>
      </w:r>
      <w:r>
        <w:rPr>
          <w:rFonts w:ascii="arial" w:eastAsia="arial" w:hAnsi="arial" w:cs="arial"/>
          <w:color w:val="000000"/>
          <w:sz w:val="20"/>
          <w:lang w:val="en-US" w:eastAsia="en-US" w:bidi="ar-SA"/>
        </w:rPr>
        <w:t xml:space="preserve">, </w:t>
      </w:r>
      <w:hyperlink r:id="rId917" w:history="1">
        <w:r>
          <w:rPr>
            <w:rFonts w:ascii="arial" w:eastAsia="arial" w:hAnsi="arial" w:cs="arial"/>
            <w:i/>
            <w:color w:val="0077CC"/>
            <w:sz w:val="20"/>
            <w:u w:val="single"/>
            <w:shd w:val="clear" w:color="auto" w:fill="FFFFFF"/>
            <w:lang w:val="en-US" w:eastAsia="en-US" w:bidi="ar-SA"/>
          </w:rPr>
          <w:t>[2005] O.J. No. 216</w:t>
        </w:r>
      </w:hyperlink>
      <w:r>
        <w:rPr>
          <w:rFonts w:ascii="arial" w:eastAsia="arial" w:hAnsi="arial" w:cs="arial"/>
          <w:color w:val="000000"/>
          <w:sz w:val="20"/>
          <w:lang w:val="en-US" w:eastAsia="en-US" w:bidi="ar-SA"/>
        </w:rPr>
        <w:t xml:space="preserve"> (C.A.) at paras. 73-75.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 do not accept that there was a real or significant chance, rising above mere speculation, that the plaintiffs would have been successful in opting back into the class action prior to settlement had they applied to court to do so. Such a result would have required a fundamental change to the certification order, which contained comprehensive terms dealing with the inter-relationship of the ongoing JICP and the class action. In each case, as a minimum, very compelling grounds would have been required. On the evidence before me, no such compelling grounds existed. The plaintiffs would have had to explain why they should be permitted to do so in view of JICP settlements, or at least, their decision to opt out. In </w:t>
      </w:r>
      <w:r>
        <w:rPr>
          <w:rFonts w:ascii="arial" w:eastAsia="arial" w:hAnsi="arial" w:cs="arial"/>
          <w:i/>
          <w:color w:val="000000"/>
          <w:sz w:val="20"/>
          <w:lang w:val="en-US" w:eastAsia="en-US" w:bidi="ar-SA"/>
        </w:rPr>
        <w:t>Rumley</w:t>
      </w:r>
      <w:r>
        <w:rPr>
          <w:rFonts w:ascii="arial" w:eastAsia="arial" w:hAnsi="arial" w:cs="arial"/>
          <w:color w:val="000000"/>
          <w:sz w:val="20"/>
          <w:lang w:val="en-US" w:eastAsia="en-US" w:bidi="ar-SA"/>
        </w:rPr>
        <w:t xml:space="preserve"> (BCSC) Humphries J. observed that the original Notice to Class Members explained opting out and registration in simple terms, and also explained that if a class member accepted compensation from JICP, he or she would be required to opt out of the class action. The opt-out forms were brief and clearly worded: </w:t>
      </w:r>
      <w:r>
        <w:rPr>
          <w:rFonts w:ascii="arial" w:eastAsia="arial" w:hAnsi="arial" w:cs="arial"/>
          <w:i/>
          <w:color w:val="000000"/>
          <w:sz w:val="20"/>
          <w:lang w:val="en-US" w:eastAsia="en-US" w:bidi="ar-SA"/>
        </w:rPr>
        <w:t>Rumley</w:t>
      </w:r>
      <w:r>
        <w:rPr>
          <w:rFonts w:ascii="arial" w:eastAsia="arial" w:hAnsi="arial" w:cs="arial"/>
          <w:color w:val="000000"/>
          <w:sz w:val="20"/>
          <w:lang w:val="en-US" w:eastAsia="en-US" w:bidi="ar-SA"/>
        </w:rPr>
        <w:t xml:space="preserve"> (BCSC) at para. 26. These comments and the decision itself suggest that the court would have been rightly skeptical of a contention that the plaintiffs were unclear about the consequences of their actions on the hypothetical, earlier application. The result in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xml:space="preserve"> further supports the difficulties of such arguments.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It must be remembered that by opting out, the plaintiffs retained their individual rights of action, which were potentially broader in scope than the claims that could be advance in the class action. A further ground of Humphries J.'s decision in </w:t>
      </w:r>
      <w:r>
        <w:rPr>
          <w:rFonts w:ascii="arial" w:eastAsia="arial" w:hAnsi="arial" w:cs="arial"/>
          <w:i/>
          <w:color w:val="000000"/>
          <w:sz w:val="20"/>
          <w:lang w:val="en-US" w:eastAsia="en-US" w:bidi="ar-SA"/>
        </w:rPr>
        <w:t>Rumley</w:t>
      </w:r>
      <w:r>
        <w:rPr>
          <w:rFonts w:ascii="arial" w:eastAsia="arial" w:hAnsi="arial" w:cs="arial"/>
          <w:color w:val="000000"/>
          <w:sz w:val="20"/>
          <w:lang w:val="en-US" w:eastAsia="en-US" w:bidi="ar-SA"/>
        </w:rPr>
        <w:t xml:space="preserve"> (BCSC) was that the applicants before her were not prejudiced as each could initiate an individual action, and had done so: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It is reasonable to suppose that both the Province and the non-opted-out class members would have vigorously opposed any such application. By the time the settlement was approved, settlement discussions had been ongoing for a very long time. The registration cut-off date was applied for because, as Humphries J. observed, the settlement discussions were "reaching a conclusion." The existing parties would not likely have wanted to disrupt the progress made towards settlement. The Province would not likely wish to increase the amount that it was prepared to fund, and the non-opted out class members would not wish to dilute their potential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plaintiffs argue that if they had been permitted by the court to opt back into the class action, they would have shared in the settlement, and that they would have received payments equivalent to that received by the class members. However, that does not necessarily follow. There might have been no settlement at all. If there was no settlement, then the claims would have gone to trial, and could have failed with respect to claimants who had signed releases of the Province due to the JICP program, as in the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xml:space="preserve"> case. The claims of several of the plaintiffs would have failed because their claims pre-dated the enactment on August 1, 1974 of the </w:t>
      </w:r>
      <w:r>
        <w:rPr>
          <w:rFonts w:ascii="arial" w:eastAsia="arial" w:hAnsi="arial" w:cs="arial"/>
          <w:i/>
          <w:color w:val="000000"/>
          <w:sz w:val="20"/>
          <w:lang w:val="en-US" w:eastAsia="en-US" w:bidi="ar-SA"/>
        </w:rPr>
        <w:t>Crown Proceedings Act</w:t>
      </w:r>
      <w:r>
        <w:rPr>
          <w:rFonts w:ascii="arial" w:eastAsia="arial" w:hAnsi="arial" w:cs="arial"/>
          <w:color w:val="000000"/>
          <w:sz w:val="20"/>
          <w:lang w:val="en-US" w:eastAsia="en-US" w:bidi="ar-SA"/>
        </w:rPr>
        <w:t xml:space="preserve">, S.B.C. 1974, c. 24: </w:t>
      </w:r>
      <w:r>
        <w:rPr>
          <w:rFonts w:ascii="arial" w:eastAsia="arial" w:hAnsi="arial" w:cs="arial"/>
          <w:i/>
          <w:color w:val="000000"/>
          <w:sz w:val="20"/>
          <w:lang w:val="en-US" w:eastAsia="en-US" w:bidi="ar-SA"/>
        </w:rPr>
        <w:t>Arishenkoff v. British Columbia</w:t>
      </w:r>
      <w:r>
        <w:rPr>
          <w:rFonts w:ascii="arial" w:eastAsia="arial" w:hAnsi="arial" w:cs="arial"/>
          <w:color w:val="000000"/>
          <w:sz w:val="20"/>
          <w:lang w:val="en-US" w:eastAsia="en-US" w:bidi="ar-SA"/>
        </w:rPr>
        <w:t xml:space="preserve">, </w:t>
      </w:r>
      <w:hyperlink r:id="rId918" w:history="1">
        <w:r>
          <w:rPr>
            <w:rFonts w:ascii="arial" w:eastAsia="arial" w:hAnsi="arial" w:cs="arial"/>
            <w:i/>
            <w:color w:val="0077CC"/>
            <w:sz w:val="20"/>
            <w:u w:val="single"/>
            <w:shd w:val="clear" w:color="auto" w:fill="FFFFFF"/>
            <w:lang w:val="en-US" w:eastAsia="en-US" w:bidi="ar-SA"/>
          </w:rPr>
          <w:t>2005 BCCA 481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summary, the contention that perhaps the plaintiffs could have re-joined the class action and would have benefitted thereby is highly speculative.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real underlying source of the grievance of most of the plaintiffs is that, as events have transpired, due to the releases, they have no legal remedy against the Province, whereas those former students who settled with the Province and obtained JICP monies prior to the certification of the class action were able to receive a share of the class action settlement even though they had signed releases. Those who, like most of the plaintiffs, took JICP money after the certification order, and were thus required to opt out of the class action (or, in the case of two plaintiffs, who opted out for unexplained reasons) could not share in the settlement funds, and due to the result in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xml:space="preserve"> (and in some cases, </w:t>
      </w:r>
      <w:r>
        <w:rPr>
          <w:rFonts w:ascii="arial" w:eastAsia="arial" w:hAnsi="arial" w:cs="arial"/>
          <w:i/>
          <w:color w:val="000000"/>
          <w:sz w:val="20"/>
          <w:lang w:val="en-US" w:eastAsia="en-US" w:bidi="ar-SA"/>
        </w:rPr>
        <w:t>Arishenkoff</w:t>
      </w:r>
      <w:r>
        <w:rPr>
          <w:rFonts w:ascii="arial" w:eastAsia="arial" w:hAnsi="arial" w:cs="arial"/>
          <w:color w:val="000000"/>
          <w:sz w:val="20"/>
          <w:lang w:val="en-US" w:eastAsia="en-US" w:bidi="ar-SA"/>
        </w:rPr>
        <w:t>) as they see it they have no remaining recourse against the Province. With the benefit of hindsight they would have been better off had they not opted out of the class action. The class action settled on favourable terms, in that the JICP releases some claimants had signed were not a bar to sharing in the settlement. However, apparently the Province has refused to settle the individual claims on the same basis. The fact that the plaintiffs were both opting out of the class action (thus, losing the benefit of numerical leverage) and at the same time signing releases should have made it more than plain to them and their legal advisors that their individual claims could have questionable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my view the plaintiffs' losses of opportunity to participate in the settlement of the class action flowed directly from the terms of the certification order, and the plaintiffs' decisions to opt out of the class action. Neither circumstance can be attributed to any fault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conclusion I find that the plaintiffs have failed to establish causation of loss or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result is the same whether the claims of the plaintiffs are framed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in breach of fiduciary duty, since to recover damages for a breach of fiduciary duty, the plaintiff must similarly establish a causal connection between a breach of fiduciary duty complained of and a subsequent loss: </w:t>
      </w:r>
      <w:r>
        <w:rPr>
          <w:rFonts w:ascii="arial" w:eastAsia="arial" w:hAnsi="arial" w:cs="arial"/>
          <w:i/>
          <w:color w:val="000000"/>
          <w:sz w:val="20"/>
          <w:lang w:val="en-US" w:eastAsia="en-US" w:bidi="ar-SA"/>
        </w:rPr>
        <w:t>Canson Enterprises Ltd. v. Boughton and Co.</w:t>
      </w:r>
      <w:r>
        <w:rPr>
          <w:rFonts w:ascii="arial" w:eastAsia="arial" w:hAnsi="arial" w:cs="arial"/>
          <w:color w:val="000000"/>
          <w:sz w:val="20"/>
          <w:lang w:val="en-US" w:eastAsia="en-US" w:bidi="ar-SA"/>
        </w:rPr>
        <w:t xml:space="preserve">, </w:t>
      </w:r>
      <w:hyperlink r:id="rId399" w:history="1">
        <w:r>
          <w:rPr>
            <w:rFonts w:ascii="arial" w:eastAsia="arial" w:hAnsi="arial" w:cs="arial"/>
            <w:i/>
            <w:color w:val="0077CC"/>
            <w:sz w:val="20"/>
            <w:u w:val="single"/>
            <w:shd w:val="clear" w:color="auto" w:fill="FFFFFF"/>
            <w:lang w:val="en-US" w:eastAsia="en-US" w:bidi="ar-SA"/>
          </w:rPr>
          <w:t>[1991] 3 S.C.R. 534</w:t>
        </w:r>
      </w:hyperlink>
      <w:r>
        <w:rPr>
          <w:rFonts w:ascii="arial" w:eastAsia="arial" w:hAnsi="arial" w:cs="arial"/>
          <w:color w:val="000000"/>
          <w:sz w:val="20"/>
          <w:lang w:val="en-US" w:eastAsia="en-US" w:bidi="ar-SA"/>
        </w:rPr>
        <w:t xml:space="preserve"> at 556; </w:t>
      </w:r>
      <w:r>
        <w:rPr>
          <w:rFonts w:ascii="arial" w:eastAsia="arial" w:hAnsi="arial" w:cs="arial"/>
          <w:i/>
          <w:color w:val="000000"/>
          <w:sz w:val="20"/>
          <w:lang w:val="en-US" w:eastAsia="en-US" w:bidi="ar-SA"/>
        </w:rPr>
        <w:t>Plaza Fiberglass Manufacturing Ltd. v. Cardinal Insurance Co.</w:t>
      </w:r>
      <w:r>
        <w:rPr>
          <w:rFonts w:ascii="arial" w:eastAsia="arial" w:hAnsi="arial" w:cs="arial"/>
          <w:color w:val="000000"/>
          <w:sz w:val="20"/>
          <w:lang w:val="en-US" w:eastAsia="en-US" w:bidi="ar-SA"/>
        </w:rPr>
        <w:t xml:space="preserve"> </w:t>
      </w:r>
      <w:hyperlink r:id="rId919" w:history="1">
        <w:r>
          <w:rPr>
            <w:rFonts w:ascii="arial" w:eastAsia="arial" w:hAnsi="arial" w:cs="arial"/>
            <w:i/>
            <w:color w:val="0077CC"/>
            <w:sz w:val="20"/>
            <w:u w:val="single"/>
            <w:shd w:val="clear" w:color="auto" w:fill="FFFFFF"/>
            <w:lang w:val="en-US" w:eastAsia="en-US" w:bidi="ar-SA"/>
          </w:rPr>
          <w:t>(1994), 72 O.A.C. 66</w:t>
        </w:r>
      </w:hyperlink>
      <w:r>
        <w:rPr>
          <w:rFonts w:ascii="arial" w:eastAsia="arial" w:hAnsi="arial" w:cs="arial"/>
          <w:color w:val="000000"/>
          <w:sz w:val="20"/>
          <w:lang w:val="en-US" w:eastAsia="en-US" w:bidi="ar-SA"/>
        </w:rPr>
        <w:t xml:space="preserve"> at para. 28; </w:t>
      </w:r>
      <w:r>
        <w:rPr>
          <w:rFonts w:ascii="arial" w:eastAsia="arial" w:hAnsi="arial" w:cs="arial"/>
          <w:i/>
          <w:color w:val="000000"/>
          <w:sz w:val="20"/>
          <w:lang w:val="en-US" w:eastAsia="en-US" w:bidi="ar-SA"/>
        </w:rPr>
        <w:t>Thomson v. Williams</w:t>
      </w:r>
      <w:r>
        <w:rPr>
          <w:rFonts w:ascii="arial" w:eastAsia="arial" w:hAnsi="arial" w:cs="arial"/>
          <w:color w:val="000000"/>
          <w:sz w:val="20"/>
          <w:lang w:val="en-US" w:eastAsia="en-US" w:bidi="ar-SA"/>
        </w:rPr>
        <w:t xml:space="preserve">, </w:t>
      </w:r>
      <w:hyperlink r:id="rId920" w:history="1">
        <w:r>
          <w:rPr>
            <w:rFonts w:ascii="arial" w:eastAsia="arial" w:hAnsi="arial" w:cs="arial"/>
            <w:i/>
            <w:color w:val="0077CC"/>
            <w:sz w:val="20"/>
            <w:u w:val="single"/>
            <w:shd w:val="clear" w:color="auto" w:fill="FFFFFF"/>
            <w:lang w:val="en-US" w:eastAsia="en-US" w:bidi="ar-SA"/>
          </w:rPr>
          <w:t>2002 BCSC 875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Although as I said it is not strictly necessary to deal with the issue of whether the plaintiffs have established a duty owed to them, it is nonetheless highly unlikely that I could find a relevant duty owed by the defendants to any of the plaintiffs on the evidence before me. The plaintiffs assert that the defendants acted for them as solicitors in relation to the class action they had each opted out of. While perhaps not impossible this conclusion is inherently inconsistent and unlikely.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While the plaintiffs only argued that the defendants owed them a duty as clients, the conclusion that the defendants owed a duty to the plaintiffs as non-clients is also unlikely. In rare cases, not applicable here, a lawyer may owe a duty of care to a non-client when both the lawyer and non-client clearly know the non-client is reasonably relying on the special legal skill and knowledge of the lawyer, and the non-client is likely to suffer serious loss if the lawyer acts negligently: </w:t>
      </w:r>
      <w:r>
        <w:rPr>
          <w:rFonts w:ascii="arial" w:eastAsia="arial" w:hAnsi="arial" w:cs="arial"/>
          <w:i/>
          <w:color w:val="000000"/>
          <w:sz w:val="20"/>
          <w:lang w:val="en-US" w:eastAsia="en-US" w:bidi="ar-SA"/>
        </w:rPr>
        <w:t>Gateway Building Management Limited v. Manjit Singh Randhawa</w:t>
      </w:r>
      <w:r>
        <w:rPr>
          <w:rFonts w:ascii="arial" w:eastAsia="arial" w:hAnsi="arial" w:cs="arial"/>
          <w:color w:val="000000"/>
          <w:sz w:val="20"/>
          <w:lang w:val="en-US" w:eastAsia="en-US" w:bidi="ar-SA"/>
        </w:rPr>
        <w:t xml:space="preserve">, </w:t>
      </w:r>
      <w:hyperlink r:id="rId921" w:history="1">
        <w:r>
          <w:rPr>
            <w:rFonts w:ascii="arial" w:eastAsia="arial" w:hAnsi="arial" w:cs="arial"/>
            <w:i/>
            <w:color w:val="0077CC"/>
            <w:sz w:val="20"/>
            <w:u w:val="single"/>
            <w:shd w:val="clear" w:color="auto" w:fill="FFFFFF"/>
            <w:lang w:val="en-US" w:eastAsia="en-US" w:bidi="ar-SA"/>
          </w:rPr>
          <w:t>2013 BCSC 350</w:t>
        </w:r>
      </w:hyperlink>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As noted, the plaintiffs rely largely on the correspondence issued by the defendants after they received a notice of registration from Mr. Zuk, in which Ms. Sheane or her legal assistant sought authorizations from the plaintiffs for release of third party information, and then utilized the authorizations in requesting the information. The correspondence varies somewhat from case to case. However in a number of cases the correspondence may be taken to indicate that a solicitor-client relationship exists. In view of the fact that the plaintiffs had opted out, in reality no such relationship existed, and the correspondence was erroneous. (However in several cases where it is apparent that Ms. Sheane was made aware that the person had opted out, she clearly stated that the person was not a claimant within the class action.) Ideally the defendants would have cross-checked the registrant's name with Mr. Zuk's lists or with the plaintiffs themselves as to whether they had already opted out of the proceedings, to ensure that there was no chance of confusion on the part of the plaintiffs. However the plaintiffs themselves knew that they had opted out. In the case of JICP recipients they could not opt out without receiving or refusing independent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the circumstances the correspondence would not likely be sufficient to establish a solicitor-client relationship, or reasonable reliance on the part of the plaintiffs on any conduct of the defendants. However, due to my conclusion on the causation issue, it is not necessary for me to review the evidence in the case of each plaintiff in relation to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If the plaintiffs were confused at the time, there is no evidence that any of them specifically asked the defendants whether, having opted out, they could re-join the class action, or that the defendants gave any advice about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further observe that even if the plaintiffs as a group or any of them individually were successful in establishing a duty of care, there is no evidence as to the standard of care that could be expected in the circumstances. In more general terms, there is a lack of evidence regarding breach of the relevant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application of the defendants is allowed. The actions are dismissed. Should an order be required, the parties have liberty to apply in relation to costs, provided arrangements are initiated within 30 days of the release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F.E. VERHOEVEN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234" style="position:absolute;z-index:251898880"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282" w:name="Forward_fnref_fnr-1"/>
      <w:hyperlink w:anchor="Backward_fnref_fnr-1" w:history="1">
        <w:r>
          <w:rPr>
            <w:rFonts w:ascii="arial" w:eastAsia="arial" w:hAnsi="arial" w:cs="arial"/>
            <w:b/>
            <w:color w:val="BE161D"/>
            <w:sz w:val="18"/>
            <w:shd w:val="clear" w:color="auto" w:fill="FFFFFF"/>
            <w:lang w:val="en-US" w:eastAsia="en-US" w:bidi="ar-SA"/>
          </w:rPr>
          <w:t>1</w:t>
        </w:r>
      </w:hyperlink>
      <w:bookmarkEnd w:id="282"/>
      <w:r>
        <w:rPr>
          <w:rFonts w:ascii="arial" w:eastAsia="arial" w:hAnsi="arial" w:cs="arial"/>
          <w:sz w:val="20"/>
          <w:lang w:val="en-US" w:eastAsia="en-US" w:bidi="ar-SA"/>
        </w:rPr>
        <w:tab/>
      </w:r>
      <w:r>
        <w:rPr>
          <w:rFonts w:ascii="arial" w:eastAsia="arial" w:hAnsi="arial" w:cs="arial"/>
          <w:color w:val="6D6E71"/>
          <w:sz w:val="18"/>
          <w:lang w:val="en-US" w:eastAsia="en-US" w:bidi="ar-SA"/>
        </w:rPr>
        <w:t>The evidence before me is that claimants registered for the class action with an independent registrar, rather than legal counsel the plaintiffs in the class action.</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5"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2"/>
          <w:headerReference w:type="default" r:id="rId923"/>
          <w:footerReference w:type="even" r:id="rId924"/>
          <w:footerReference w:type="default" r:id="rId925"/>
          <w:headerReference w:type="first" r:id="rId926"/>
          <w:footerReference w:type="first" r:id="rId92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928" w:history="1">
        <w:r>
          <w:rPr>
            <w:rFonts w:ascii="arial" w:eastAsia="arial" w:hAnsi="arial" w:cs="arial"/>
            <w:b/>
            <w:bCs/>
            <w:i/>
            <w:color w:val="0077CC"/>
            <w:kern w:val="32"/>
            <w:sz w:val="28"/>
            <w:szCs w:val="32"/>
            <w:u w:val="single"/>
            <w:shd w:val="clear" w:color="auto" w:fill="FFFFFF"/>
            <w:lang w:val="en-US" w:eastAsia="en-US" w:bidi="ar-SA"/>
          </w:rPr>
          <w:t>Alentejano v. Palm Springs &amp; European Health Spa Ltd. (c.o.b. Fitness World), [2000] B.C.J. No. 2824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Tysoe J. (In Chambers)</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November 30, 2000.</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C985990</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[2000] B.C.J. No. 2824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2000 BCSC 1877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110 A.C.W.S. (3d) 948</w:t>
      </w:r>
    </w:p>
    <w:p>
      <w:pPr>
        <w:spacing w:before="120" w:line="260" w:lineRule="atLeast"/>
        <w:rPr>
          <w:lang w:val="en-US" w:eastAsia="en-US" w:bidi="ar-SA"/>
        </w:rPr>
      </w:pPr>
      <w:r>
        <w:rPr>
          <w:rFonts w:ascii="arial" w:eastAsia="arial" w:hAnsi="arial" w:cs="arial"/>
          <w:color w:val="000000"/>
          <w:sz w:val="20"/>
          <w:lang w:val="en-US" w:eastAsia="en-US" w:bidi="ar-SA"/>
        </w:rPr>
        <w:t>Between Lisa Alentejano, plaintiff, and Palm Springs &amp; European Health Spa Ltd., doing business as Fitness World,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(17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36" style="position:absolute;z-index:25170227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83" w:name="Keywords_42"/>
      <w:bookmarkEnd w:id="283"/>
      <w:r>
        <w:rPr>
          <w:rFonts w:ascii="arial" w:eastAsia="arial" w:hAnsi="arial" w:cs="arial"/>
          <w:b/>
          <w:color w:val="000000"/>
          <w:sz w:val="20"/>
          <w:lang w:val="en-US" w:eastAsia="en-US" w:bidi="ar-SA"/>
        </w:rPr>
        <w:t xml:space="preserve">Practice — Judgments and orders — Summary judgments — To dismiss action — 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 Knowledge of hazardous condition — Standard of care, particular persons and relationships — Fitness clubs.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84" w:name="Case Summary_38"/>
            <w:bookmarkEnd w:id="284"/>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the defendant, Fitness World, for summary judgment to dismiss the action. Alentejano was a member of Fitness World. She signed a document entitled "Credit Statement" which also contained a membership application and agreement. On the back of the first page, there was a waiver provision. Alentejano was injured when she was getting into position to use a leg press. She had been using equipment similar to the leg press for about 10 years. She alleged that she would expect to be bruised by sitting on the ball of adjustment knob but would not expect to be cut. She argued that Fitness World had a duty of care to warn her of hazardous exercise equipment and that it breached that duty of care. Fitness World argued that Alentejano did not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alternatively, that Alentejano waived any claims she might have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Alentejano alleged that Fitness World's application was premature. </w:t>
            </w:r>
            <w:r>
              <w:rPr>
                <w:lang w:val="en-US" w:eastAsia="en-US" w:bidi="ar-SA"/>
              </w:rPr>
              <w:cr/>
            </w:r>
          </w:p>
          <w:p>
            <w:pPr>
              <w:spacing w:before="120" w:line="260" w:lineRule="atLeast"/>
              <w:ind w:left="240"/>
              <w:jc w:val="both"/>
              <w:rPr>
                <w:lang w:val="en-US" w:eastAsia="en-US" w:bidi="ar-SA"/>
              </w:rPr>
            </w:pPr>
            <w:bookmarkStart w:id="285" w:name="Holdings of Court_33"/>
            <w:bookmarkEnd w:id="285"/>
            <w:r>
              <w:rPr>
                <w:rFonts w:ascii="arial" w:eastAsia="arial" w:hAnsi="arial" w:cs="arial"/>
                <w:color w:val="000000"/>
                <w:sz w:val="20"/>
                <w:lang w:val="en-US" w:eastAsia="en-US" w:bidi="ar-SA"/>
              </w:rPr>
              <w:t>HELD: Application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action was dismissed. The application was not premature. Examinations for discovery had been held and undertakings had been fulfilled. It would not be unjust to decide the issues on this application. There was no evidence that the leg press represented an unusual hazard or that Fitness World had any reason to believe that it was hazardous. The risk of sitting on the adjustment knob was ordinary. There was no breach of any duty to warn. There was no evidence establishing that Fitness World failed to properly maintain the leg press. Alentejano failed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lang w:val="en-US" w:eastAsia="en-US" w:bidi="ar-SA"/>
              </w:rPr>
              <w:cr/>
            </w:r>
          </w:p>
          <w:p>
            <w:pPr>
              <w:rPr>
                <w:lang w:val="en-US" w:eastAsia="en-US" w:bidi="ar-SA"/>
              </w:rPr>
            </w:pPr>
          </w:p>
        </w:tc>
      </w:tr>
    </w:tbl>
    <w:p>
      <w:pPr>
        <w:jc w:val="both"/>
        <w:rPr>
          <w:lang w:val="en-US" w:eastAsia="en-US" w:bidi="ar-SA"/>
        </w:rPr>
      </w:pPr>
      <w:bookmarkStart w:id="286" w:name="Legislation Cited_35"/>
      <w:bookmarkEnd w:id="286"/>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237" style="position:absolute;z-index:25175347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 18A.</w:t>
      </w:r>
      <w:r>
        <w:rPr>
          <w:lang w:val="en-US" w:eastAsia="en-US" w:bidi="ar-SA"/>
        </w:rPr>
        <w:cr/>
      </w:r>
    </w:p>
    <w:p>
      <w:pPr>
        <w:keepNext/>
        <w:spacing w:before="240" w:line="340" w:lineRule="atLeast"/>
        <w:rPr>
          <w:lang w:val="en-US" w:eastAsia="en-US" w:bidi="ar-SA"/>
        </w:rPr>
      </w:pPr>
      <w:bookmarkStart w:id="287" w:name="Counsel_42"/>
      <w:bookmarkEnd w:id="287"/>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38" style="position:absolute;z-index:25180467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S. Ali, for the plaintiff. G.R. MacLennan, for the defendant.</w:t>
      </w:r>
      <w:r>
        <w:rPr>
          <w:lang w:val="en-US" w:eastAsia="en-US" w:bidi="ar-SA"/>
        </w:rPr>
        <w:cr/>
      </w:r>
    </w:p>
    <w:p>
      <w:pPr>
        <w:spacing w:after="240"/>
        <w:rPr>
          <w:lang w:val="en-US" w:eastAsia="en-US" w:bidi="ar-SA"/>
        </w:rPr>
      </w:pPr>
      <w:bookmarkStart w:id="288" w:name="Judgment_42"/>
      <w:bookmarkEnd w:id="288"/>
      <w:r>
        <w:pict>
          <v:line id="_x0000_s1239" style="position:absolute;z-index:251855872"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89" w:name="TYSOE J. (orally)"/>
            <w:bookmarkEnd w:id="289"/>
            <w:r>
              <w:rPr>
                <w:rFonts w:ascii="arial" w:eastAsia="arial" w:hAnsi="arial" w:cs="arial"/>
                <w:b/>
                <w:color w:val="000000"/>
                <w:sz w:val="30"/>
                <w:lang w:val="en-US" w:eastAsia="en-US" w:bidi="ar-SA"/>
              </w:rPr>
              <w:t>TYSOE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applies by way of a summary trial under Rule 18A for the dismissal of this action. As there is no dispute of substance with respect to the principal facts, I find that this matter is appropriate for disposition pursuant to Rule 18A. However, the Plaintiff takes the position that it is premature to make a decision on the merits of this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claims against the Defendant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Defendant operates a business known as Fitness World and the Plaintiff became a member of Fitness World in 1993. At that time she signed a document entitled "Credit Statement" which also contained a membership application and agreement. The Plaintiff signed this document at the bottom of the front page. On the back of the page was a paragraph that is commonly called a waiver provision, in which the member agreed that Fitness World was only to be liable for an intentional or grossly negligent acts and it was not to be liable in respect of any other claim, including claims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membership had an initial term of 15 months and continued from month to month thereafter as long as the monthly dues were paid. Both parties provided affidavit evidence regarding the signing of the contract.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was injured on February 13, 1997 when she was getting in position to use an exercise facility known as a leg press. This equipment is an exercise machine in which the exerciser positions themself in a seat and pushes on pedals with their feet. The distance between the seat and the pedal may be adjusted by means of a round adjustment knob which is located in an indent at the front middle of the bottom of the seat.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has been using equipment similar to the leg press for approximately ten years. She deposed that she would expect to be bruised by sitting on the ball of the adjustment knob but would not expect to be cut. The Plaintiff also deposed that on the day in question, as she went to sit down on the seat of the leg press, she slightly missed the seat and sat partially on the adjustment ball and partially on the seat. This caused the laceration of her vagina, in respect of which she initially received stitches and subsequently underwent surgery.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leg press was installed at the subject branch of Fitness World in 1987. Apart from the Plaintiff's claim, Fitness World has never received a complaint that the leg press caused injury to anyone.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the Statement of Claim, it is alleged the Defendant owed the Plaintiff a duty of care to warn her of hazardous exercise equipment and that the Defendant breached that duty of care. Alternatively, it is alleged the Defendant breached the duty to warn by failing to adequately supervise and/or instruct the Plaintiff on a proper use of the leg press. In the further alternative, it is alleged that the Defendant owed a duty of care to maintain the leg press in a safe condition and that it breached that duty of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Defendant says that the Plaintiff has not proved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balance of probabilities. Alternatively, it says that the Plaintiff has waived any claims she might have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answers that the application is premature and that she is not required to adduce evidence prior to trial on the merits of the case. Alternatively, the Plaintiff relies on the doctrine of res ipsa loquitur and says that the Defendant is not entitled to rely on the waiver provision.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Counsel for the Plaintiff relies on the decision in McNaughton v. Baker </w:t>
      </w:r>
      <w:hyperlink r:id="rId929" w:history="1">
        <w:r>
          <w:rPr>
            <w:rFonts w:ascii="arial" w:eastAsia="arial" w:hAnsi="arial" w:cs="arial"/>
            <w:i/>
            <w:color w:val="0077CC"/>
            <w:sz w:val="20"/>
            <w:u w:val="single"/>
            <w:shd w:val="clear" w:color="auto" w:fill="FFFFFF"/>
            <w:lang w:val="en-US" w:eastAsia="en-US" w:bidi="ar-SA"/>
          </w:rPr>
          <w:t>(1988), 25 B.C.L.R. (2d) 17</w:t>
        </w:r>
      </w:hyperlink>
      <w:r>
        <w:rPr>
          <w:rFonts w:ascii="arial" w:eastAsia="arial" w:hAnsi="arial" w:cs="arial"/>
          <w:color w:val="000000"/>
          <w:sz w:val="20"/>
          <w:lang w:val="en-US" w:eastAsia="en-US" w:bidi="ar-SA"/>
        </w:rPr>
        <w:t xml:space="preserve"> (B.C.C.A.) for the proposition that the application is premature because a plaintiff is not required to adduce evidence until trial. However, this is a trial by way of a Rule 18A summary trial. The comments of McLachlin J. in McNaughton clearly indicate that her use of the term "trial" included a Rule 18A summary trial. I do not agree with the submission of counsel for the Plaintiff that this is not a trial of the action and that it is only a trial of an issue. The Notice of Motion requests dismissal of the action in general terms and is not restricted to a trial on an issue only.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It is my view that the application is not premature. Examinations for discovery have been held and I am satisfied that there has been compliance with the undertakings given at the discovery and the request for further document disclosure. In my opinion, it would not be unjust to decide the issues on this application.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On the merits of the claim, the Plaintiff relies on the doctrine of res ipsa loquitur. However, the Supreme Court of Canada has held that this doctrine is no longer part of our law. In Fontaine v. British Columbia (Official Administrator) </w:t>
      </w:r>
      <w:hyperlink r:id="rId930" w:history="1">
        <w:r>
          <w:rPr>
            <w:rFonts w:ascii="arial" w:eastAsia="arial" w:hAnsi="arial" w:cs="arial"/>
            <w:i/>
            <w:color w:val="0077CC"/>
            <w:sz w:val="20"/>
            <w:u w:val="single"/>
            <w:shd w:val="clear" w:color="auto" w:fill="FFFFFF"/>
            <w:lang w:val="en-US" w:eastAsia="en-US" w:bidi="ar-SA"/>
          </w:rPr>
          <w:t>(1997), 46 B.C.L.R. (3d) 1</w:t>
        </w:r>
      </w:hyperlink>
      <w:r>
        <w:rPr>
          <w:rFonts w:ascii="arial" w:eastAsia="arial" w:hAnsi="arial" w:cs="arial"/>
          <w:color w:val="000000"/>
          <w:sz w:val="20"/>
          <w:lang w:val="en-US" w:eastAsia="en-US" w:bidi="ar-SA"/>
        </w:rPr>
        <w:t>, the Court said the following at page 13:</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It would appear that the law would be better served if the maximum was treated as expired and no longer used as a separate component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After all, it was nothing more than an attempt to deal with circumstantial evidence. That evidence is more sensibly dealt with by the trier of fact, who should weigh the circumstantial evidence with the direct evidence, if any, to determine whether the Plaintiff established on a balance of probabilities a prima facie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Once the Plaintiff has done so, the Defendant must present evidence negating that of the Plaintiff or necessarily the Plaintiff will succeed.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I now turn to the issue of whether the Plaintiff has established on a balance of probabilities a prima facie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There is no evidence that the leg press represented an unusual hazard or that the Defendant had any reason to believe that it was hazardous. The Defendant was not the manufacturer of the equipment. The risk of sitting on the adjustment knob was an ordinary risk of every day life and there was no breach of any duty to warn: see Malcolm v. British Columbia Transit </w:t>
      </w:r>
      <w:hyperlink r:id="rId931" w:history="1">
        <w:r>
          <w:rPr>
            <w:rFonts w:ascii="arial" w:eastAsia="arial" w:hAnsi="arial" w:cs="arial"/>
            <w:i/>
            <w:color w:val="0077CC"/>
            <w:sz w:val="20"/>
            <w:u w:val="single"/>
            <w:shd w:val="clear" w:color="auto" w:fill="FFFFFF"/>
            <w:lang w:val="en-US" w:eastAsia="en-US" w:bidi="ar-SA"/>
          </w:rPr>
          <w:t>(1988), 32 B.C.L.R. (2d) 317</w:t>
        </w:r>
      </w:hyperlink>
      <w:r>
        <w:rPr>
          <w:rFonts w:ascii="arial" w:eastAsia="arial" w:hAnsi="arial" w:cs="arial"/>
          <w:color w:val="000000"/>
          <w:sz w:val="20"/>
          <w:lang w:val="en-US" w:eastAsia="en-US" w:bidi="ar-SA"/>
        </w:rPr>
        <w:t xml:space="preserve"> (B.C.C.A.). Indeed, the Plaintiff acknowledges in her affidavit that she appreciated the risk of injury by sitting on the adjustment knob and she only says that she would not expect to be cut.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There is no evidence establishing that the Plaintiff did not know how to properly use the leg press and needed it to be demonstrated to her. By her own admission, she was an experienced user of the equipment and it was obvious to anyone using it that one should not sit on the adjustment knob.</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There is no evidence establishing that the Defendant failed to properly maintain the leg press or that any such failure contributed in any way to the Plaintiff's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law is clear that accidents can occur without anyone being negligent. In this case, the Plaintiff has not proved a prima facie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on a balance of probabilities. If anything, the evidence shows that the Plaintiff was careless in positioning herself into the seat of the leg press.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As I have concluded that the Plaintiff has failed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it is not necessary to decide whether the waiver provision in the membership agreement is enforceable.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grant the Defendant's application and I dismiss this action with costs on a party and party basis, assessed on scale 3, against the Plaintiff.</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(SUBMISSIONS RE COSTS)</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90" w:name="THE COURT"/>
            <w:bookmarkEnd w:id="290"/>
            <w:r>
              <w:rPr>
                <w:rFonts w:ascii="arial" w:eastAsia="arial" w:hAnsi="arial" w:cs="arial"/>
                <w:b/>
                <w:color w:val="000000"/>
                <w:sz w:val="30"/>
                <w:lang w:val="en-US" w:eastAsia="en-US" w:bidi="ar-SA"/>
              </w:rPr>
              <w:t>THE COURT</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would ordinarily be prepared to entertain submissions, subject to Ms. Ali also being in the position to make submissions, but I have a number of matters that are scheduled at ten o'clock and we would be holding up a room full of people. I think the basis upon which I am going to leave it is that I have made the order as to costs. That order is always subject to the effect of an offer to settle. I will leave it between counsel to endeavour to reach agreement on any other provision with respect to costs. If you are unable to reach agreement, then you can either arrange a hearing through Trial Division for a cost hearing, or, if you both agree, you could make submissions in writing directed to me through Trial Division.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TYSOE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0"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2"/>
          <w:headerReference w:type="default" r:id="rId933"/>
          <w:footerReference w:type="even" r:id="rId934"/>
          <w:footerReference w:type="default" r:id="rId935"/>
          <w:headerReference w:type="first" r:id="rId936"/>
          <w:footerReference w:type="first" r:id="rId93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938" w:history="1">
        <w:r>
          <w:rPr>
            <w:rFonts w:ascii="arial" w:eastAsia="arial" w:hAnsi="arial" w:cs="arial"/>
            <w:b/>
            <w:bCs/>
            <w:i/>
            <w:color w:val="0077CC"/>
            <w:kern w:val="32"/>
            <w:sz w:val="28"/>
            <w:szCs w:val="32"/>
            <w:u w:val="single"/>
            <w:shd w:val="clear" w:color="auto" w:fill="FFFFFF"/>
            <w:lang w:val="en-US" w:eastAsia="en-US" w:bidi="ar-SA"/>
          </w:rPr>
          <w:t>Bjerregaard v. Westfair Foods Ltd. (c.o.b. Extra Low Foods), [2003] B.C.J. No. 2648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Wong J.</w:t>
      </w:r>
    </w:p>
    <w:p>
      <w:pPr>
        <w:spacing w:before="120" w:line="260" w:lineRule="atLeast"/>
        <w:jc w:val="center"/>
        <w:rPr>
          <w:lang w:val="en-US" w:eastAsia="en-US" w:bidi="ar-SA"/>
        </w:rPr>
      </w:pPr>
      <w:r>
        <w:rPr>
          <w:rFonts w:ascii="arial" w:eastAsia="arial" w:hAnsi="arial" w:cs="arial"/>
          <w:color w:val="000000"/>
          <w:sz w:val="20"/>
          <w:lang w:val="en-US" w:eastAsia="en-US" w:bidi="ar-SA"/>
        </w:rPr>
        <w:t>Heard: September 11, 2003.</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November 21, 2003.</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S026300</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[2003] B.C.J. No. 2648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2003 BCSC 1755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127 A.C.W.S. (3d) 179</w:t>
      </w:r>
    </w:p>
    <w:p>
      <w:pPr>
        <w:spacing w:before="120" w:line="260" w:lineRule="atLeast"/>
        <w:rPr>
          <w:lang w:val="en-US" w:eastAsia="en-US" w:bidi="ar-SA"/>
        </w:rPr>
      </w:pPr>
      <w:r>
        <w:rPr>
          <w:rFonts w:ascii="arial" w:eastAsia="arial" w:hAnsi="arial" w:cs="arial"/>
          <w:color w:val="000000"/>
          <w:sz w:val="20"/>
          <w:lang w:val="en-US" w:eastAsia="en-US" w:bidi="ar-SA"/>
        </w:rPr>
        <w:t>Between Vita Bjerregaard, plaintiff, and Westfair Foods Ltd. doing business as Extra Low Foods,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(48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41" style="position:absolute;z-index:251703296" from="0,2pt" to="512pt,2pt" strokecolor="#009ddb" strokeweight="2pt">
            <v:stroke linestyle="single"/>
          </v:line>
        </w:pict>
      </w:r>
    </w:p>
    <w:p>
      <w:pPr>
        <w:spacing w:line="240" w:lineRule="exact"/>
        <w:rPr>
          <w:lang w:val="en-US" w:eastAsia="en-US" w:bidi="ar-SA"/>
        </w:rPr>
      </w:pP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91" w:name="Case Summary_39"/>
            <w:bookmarkEnd w:id="291"/>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Bjerregaard against Westfair Foods for damages for a slip and fall injury. On August 20, 2001 at 3:45 pm, the 70-year-old Bjerregaard slipped and fell on a grape in Westfair's produce section. Westfair conducted hourly floor sweeps in its produce section. Staff were also instructed to look out for spills. The time of each sweep was recorded in a log. The last sweep before Bjerregaard s fall occurred at 3:00 pm. Westfair previously used mats to safeguard against slips and falls. It changed that policy because it was concerned that the mats were a tripping hazard. Bjerregaard claimed that Westfair removed the mats because it was more affordable to use staff to sweep the floors than it was to purchase and maintain mats. She provided expert evidence that the mats would have decreased the chance of a slip. In the event of a slip, the mats would have absorbed some of the impact and would have reduced the likelihood of injury. </w:t>
            </w:r>
            <w:r>
              <w:rPr>
                <w:lang w:val="en-US" w:eastAsia="en-US" w:bidi="ar-SA"/>
              </w:rPr>
              <w:cr/>
            </w:r>
          </w:p>
          <w:p>
            <w:pPr>
              <w:spacing w:before="120" w:line="260" w:lineRule="atLeast"/>
              <w:ind w:left="240"/>
              <w:jc w:val="both"/>
              <w:rPr>
                <w:lang w:val="en-US" w:eastAsia="en-US" w:bidi="ar-SA"/>
              </w:rPr>
            </w:pPr>
            <w:bookmarkStart w:id="292" w:name="Holdings of Court_34"/>
            <w:bookmarkEnd w:id="292"/>
            <w:r>
              <w:rPr>
                <w:rFonts w:ascii="arial" w:eastAsia="arial" w:hAnsi="arial" w:cs="arial"/>
                <w:color w:val="000000"/>
                <w:sz w:val="20"/>
                <w:lang w:val="en-US" w:eastAsia="en-US" w:bidi="ar-SA"/>
              </w:rPr>
              <w:t>HELD: Action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hourly sweep system without the use of mats satisfied the standard of care required of a supermarket. There was no evidence that it was not followed on the day of the accident. The motive for the change in policy was irrelevant to the issue of liability since the standard of care was met. </w:t>
            </w:r>
            <w:r>
              <w:rPr>
                <w:lang w:val="en-US" w:eastAsia="en-US" w:bidi="ar-SA"/>
              </w:rPr>
              <w:cr/>
            </w:r>
          </w:p>
          <w:p>
            <w:pPr>
              <w:rPr>
                <w:lang w:val="en-US" w:eastAsia="en-US" w:bidi="ar-SA"/>
              </w:rPr>
            </w:pPr>
          </w:p>
        </w:tc>
      </w:tr>
    </w:tbl>
    <w:p>
      <w:pPr>
        <w:jc w:val="both"/>
        <w:rPr>
          <w:lang w:val="en-US" w:eastAsia="en-US" w:bidi="ar-SA"/>
        </w:rPr>
      </w:pPr>
      <w:bookmarkStart w:id="293" w:name="Counsel_43"/>
      <w:bookmarkEnd w:id="293"/>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42" style="position:absolute;z-index:25175449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F.R.C. Dorchester, for the plaintiff. I.C. Hallam, for the defendant.</w:t>
      </w:r>
      <w:r>
        <w:rPr>
          <w:lang w:val="en-US" w:eastAsia="en-US" w:bidi="ar-SA"/>
        </w:rPr>
        <w:cr/>
      </w:r>
    </w:p>
    <w:p>
      <w:pPr>
        <w:spacing w:after="240"/>
        <w:rPr>
          <w:lang w:val="en-US" w:eastAsia="en-US" w:bidi="ar-SA"/>
        </w:rPr>
      </w:pPr>
      <w:bookmarkStart w:id="294" w:name="Judgment_43"/>
      <w:bookmarkEnd w:id="294"/>
      <w:r>
        <w:pict>
          <v:line id="_x0000_s1243" style="position:absolute;z-index:251805696"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5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95" w:name="WONG J."/>
            <w:bookmarkEnd w:id="295"/>
            <w:r>
              <w:rPr>
                <w:rFonts w:ascii="arial" w:eastAsia="arial" w:hAnsi="arial" w:cs="arial"/>
                <w:b/>
                <w:color w:val="000000"/>
                <w:sz w:val="30"/>
                <w:lang w:val="en-US" w:eastAsia="en-US" w:bidi="ar-SA"/>
              </w:rPr>
              <w:t>WONG J.</w:t>
            </w:r>
          </w:p>
        </w:tc>
      </w:tr>
    </w:tbl>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Rule 18A summary trial application by the defendant Westfair Foods Ltd., doing business as Extra Low Foods, to dismiss a slip and fall injury claim by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issues raised are: (1) the standard of care owed to shoppers in a supermarket operation when there is an established system of inspection and monitoring, and (2) whether the defendant's change in policy by discontinuing the use of floor mats gives rise to a situation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omission.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have concluded that the defendant's established system of sweeping the floor once per hour meets the standard of care required by law and despite the change in policy of not using floor mats, that continues to meet the standard of care identified in the case law.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following are my reasons.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BACKGROUND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August 20, 2001, 3:45 p.m., at Extra Low Foods in Surrey, B.C., the plaintiff, Vita Bjerregaard, a 70-year-old woman, slipped and fell resulting in an injury to her right wrist. The cause of the slip appears to have been a single grape. The plaintiff's fall occurred seven metres from the grape display and appears to have been near the potato and apple display in the produce section of the store.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Extra Low Foods, had a system of hourly floor sweeps in the produce section. In addition, staff at the store was instructed to look out for spills. The time of each sweep was recorded in the log and the worker performing the sweep verified the entries in the log with his or her initials. Managers reviewed the logs regularly.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log for the day on which the incident occurred shows that sweeps were performed hourly and the last sweep before the plaintiff's fall was at 3:00 p.m.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Previously, the defendant used mats to safeguard against slips and falls. It changed its policy, it claims, based on a concern that the mats caused a tripping hazard. Plaintiff's counsel suggested that the defendant's change in policy may have been motivated by economics: it is more affordable to use the staff already in place to periodically sweep the floors than it is to purchase and maintain mats.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adduced an expert opinion that stated mats placed in the produce section of the store would have decreased the chance of a slip and, even if the plaintiff slipped and fell, the mat would have absorbed some of the impact reducing the likelihood of injury. In addition, the expert report opined that the tripping hazard related to mats was much less than the slipping hazard without mats.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adduced photographs of other stores in which mats were used. The defendant commented that each of those stores used automatic produce sprayers and the mats were only used adjacent to the display counters to which the automatic produce sprayers were affixed. The defendant claims that it uses manual sprayers and the staff members who spray immediately mop any spills that result from their spraying.</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ANALYSIS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Requisite Standard of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requisite standard of care must be determined based on the circumstance of the case. Mr. Justice Linden wrote (A.M. Linden, Canadian Tort Law, 7th ed. (Toronto: Butterworths, 2001) at p. 121):</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Rarely can all of the variable facts surrounding an accident be duplicated.... The tribunal must make a fresh decision on each case.... What must be judged is whether the conduct of this particular defendant in this singular situation was acceptable or unacceptable to the community.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It is apparent from the evidence that different stores employ different safety procedures with regard to slipping hazards. However, that which other stores do is only of passing interest to the issue of whether the appropriate standard of care was met in the present case. The decision for the court is whether the system of hourly sweeps was sufficient at this store to reasonably safeguard against injury to staff and customers. The defence pointed to several cases on this point.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defendant cited Atkins v. Jim Pattison Industries Ltd. </w:t>
      </w:r>
      <w:hyperlink r:id="rId939" w:history="1">
        <w:r>
          <w:rPr>
            <w:rFonts w:ascii="arial" w:eastAsia="arial" w:hAnsi="arial" w:cs="arial"/>
            <w:i/>
            <w:color w:val="0077CC"/>
            <w:sz w:val="20"/>
            <w:u w:val="single"/>
            <w:shd w:val="clear" w:color="auto" w:fill="FFFFFF"/>
            <w:lang w:val="en-US" w:eastAsia="en-US" w:bidi="ar-SA"/>
          </w:rPr>
          <w:t>(1998), 61 B.C.L.R. (3d) 183</w:t>
        </w:r>
      </w:hyperlink>
      <w:r>
        <w:rPr>
          <w:rFonts w:ascii="arial" w:eastAsia="arial" w:hAnsi="arial" w:cs="arial"/>
          <w:color w:val="000000"/>
          <w:sz w:val="20"/>
          <w:lang w:val="en-US" w:eastAsia="en-US" w:bidi="ar-SA"/>
        </w:rPr>
        <w:t xml:space="preserve"> (B.C.C.A.) ("Atkins") for the proposition that the standard of care requires that it put into place a reasonable scheme and that the scheme was being followed at the time of the incident. Atkins involved a slip and fall on a piece of lettuce in a supermarket. The court held at p. 184:</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trial judge found that it would have been negligent for the occupier to permit fallen lettuce to remain on the floor as a hazard unless the occupier was adhering to a reasonable scheme of maintenance designed to minimize the chance of such hazards occurring.</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And at p. 185:</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...there must be evidence from which it is reasonable to infer that the system in place for ensuring that hazards are minimized was followed on the day in question.... It must at least establish that there was routine compliance with the scheme from which the trial judge can infer observance on the day in question.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Therefore, Atkins provides a two-part analysis that should be employed when determining the requisite standard of care in an occupier's liability case: was there a reasonable system and was that system being followed?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Was There a Reasonable System?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pertinent question to the first branch of the Atkins test is whether a system of hourly sweeps, without the use of floor mats, is sufficient to "minimize the chance of such hazards occurring" (Atkins, supra at p. 184). To answer that question, it is instructive to look at similar cases.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Fry v. Confederation Life Insurance Co., </w:t>
      </w:r>
      <w:hyperlink r:id="rId940" w:history="1">
        <w:r>
          <w:rPr>
            <w:rFonts w:ascii="arial" w:eastAsia="arial" w:hAnsi="arial" w:cs="arial"/>
            <w:i/>
            <w:color w:val="0077CC"/>
            <w:sz w:val="20"/>
            <w:u w:val="single"/>
            <w:shd w:val="clear" w:color="auto" w:fill="FFFFFF"/>
            <w:lang w:val="en-US" w:eastAsia="en-US" w:bidi="ar-SA"/>
          </w:rPr>
          <w:t>[1989] B.C.J. No. 985</w:t>
        </w:r>
      </w:hyperlink>
      <w:r>
        <w:rPr>
          <w:rFonts w:ascii="arial" w:eastAsia="arial" w:hAnsi="arial" w:cs="arial"/>
          <w:color w:val="000000"/>
          <w:sz w:val="20"/>
          <w:lang w:val="en-US" w:eastAsia="en-US" w:bidi="ar-SA"/>
        </w:rPr>
        <w:t xml:space="preserve"> (B.C.S.C.) ("Fry"), the plaintiff slipped and fell on a piece of meat or gristle. The incident occurred just outside the delicatessen area of a supermarket. The defendant had in place a system of hourly sweeps. No mats were present near the area of the incident. The court held: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Because the defendant had a regular plan for control or supervision of the common area used by the public, it passes one of the tests set by the authorities... .</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court continued: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From the authorities cited to me it is an unreasonable application of the law that the defendant be required to employ a large number of cleaners, who are on constant duty throughout the common areas, standing by in anticipation of picking up bits of debris discarded there from time to time by others.</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Perfection is not the standard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nor should it be the standard under the Occupiers Liability Act. The standard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that of the reasonable man or woman. Here, the standard is that of the reasonable occupier.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Generally, a system of hourly sweeps without the use of mats satisfies the standard of care required of a supermarket. Fry can be distinguished from the present case because the incident in Fry involved a piece of meat or gristle and it occurred near the delicatessen section whereas, in the present case, the incident involved a grape and it occurred in the produce section. It might be said that different hazards arise from grapes and produce sections thereby requiring a different standard of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Beaman v. Canada Safeway Ltd. </w:t>
      </w:r>
      <w:hyperlink r:id="rId941" w:history="1">
        <w:r>
          <w:rPr>
            <w:rFonts w:ascii="arial" w:eastAsia="arial" w:hAnsi="arial" w:cs="arial"/>
            <w:i/>
            <w:color w:val="0077CC"/>
            <w:sz w:val="20"/>
            <w:u w:val="single"/>
            <w:shd w:val="clear" w:color="auto" w:fill="FFFFFF"/>
            <w:lang w:val="en-US" w:eastAsia="en-US" w:bidi="ar-SA"/>
          </w:rPr>
          <w:t>(1993), 115 Sask. R. 100</w:t>
        </w:r>
      </w:hyperlink>
      <w:r>
        <w:rPr>
          <w:rFonts w:ascii="arial" w:eastAsia="arial" w:hAnsi="arial" w:cs="arial"/>
          <w:color w:val="000000"/>
          <w:sz w:val="20"/>
          <w:lang w:val="en-US" w:eastAsia="en-US" w:bidi="ar-SA"/>
        </w:rPr>
        <w:t xml:space="preserve"> (Sask. Q.B.) ("Beaman"), the plaintiff slipped and fell on grapes. The incident occurred a short distance from the grape display but within the produce section of the supermarket. The defendant employed a system of logged, hourly sweeps. Employees were instructed to deal with spills immediately upon them becoming known. Grapes were stored in display bins with raised edges and a mat was placed in front of that display. There was a safety manual in which there was specific reference to the unusual dangers of grapes. On this issue of the requisite standard of care, the court held at p. 103:</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It is easy to imagine how the grapes got on the floor, but we have no idea what few minutes or even seconds elapsed between their arrival there and the plaintiff's unfortunate step. Constant surveillance and instant response might very well prevent such an accident, but such a high standard is not required. The defendant is not obliged to have his employees standing around to observe or follow each customer and instantly sweep up after those who spill items on the floor. Unrealistic procedures are not required. Reasonableness is the standard, not perfection. The evidence satisfies me that the maintenance policy of the defendant and the housekeeping procedures carried out by its staff were reasonable in the circumstances. They were adequate to clean the floor and keep it clean, and thereby prevent damage from the unusual danger of the grapes.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Saskatchewan, at the time Beaman was decided, the law of occupiers' liability described unusual dangers as having a greater standard of care than dangers of a more common variety. No such distinction exists in British Columbia (Fry, supra). One might argue that the unusual danger designation distinguishes Beaman from the present case. However, if anything, it shows that, even at a higher standard of care, the system in place was adequate in the circumstances.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One might further argue that the defendant in Beaman used mats near the grape display and that additional safeguard provided the requisite standard. In addition, the store had a detailed manual that specifically identified grapes as unusually hazardous. These extra safeguards distinguish Beaman from the present case. This is a compelling argument in itself but it is minimized by the case of Hoffert v. Westfair Foods Ltd., </w:t>
      </w:r>
      <w:hyperlink r:id="rId942" w:history="1">
        <w:r>
          <w:rPr>
            <w:rFonts w:ascii="arial" w:eastAsia="arial" w:hAnsi="arial" w:cs="arial"/>
            <w:i/>
            <w:color w:val="0077CC"/>
            <w:sz w:val="20"/>
            <w:u w:val="single"/>
            <w:shd w:val="clear" w:color="auto" w:fill="FFFFFF"/>
            <w:lang w:val="en-US" w:eastAsia="en-US" w:bidi="ar-SA"/>
          </w:rPr>
          <w:t>[1996] B.C.J. No. 2863</w:t>
        </w:r>
      </w:hyperlink>
      <w:r>
        <w:rPr>
          <w:rFonts w:ascii="arial" w:eastAsia="arial" w:hAnsi="arial" w:cs="arial"/>
          <w:color w:val="000000"/>
          <w:sz w:val="20"/>
          <w:lang w:val="en-US" w:eastAsia="en-US" w:bidi="ar-SA"/>
        </w:rPr>
        <w:t xml:space="preserve"> (B.C.S.C.) ("Hoffert").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Hoffert was a case involving a slip and fall on several grapes. The incident occurred immediately adjacent to the grape display in the produce section of a supermarket. The defendant had in place a system of logged, hourly sweeps but mats were not used. In addition, the grape display was placed within sight of the manager's office so that some extra attention could be paid to the unusual hazard. The log showed the floor was dry-mopped twenty-five minutes before the incident. The court found that the system met the standard of care (at para. 24):</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 all the circumstances, I find that Mayfair took reasonable care in seeing that Mrs. Hoffert would be reasonably safe when she used its premises. It had a regular plan for keeping the public area clean. Mrs. Hoffert unfortunately did not take the necessary care to look after herself.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With the exception of the deliberate placement of the grape display near the manager's office, the system in Hoffert was virtually identical to that of this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It is important to note that mats were not used in the Hoffert case. This is significant because the location of the incident was immediately next to the grape display. In Beaman, where mats were used, the plaintiff fell a short distance from the grape display where there was no mat. In the present case, the plaintiff fell some distance from the grape display. If one accepts the expert report tendered by the plaintiff in the present case, a mat would have made a difference to the likelihood of a fall in the Hoffert case yet the court in that case did not find it necessary for the store to go beyond the system of hourly sweeps. In other words, mats were not necessary in light of the fact that the store had set up a reasonable system.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could argue that Hoffert can be distinguished from the present case because there is no evidence in the present case about setting up the grape display in a location where it could be viewed regularly. However, the plaintiff chose to focus on the lack of mats in its argument that the defendant should reasonably have done more to safeguard its customers.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If the standard of care requires mats in addition to the hourly sweeps, one must ask to what extent the mats should reasonably be employed. It is useful to analyze the plaintiff's evidence when considering this point. The plaintiff provided photographs of other supermarkets in which mats were used. None of the photographs show complete floor coverage. Instead, as pointed out by the defendant, it appears that mats are used only near the produce that would routinely be sprayed and, in some cases, around the grape display. In no case is there an example of mats around the potato or apple displays. Thus, if the standard of care in the present case requires mats at the location in which the plaintiff fell (next to the potato or apple display) then, assuming the same circumstances, every store exemplified by the plaintiff is also breaching the standard of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light of the case law cited above, most importantly Hoffert, it is difficult to find that the defendant in the present case did not meet the first branch of the requisite standard of care. It set up a system that has been approved in other cases. Even though the standard must be determined on the basis of the particular circumstances of the case, the present case is so similar to Hoffert that it strains credulity to find a different standard should apply.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Was the System Followed?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One case examined the system of hourly sweeps and determined, in the circumstances, the implementation of the system did not meet the requisite standard of care. In Fisker v. Westfair Foods Ltd., </w:t>
      </w:r>
      <w:hyperlink r:id="rId943" w:history="1">
        <w:r>
          <w:rPr>
            <w:rFonts w:ascii="arial" w:eastAsia="arial" w:hAnsi="arial" w:cs="arial"/>
            <w:i/>
            <w:color w:val="0077CC"/>
            <w:sz w:val="20"/>
            <w:u w:val="single"/>
            <w:shd w:val="clear" w:color="auto" w:fill="FFFFFF"/>
            <w:lang w:val="en-US" w:eastAsia="en-US" w:bidi="ar-SA"/>
          </w:rPr>
          <w:t>[1999] B.C.J. No. 3096</w:t>
        </w:r>
      </w:hyperlink>
      <w:r>
        <w:rPr>
          <w:rFonts w:ascii="arial" w:eastAsia="arial" w:hAnsi="arial" w:cs="arial"/>
          <w:color w:val="000000"/>
          <w:sz w:val="20"/>
          <w:lang w:val="en-US" w:eastAsia="en-US" w:bidi="ar-SA"/>
        </w:rPr>
        <w:t xml:space="preserve"> (Prov. Ct.) aff'd </w:t>
      </w:r>
      <w:hyperlink r:id="rId944" w:history="1">
        <w:r>
          <w:rPr>
            <w:rFonts w:ascii="arial" w:eastAsia="arial" w:hAnsi="arial" w:cs="arial"/>
            <w:i/>
            <w:color w:val="0077CC"/>
            <w:sz w:val="20"/>
            <w:u w:val="single"/>
            <w:shd w:val="clear" w:color="auto" w:fill="FFFFFF"/>
            <w:lang w:val="en-US" w:eastAsia="en-US" w:bidi="ar-SA"/>
          </w:rPr>
          <w:t>[2000] B.C.J. No. 432</w:t>
        </w:r>
      </w:hyperlink>
      <w:r>
        <w:rPr>
          <w:rFonts w:ascii="arial" w:eastAsia="arial" w:hAnsi="arial" w:cs="arial"/>
          <w:color w:val="000000"/>
          <w:sz w:val="20"/>
          <w:lang w:val="en-US" w:eastAsia="en-US" w:bidi="ar-SA"/>
        </w:rPr>
        <w:t xml:space="preserve"> ("Fisker"), the plaintiff slipped and fell on what was described as "possibly a grape". The offending item was liquified and spread over time. The defendant store had in place a system of sweeps and, on the day in question, the log indicated that the produce department was being swept on average every 26 minutes. The incident occurred on a Saturday afternoon which was described as a very busy time. The trial judge found that the system was not being followed properly because, if the sweeps were performed thoroughly, the debris would have been discovered (at para. 52):</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longer an organic item remains on the floor, the greater the potential for an accident. The original material in this instance became a pulverized patch, and it should have been observable by the time it reached this condition by the various employees in the course of their regular duties in the department. The fact that it spread out made it more likely to be the source of an accident. This material should have been noted and properly removed by the produce department employees, consistent with the policy in place at the time, before it reached the point at which the Claimant came into contact with it. This was not done. The follow-up maintenance to observe and remedy "as and when required" was not adequately performed. I conclude that the Defendant failed to properly comply with its multi-tiered cleaning policy in place at that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Thus, the court found that, despite logging a series of inspections, the state of the material that caused the slip suggested that the inspections were not adequately being performed. If the system was properly followed, someone would have noticed the hazard. It was apparent that the material, given its pulverized state, had been in that location for more than the 26 minutes since the last recorded inspection.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circumstances in Fisker are distinguishable from the present case. The incident in Fisker occurred at a very busy time of day whereas the evidence in the present case indicates that the store was probably not busy. Furthermore, there is no evidence in the present case that the grape in question had been allowed to remain despite the inspections and sweeps.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contrast to Fisker, the Hoffert case considered whether the system of hourly sweeps was properly followed and found that it was, despite some inconsistencies (at para. 22):</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Plaintiff's counsel carefully and methodically cross-examined all the defence witnesses. Their evidence revealed some imperfections in the cleaning programme. However, I do not accept the argument that the Defendant's employees intentionally made false or misleading entries in the sweep logs. Rather, the few unexplained or mysterious inconsistencies are more likely the fault of simple human error.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Similarly, the court in Beaman held at p. 103:</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[The employees] were adequate to clean the floor and keep it clean, and thereby prevent damage from the unusual danger of the grapes. There was no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employees in the execution of those procedures.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addition, the plaintiff holds the onus to prove the system was not being followed. Atkins, supra held at p. 185:</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...there must be evidence from which it is reasonable to infer that the system in place for ensuring that hazards are minimized was followed on the day in question.... It must at least establish that there was routine compliance with the scheme from which the trial judge can infer observance on the day in question.</w:t>
      </w:r>
    </w:p>
    <w:p>
      <w:pPr>
        <w:spacing w:before="120" w:line="260" w:lineRule="atLeast"/>
        <w:ind w:left="720"/>
        <w:rPr>
          <w:lang w:val="en-US" w:eastAsia="en-US" w:bidi="ar-SA"/>
        </w:rPr>
      </w:pPr>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The onus remains with the plaintiff to prove her case. She must overcome the defence on a preponderance of evidence or lose her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It is clear that there must be some evidence that the system was not being followed in order for that conclusion to be drawn. That burden was met in Fisker but was not met in Hoffert or Beaman. In the present case, there does not appear to be any evidence that the system was not being followed, so the plaintiff has not overcome the defence.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standard of care must be determined based on the circumstances of each case. Nevertheless, the case law has dealt with similar circumstances to that of the case at bar. The system used by the defendant has been found to meet the requisite standard. Furthermore, there is no evidence to suggest that the system was not being followed on the day in question.</w:t>
      </w:r>
    </w:p>
    <w:p>
      <w:pPr>
        <w:spacing w:line="260" w:lineRule="atLeast"/>
        <w:jc w:val="both"/>
        <w:rPr>
          <w:lang w:val="en-US" w:eastAsia="en-US" w:bidi="ar-SA"/>
        </w:rPr>
      </w:pPr>
      <w:r>
        <w:rPr>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Omission?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omission is no different than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commission except that, in the former, the defendant fails to do something that a reasonable person would have done and, in the latter, the defendant does something that a reasonable person would not have done. The oft quoted definition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from Blyth v. Birmingham Water Works Co. (1856), 11 Ex. 781 at p. 784 is:</w:t>
      </w:r>
      <w:r>
        <w:rPr>
          <w:lang w:val="en-US" w:eastAsia="en-US" w:bidi="ar-SA"/>
        </w:rPr>
        <w:cr/>
      </w:r>
    </w:p>
    <w:p>
      <w:pPr>
        <w:spacing w:line="260" w:lineRule="atLeast"/>
        <w:ind w:left="720"/>
        <w:rPr>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the omission to do something which a reasonable man, guided upon those considerations which ordinarily regulate the conduct of human affairs, would do, or doing something which a prudent and reasonable man would not do. The defendants might have been liable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unintentionally, they omitted to do that which a reasonable person would have done, or did that which a person taking reasonable precautions would not have done [emphasis added].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first case of modern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Donoghue v. Stevenson, [1932] All E.R. Rep. 1, was a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omission. The House of Lords held (per Lord MacMillan at p. 30):</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For a manufacturer of aerated water to store his empty bottles in a place where snails can get access to them and to fill his bottles without taking any adequate precautions by inspection or otherwise to ensure that they contain no deleterious foreign matter may reasonably be characterized as carelessness without applying too exact a standard.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Accordingly,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omission is not unique and it is certainly not new.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the present case, the issue can be stated as follows. When the defendant decided to remove floor mats and replace them with a system of sweeps, did that conduct constitute an omission? In other words, can the store be said to have omitted to provide the additional precaution, namely the mats? In my view, this is the wrong question to ask. The choice of removing the mats was a deliberate act thus it constitutes commission, not omission. However, even that distinction is irrelevant. It does not matter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arose out of an act or a failure to act. The crux is the requisite standard of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Standard of care in occupiers' liability cases has been discussed at some length in the previous section however it is useful to consider a second basic principle at this point. The seminal case of standard of care is Bolton v. Stone, [1951] 1 All E.R. 1078 (H.L.). Lord Porter held at p. 1080:</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Undoubtedly, they knew that the hitting of a cricket ball out of the ground was a possible event, and, therefore, that there was a conceivable possibility that someone would be hit by it, but so extreme an obligation of care cannot be imposed in all cases.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courts, in determining the standard of care in cases akin to the present, put their minds to this principle. Supermarkets do not have an obligation to stand constant watch. Hourly sweeps will generally suffice.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above quotation from Bolton v. Stone raises another relevant consideration; that being what the defendant actually knows the hazards to be. As Lord Porter said, the defendants in that case knew that the cricket balls could be a danger to others. In the present case, there is some evidence that the defendant knew that removing the mats posed certain dangers. Nevertheless, the consideration ultimately returns to how extreme an obligation of care should be imposed in this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Plaintiff's counsel suggested the defendant's motive for changing its safety standard from one of using mats to one of hourly sweeps changes the analysis. The insinuation is that the defendant was motivated by saving money. The costs of purchasing and maintaining mats outweigh the costs of having already existing staff perform the hourly sweeps. The short answer is that it does not affect the standard of care although it may go to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standard is determined based on an objective test. It does not matter what was in the minds of the defendant as long as its policy meets a standard of care that is reasonable in the circumstances. If one was to find that the standard required mats, then the fact that the store used them and made a choice to remove them could be evidence of indifference toward its customers' safety but that indifference would go to damages. For example, in the case of Clark v. Royal Oak Holdings Ltd., </w:t>
      </w:r>
      <w:r>
        <w:rPr>
          <w:rFonts w:ascii="arial" w:eastAsia="arial" w:hAnsi="arial" w:cs="arial"/>
          <w:i/>
          <w:color w:val="000000"/>
          <w:sz w:val="20"/>
          <w:lang w:val="en-US" w:eastAsia="en-US" w:bidi="ar-SA"/>
        </w:rPr>
        <w:t>[2003] B.C.J. No. 468</w:t>
      </w:r>
      <w:r>
        <w:rPr>
          <w:rFonts w:ascii="arial" w:eastAsia="arial" w:hAnsi="arial" w:cs="arial"/>
          <w:color w:val="000000"/>
          <w:sz w:val="20"/>
          <w:lang w:val="en-US" w:eastAsia="en-US" w:bidi="ar-SA"/>
        </w:rPr>
        <w:t xml:space="preserve"> (S.C.) ["Clark"], the plaintiff slipped and fell on a tiled floor in a shopping mall. The floor was wet as a result of being recently mopped. The incident occurred while the mall was closed and the plaintiff was one of the merchants at the location. When the floor was mopped during business hours, caution signs were placed at the site. The signs were readily available to the maintenance worker at the time of the incident. Mr. Justice Taylor held that the standard of care required signs to be posted and failure to do so merely because the mall was closed amounted to a reckless disregard for the merchants' safety. The maintenance worker knew that the signs existed and that they should be used when the floor was being mopped. In the result, the court ordered substantial non-pecuniary damages for pain and suffering.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Clark, the court found that the standard of care required the posting of warning signs. That holding was made independent of the maintenance worker's knowledge. The worker's knowledge of the appropriate standard coupled with the fact that he did not perform that which the standard required resulted in greater damages being awarded.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omission arises where it is found that an entity has a duty to provide certain services or safeguards and neglects to do so. In the present case, the defendant's change in safety policy resulted in a system that despite the change continues to meet the standard of care required in the case law. The motive for the change in policy is irrelevant to the issue of liability if the required standard of care is met.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am sympathetic to the plight of the plaintiff. She is not a young woman. She suffered a painful injury and a shock to her system.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However, an occupier is not an insurer. Persons coming on to its premises also have a duty to take care for their own safety. Every misadventure in life cannot be blamed on someone else. Occasionally, we all fail to look where we are going. Sometimes we just stumble. Other times we fall. Unfortunately, that is what happened here. The plaintiff did not take care to notice the grape on the floor when moving about the produce 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the circumstances, I find the defendant took all reasonable care to see that the floor area was kept clean. Therefore, any blame for the accident must unhappily rest upon the plaintiff.</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For the reasons stated, the action must be dismissed. Costs follow the event.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WONG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568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45"/>
          <w:headerReference w:type="default" r:id="rId946"/>
          <w:footerReference w:type="even" r:id="rId947"/>
          <w:footerReference w:type="default" r:id="rId948"/>
          <w:headerReference w:type="first" r:id="rId949"/>
          <w:footerReference w:type="first" r:id="rId95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51" w:history="1">
        <w:r>
          <w:rPr>
            <w:rFonts w:ascii="arial" w:eastAsia="arial" w:hAnsi="arial" w:cs="arial"/>
            <w:b/>
            <w:bCs/>
            <w:i/>
            <w:color w:val="0077CC"/>
            <w:kern w:val="32"/>
            <w:sz w:val="28"/>
            <w:szCs w:val="32"/>
            <w:u w:val="single"/>
            <w:shd w:val="clear" w:color="auto" w:fill="FFFFFF"/>
            <w:lang w:val="en-US" w:eastAsia="en-US" w:bidi="ar-SA"/>
          </w:rPr>
          <w:t>Certain Underwriters at Lloyd's v. Insurance Co. of the State of Pennsylvania, [2016] B.C.J. No. 204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T.M. McEwan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16 and 17,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5,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Released: February 5,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S157703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204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178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Certain Underwriters at Lloyd's, Petitioner, and The Insurance Company of the State of Pennsylvania,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5" style="position:absolute;z-index:2517043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6" w:name="Keywords_43"/>
      <w:bookmarkEnd w:id="296"/>
      <w:r>
        <w:rPr>
          <w:rFonts w:ascii="arial" w:eastAsia="arial" w:hAnsi="arial" w:cs="arial"/>
          <w:b/>
          <w:color w:val="000000"/>
          <w:sz w:val="20"/>
          <w:lang w:val="en-US" w:eastAsia="en-US" w:bidi="ar-SA"/>
        </w:rPr>
        <w:t>Insurance law — The insurance contract — Risk — Extent of — Petition by Underwriters for declaration that respondent's policy was co-primary policy with petitioner's policy covering period from April 2011 to November 2014 and that Underwriters had a right of equitable contribution against defendant for defence costs dismissed — Respondent's policy was in effect from June 209 to April 2011 — Insured mining company was sued for alleged forced labour between 2008 and 2012 — On face of the pleadings, allegations of damage due to abuse and mistreatment were not described as ongoing — Respondent's policy of insurance did not appear to be co-extensive with that of petitioner.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7" w:name="Case Summary_40"/>
            <w:bookmarkEnd w:id="29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Petition by Underwriters for a declaration that the respondent's policy was a co-primary policy with the petitioner's policy covering the period from April 2011 to November 2014 and that Underwriters had a right of equitable contribution against the defendant for all defence costs incurred to date. The insured, a mining company, was a defendant in an action brought by miners who claimed they were conscripted or otherwise compelled into forced labour at a mine in Africa between 2008 and 2012. The respondent issued a policy of foreign commercial general liability insurance to the mining company that was in effect between June 2009 and April 2011. The respondent argued that it was not a co-primary insurer. The petitioner argued that the claims against the insured fell within the "Bodily Injury" part of the respondent's policy, triggering a duty to contribute to the costs of the defence of those claim. The respondent argued that the plaintiffs had not pleaded any bodily injury that was continuous or progressive or which could have continued or resumed beyond the end of its policy and that all the allegations of bodily injury in the claim arose from the use of forced labour and were therefore excluded under its policies.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8" w:name="Holdings of Court_35"/>
            <w:bookmarkEnd w:id="298"/>
            <w:r>
              <w:rPr>
                <w:rFonts w:ascii="arial" w:eastAsia="arial" w:hAnsi="arial" w:cs="arial"/>
                <w:color w:val="000000"/>
                <w:sz w:val="20"/>
                <w:lang w:val="en-US" w:eastAsia="en-US" w:bidi="ar-SA"/>
              </w:rPr>
              <w:t>HELD: Petition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On the face of the pleadings, the allegations of damage due to abuse and mistreatment, up to and including torture, were not described as ongoing. The pleadings did not include claims framed in the alternative to forced labour but appeared to encompass the various ways, including wilful blindness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the insured might be implicated in the forced labour alleged. On the pleadings to date, read expansively but without setting up alternatives to the facts actually pleaded, the respondent's policy of insurance did not appear to be co-extensive with that of the petitioner for the period between April 2011 and November 2014.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9" w:name="Counsel_44"/>
      <w:bookmarkEnd w:id="29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6" style="position:absolute;z-index:2517555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Petitioner: E. Dolden, J. Shore.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 J. Kennedy.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0" w:name="Judgment_44"/>
      <w:bookmarkEnd w:id="300"/>
      <w:r>
        <w:pict>
          <v:line id="_x0000_s1247" style="position:absolute;z-index:2518067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1" w:name="T.M. McEWAN J."/>
            <w:bookmarkEnd w:id="301"/>
            <w:r>
              <w:rPr>
                <w:rFonts w:ascii="arial" w:eastAsia="arial" w:hAnsi="arial" w:cs="arial"/>
                <w:b/>
                <w:color w:val="000000"/>
                <w:sz w:val="30"/>
                <w:lang w:val="en-US" w:eastAsia="en-US" w:bidi="ar-SA"/>
              </w:rPr>
              <w:t>T.M. McEWAN J.</w:t>
            </w:r>
          </w:p>
        </w:tc>
      </w:tr>
    </w:tbl>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petitioner seeks:</w:t>
      </w:r>
      <w:r>
        <w:rPr>
          <w:rFonts w:ascii="arial" w:eastAsia="arial" w:hAnsi="arial" w:cs="arial"/>
          <w:sz w:val="20"/>
          <w:lang w:val="en-US" w:eastAsia="en-US" w:bidi="ar-SA"/>
        </w:rPr>
        <w:cr/>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respondent's policy of insurance issued to Nevsun Resources Ltd. ("Nevsun") is co-primary with a policy issued by the petitioner covering the period from April 21, 2011 to November 20, 2014.</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petitioner has a right of equitable contribution against the defendant for all defence costs to date in relation to claims made against Nevsun in Supreme Court of British Columbia Action No. S-148932 (the "Action").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as to the defence costs payable by each party.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issue arises as a result of an action against Nevsun, a mining company incorporated in British Columbia, with a head office in Vancouver. It is listed on the Toronto Stock Exchange and the NYSE Market Exchange. The action is a representative proceeding brought by approximately 1000 miners who claim they were conscripted or otherwise compelled into forced labour at a mine in Eritrea, in Africa. Nevsun holds, through various subsidiaries, a 60% interest. The other 40% is held by the government of Eritrea through the state owned Eritrean National Mining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petitioner is two Lloyd's syndicates, QBE Casualty Syndicate 386 and QBE Syndicate 1886 (together, "Lloyds"). They are subscribers to policies of commercial general liability reinsurance, as reinsurers of the National Insurance Corporation of Eritrea Share Co. The policies were in effect from April 21, 2011 to November 20,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respondent, Insurance Company of the State of Pennsylvania ("AIG"), issued a policy of foreign commercial general liability insurance to Nevsun that was in effect between June 15, 2009 and April 21, 2011. AIG opposes the relief sought. It submits that owing to differences in the wording of its coverage and that of Lloyds it is not a co-primary insurer.</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Assessing the positions of the parties requires a consideration of the pleadings giving rise to the claims, and the specific wording of each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pleadings claim, in material parts, that:</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October 2007, Vancouver based Nevsun Resources Ltd. entered into a commercial venture with the rogue state of Eritrea to develop the Bisha gold mine in Eritrea.</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mine was built using forced labour, a form of slavery, obtained from the plaintiffs and others coercively and under threat of torture by the Eritrean government and its contracting arms.</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Eritrea is a repressive, one-party state which uses a system of conscription, torture, arbitrary detention, violence, threats of retribution and other forms of cruel, inhuman and degrading treatment to create a supply of forced labour for various projects in the country including the Bisha mine.</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entering into the commercial relationship with Eritrea, Nevsun facilitated, aided, abetted, contributed to and became an accomplice to the use of forced labour, crimes against humanity and other human rights abuses at the Bisha mine.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Gize Yebeyo Araya, Kesete Tekle Fshazion and Mihretab Yemane Tekle are Eritrean nationals and refugees who were forced to work at the Bisha mine.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their period of forced labour at Bisha, the plaintiffs were subjected to cruel, inhuman and degrading treatment as well as harsh working conditions including long hours, malnutrition and forced confinement for little pay. They worked under the constant threat of physical punishment, torture and imprisonment.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bring this actin for damages against Nevsun under customary international law as incorporated into the law of Canada and domestic British Columbia law, on their own behalf and as a representative action on behalf of all Eritrean nationals who were forced to work at the Bisha mine from September 2008 to the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pleadings describe a government run system of labour conscription in Eritrea:</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Eritrea uses a system of forced labour including the National Service Program to benefit senior government and military officials and the PFDJ.</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National Service Program was established in late 1994 or 1995. Initially, all Eritrean nationals, men and women, between the ages of 18 and 40 were conscripted into the program and were required to undergo 6 months of military training and 12 months of active military service for a total of 18 months of mandatory service.</w:t>
      </w:r>
    </w:p>
    <w:p>
      <w:pPr>
        <w:numPr>
          <w:numId w:val="1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2002, the government of Eritrea extended the period of service for conscripts indefinitely and forced the conscripts to provide labour to various companies owned by senior military officials or the PFDJ including the Segen Construction Company, which is owned by the PFDJ, and the Mereb Construction Company, which is controlled by the military.</w:t>
      </w:r>
    </w:p>
    <w:p>
      <w:pPr>
        <w:numPr>
          <w:numId w:val="1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Conditions in the National Service Program are brutal. Conscripts are regularly subjected to violence and ill-treatment for asking questions or other perceived transgressions. Beatings, torture, and prolonged arbitrary detention are common.</w:t>
      </w:r>
    </w:p>
    <w:p>
      <w:pPr>
        <w:numPr>
          <w:numId w:val="20"/>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Conscripts are paid meagre subsistence wages for their forced labour, are denied basic human rights and freedoms and are often forced to work in harsh conditions, including temperatures of up to 50 degrees Celsius.</w:t>
      </w:r>
    </w:p>
    <w:p>
      <w:pPr>
        <w:numPr>
          <w:numId w:val="21"/>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Conscripts who attempt to leave national service upon completion of 18 months service are subject to severe punishment including torture and imprisonment, and their families are subject to retribution.</w:t>
      </w:r>
    </w:p>
    <w:p>
      <w:pPr>
        <w:numPr>
          <w:numId w:val="22"/>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Eritrea is one of the world's most closed countries, and actively suppresses the release of reliable information as to conditions inside the country. Nonetheless, Nevsun was aware or must have been aware, by the time it commenced construction of the Bisha mine in 2008, of credible, published reports of the use of forced labour, torture and arbitrary detention in Eritrea.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relationship between Nevsun and the government of Eritrea is described:</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government of Eritrea holds a 40% share of the Bisha Mine Share Corporation (BMSC) through the state-owned Eritrean National Mining Corporation (ENAMCO).</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terms of the arrangement amongst Nevsun, ENAMCO, BMSC and the Eritrean government call for EMANCO to pay for 33,3% of the mine development costs through its share of mine revenues.</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Nevsun's principal and most valuable asset is the Bisha mine. All important decisions relating to the development and operation of the Bisha mine, including the retainer of contractors, were made and/ or approved by Nevsun's senior management and/or the Board of Directors.</w:t>
      </w:r>
    </w:p>
    <w:p>
      <w:pPr>
        <w:numPr>
          <w:numId w:val="2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Nevsun engaged Segen, Mereb and the Eritrean military to build the infrastructure and mine facilities at Bisha. Segen, Mereb and the Eritrean military deployed forced labour obtained from the plaintiffs and others to carry out this work.</w:t>
      </w:r>
    </w:p>
    <w:p>
      <w:pPr>
        <w:numPr>
          <w:numId w:val="3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Development of the Bisha mine commenced in early 2008. The mine was commissioned in the fourth quarter of 2010 and commercial production commenced in the first quarter of 2011.</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February 22, 2011, the Bisha mine has produced revenues of approximately $1.6 billion and net income of approximately $645 million. Approximately $250 million of net income has been paid to ENAMCO, thereby providing massive financial support and incentives to continue Eritrea's system of forced labour and human rights abuses.</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Nevsun has projected that the Bisha mine will continue to generate significant cash flow for its shareholders over the current estimated remaining mine life of eleven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claim alleges particulars of the actual use of forced labourer:</w:t>
      </w:r>
      <w:r>
        <w:rPr>
          <w:rFonts w:ascii="arial" w:eastAsia="arial" w:hAnsi="arial" w:cs="arial"/>
          <w:sz w:val="20"/>
          <w:lang w:val="en-US" w:eastAsia="en-US" w:bidi="ar-SA"/>
        </w:rPr>
        <w:cr/>
      </w:r>
    </w:p>
    <w:p>
      <w:pPr>
        <w:numPr>
          <w:numId w:val="3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2008 and 2012, over one thousand Eritrean nationals were forced to work at the Bisha mine. The forced labour came from at least four sources:</w:t>
      </w:r>
    </w:p>
    <w:p>
      <w:pPr>
        <w:numPr>
          <w:numId w:val="4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conscripts deployed by Segen;</w:t>
      </w:r>
    </w:p>
    <w:p>
      <w:pPr>
        <w:numPr>
          <w:numId w:val="4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conscripts deployed by Mereb;</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conscripts deployed by the Eritrean military; and</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workers who joined Segen and Mereb voluntarily, but who were subsequently prohibited from leaving and were forced against their will to continue working at the Bisha 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Conditions are described:</w:t>
      </w:r>
      <w:r>
        <w:rPr>
          <w:rFonts w:ascii="arial" w:eastAsia="arial" w:hAnsi="arial" w:cs="arial"/>
          <w:sz w:val="20"/>
          <w:lang w:val="en-US" w:eastAsia="en-US" w:bidi="ar-SA"/>
        </w:rPr>
        <w:cr/>
      </w:r>
    </w:p>
    <w:p>
      <w:pPr>
        <w:numPr>
          <w:numId w:val="4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and other forced labourers were forced to endure harsh and dangerous working conditions.</w:t>
      </w:r>
    </w:p>
    <w:p>
      <w:pPr>
        <w:numPr>
          <w:numId w:val="4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Forced labourers generally woke up at 5 a.m., ate a breakfast which consisted of a piece of bread and tea, and began work at 6 a.m. At 1 p.m., they would break for lunch which typically consisted of sorghum bread and lentil soup. Work resumed at 3 p.m. and continued until 7 p.m. On occasions when concrete was being poured, the labourers would be forced to work until midnight.</w:t>
      </w:r>
    </w:p>
    <w:p>
      <w:pPr>
        <w:numPr>
          <w:numId w:val="4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Forced labourers deployed by Mereb were required to work six days a week and were often required to work an additional night shift as security guards.</w:t>
      </w:r>
    </w:p>
    <w:p>
      <w:pPr>
        <w:numPr>
          <w:numId w:val="48"/>
        </w:numPr>
        <w:tabs>
          <w:tab w:val="clear" w:pos="184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Forced labourers deployed by Segen were forced to work six and a half days a week.</w:t>
      </w:r>
    </w:p>
    <w:p>
      <w:pPr>
        <w:numPr>
          <w:numId w:val="49"/>
        </w:numPr>
        <w:tabs>
          <w:tab w:val="clear" w:pos="184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forced labourers were required to work in extreme heat, some times as high as 50 degrees Celsius. On at least one occasion, a worker died as a result of heat exhaustion and dehydration.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Discipline was allegedly enforced:</w:t>
      </w:r>
      <w:r>
        <w:rPr>
          <w:rFonts w:ascii="arial" w:eastAsia="arial" w:hAnsi="arial" w:cs="arial"/>
          <w:sz w:val="20"/>
          <w:lang w:val="en-US" w:eastAsia="en-US" w:bidi="ar-SA"/>
        </w:rPr>
        <w:cr/>
      </w:r>
    </w:p>
    <w:p>
      <w:pPr>
        <w:numPr>
          <w:numId w:val="50"/>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Teklay Tesfazgi was the individual in charge of Segen's operations at the Bisha mine. He used severe punishment to discipline conscripts whom he considered to be disobedient.</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treatment included:</w:t>
      </w:r>
    </w:p>
    <w:p>
      <w:pPr>
        <w:numPr>
          <w:numId w:val="5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threats of detention at a prison called "Prima Country" which was notorious in Eritrea for the use of torture;</w:t>
      </w:r>
    </w:p>
    <w:p>
      <w:pPr>
        <w:numPr>
          <w:numId w:val="5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"helicopter" which consisted of typing the workers' arms together at the elbows behind the back, and the feet together at the ankles, and being left in the hot sun for an hour; and</w:t>
      </w:r>
    </w:p>
    <w:p>
      <w:pPr>
        <w:numPr>
          <w:numId w:val="5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being ordered to roll in the hot sand while being beaten with sticks until losing consciousness.</w:t>
      </w:r>
    </w:p>
    <w:p>
      <w:pPr>
        <w:numPr>
          <w:numId w:val="5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and other forms of severe punishment served to create an atmosphere of fear and intimidation at the Bisha mine that helped to ensure the continued obedience of conscripts and other workers and caused the plaintiffs and other forced labourers to live in fear for their lives.</w:t>
      </w:r>
    </w:p>
    <w:p>
      <w:pPr>
        <w:numPr>
          <w:numId w:val="5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Forced labourers frequently fell ill due to the lack of nutrition and working conditions. Those who did not return to work after five days had their pay docked regardless of whether they were medically fit to return to work.</w:t>
      </w:r>
    </w:p>
    <w:p>
      <w:pPr>
        <w:numPr>
          <w:numId w:val="5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and the other forced labourers received meager wages of 450 nakfa per month, equivalent to approximately $30USD at the official exchange rate or less than half of that at the black-market rate.</w:t>
      </w:r>
    </w:p>
    <w:p>
      <w:pPr>
        <w:numPr>
          <w:numId w:val="5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not working at the mine site, the plaintiffs and other forced labourers were confined to and housed in camps operated by Segen, Mereb and the military. They were not permitted to leave the camp except on periods of authorized leave. Those who failed to return from authorized leave faced severe punishment and exposed their families to retribution.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petitioner accepts that it has a duty to defend Nevsun from the plaintiff's claims under both its policies, for the claims period April 21, 2011 - November 20, 2014. The relevant provisions read as follows:</w:t>
      </w:r>
      <w:r>
        <w:rPr>
          <w:rFonts w:ascii="arial" w:eastAsia="arial" w:hAnsi="arial" w:cs="arial"/>
          <w:sz w:val="20"/>
          <w:lang w:val="en-US" w:eastAsia="en-US" w:bidi="ar-SA"/>
        </w:rPr>
        <w:cr/>
      </w:r>
    </w:p>
    <w:p>
      <w:pPr>
        <w:numPr>
          <w:numId w:val="5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Insuring Agreements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pay on behalf of the Insured all sums which the Insured shall become legally obligated to pay as damages by reason of the liability imposed by law upon the Insured ... The Insured agrees to defend any claim or suit against eh Insured seeking damages to which the insurance applies, even if any of the allegations are groundless, false or fraudulent, </w:t>
      </w:r>
      <w:r>
        <w:rPr>
          <w:rFonts w:ascii="arial" w:eastAsia="arial" w:hAnsi="arial" w:cs="arial"/>
          <w:color w:val="000000"/>
          <w:sz w:val="20"/>
          <w:u w:val="single"/>
          <w:lang w:val="en-US" w:eastAsia="en-US" w:bidi="ar-SA"/>
        </w:rPr>
        <w:t>because of:</w:t>
      </w:r>
    </w:p>
    <w:p>
      <w:pPr>
        <w:numPr>
          <w:numId w:val="6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"Bodily Injury Coverage"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Bodily injury, mental anguish, mental injury, shock, sickness, disease or disability, including death at any time resulting therefrom, </w:t>
      </w:r>
      <w:r>
        <w:rPr>
          <w:rFonts w:ascii="arial" w:eastAsia="arial" w:hAnsi="arial" w:cs="arial"/>
          <w:color w:val="000000"/>
          <w:sz w:val="20"/>
          <w:u w:val="single"/>
          <w:lang w:val="en-US" w:eastAsia="en-US" w:bidi="ar-SA"/>
        </w:rPr>
        <w:t>sustained by any person during the policy period</w:t>
      </w:r>
      <w:r>
        <w:rPr>
          <w:rFonts w:ascii="arial" w:eastAsia="arial" w:hAnsi="arial" w:cs="arial"/>
          <w:color w:val="000000"/>
          <w:sz w:val="20"/>
          <w:lang w:val="en-US" w:eastAsia="en-US" w:bidi="ar-SA"/>
        </w:rPr>
        <w:t>;</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"Personal Injury Coverage"</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False arrest, </w:t>
      </w:r>
      <w:r>
        <w:rPr>
          <w:rFonts w:ascii="arial" w:eastAsia="arial" w:hAnsi="arial" w:cs="arial"/>
          <w:color w:val="000000"/>
          <w:sz w:val="20"/>
          <w:u w:val="single"/>
          <w:lang w:val="en-US" w:eastAsia="en-US" w:bidi="ar-SA"/>
        </w:rPr>
        <w:t>detention</w:t>
      </w:r>
      <w:r>
        <w:rPr>
          <w:rFonts w:ascii="arial" w:eastAsia="arial" w:hAnsi="arial" w:cs="arial"/>
          <w:color w:val="000000"/>
          <w:sz w:val="20"/>
          <w:lang w:val="en-US" w:eastAsia="en-US" w:bidi="ar-SA"/>
        </w:rPr>
        <w:t xml:space="preserve"> or </w:t>
      </w:r>
      <w:r>
        <w:rPr>
          <w:rFonts w:ascii="arial" w:eastAsia="arial" w:hAnsi="arial" w:cs="arial"/>
          <w:color w:val="000000"/>
          <w:sz w:val="20"/>
          <w:u w:val="single"/>
          <w:lang w:val="en-US" w:eastAsia="en-US" w:bidi="ar-SA"/>
        </w:rPr>
        <w:t>imprisonment</w:t>
      </w:r>
      <w:r>
        <w:rPr>
          <w:rFonts w:ascii="arial" w:eastAsia="arial" w:hAnsi="arial" w:cs="arial"/>
          <w:color w:val="000000"/>
          <w:sz w:val="20"/>
          <w:lang w:val="en-US" w:eastAsia="en-US" w:bidi="ar-SA"/>
        </w:rPr>
        <w:t>, ...</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Humiliation</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emotional distress</w:t>
      </w:r>
      <w:r>
        <w:rPr>
          <w:rFonts w:ascii="arial" w:eastAsia="arial" w:hAnsi="arial" w:cs="arial"/>
          <w:color w:val="000000"/>
          <w:sz w:val="20"/>
          <w:lang w:val="en-US" w:eastAsia="en-US" w:bidi="ar-SA"/>
        </w:rPr>
        <w:t>;</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legal Class Action alleging the foregoing by any other name.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respondent's policies, in place from June 15, 2009 to April 21, 2011 or immediately before the petitioner's policies, divide coverage into "Section 1, Coverage A - Bodily Injury", and "Section B - Personal Injury Liability". Both are qualified by Endorsement, #6. As amended, the relevant "Bodily Injury" provision reads:</w:t>
      </w:r>
      <w:r>
        <w:rPr>
          <w:rFonts w:ascii="arial" w:eastAsia="arial" w:hAnsi="arial" w:cs="arial"/>
          <w:sz w:val="20"/>
          <w:lang w:val="en-US" w:eastAsia="en-US" w:bidi="ar-SA"/>
        </w:rPr>
        <w:cr/>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Insuring Agreement</w:t>
      </w:r>
    </w:p>
    <w:p>
      <w:pPr>
        <w:numPr>
          <w:numId w:val="6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 will pay those sums, in excess of the applicable Retained Limit, subject to the terms and conditions set forth in this endorsement, that the insured becomes legally obligated to pay as damages because of bodily injury ... to which this insurance applies. We will have the right but not the duty to defend the insured against any suit seeking those damages. ... We may at our discretion and expense, participate with you in the investigation of any occurrence and the defense or settlement of any claim or suit that may result.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 other obligation or liability to pay sums or perform acts or services is covered unless explicitly provided for under the ALLOCATED LOSS ADJUSTMENT EXPENSES - COVERAGES A AND B section.</w:t>
      </w:r>
    </w:p>
    <w:p>
      <w:pPr>
        <w:numPr>
          <w:numId w:val="6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insurance applies to bodily injury ... only if:</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bodily injury ... is caused by an occurrence that takes place in the coverage territory;</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bodily injury ... occurs during the policy period;</w:t>
      </w:r>
    </w:p>
    <w:p>
      <w:pPr>
        <w:numPr>
          <w:numId w:val="7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the policy period, no insured listed in Paragraph 1 of Section II. - Who Is An Insured and no employee authorized by you to give or receive notice of an occurrence or claim, new that the bodily injury ... had occurred, in whole or in part. If such a listed insured or authorized employee knew, prior to the policy period, that the bodily injury occurred, then any continuation, change or resumption of such bodily injury ... during or after the policy period will be deemed to have been known prior to the policy period; and</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Bodily Injury ... which occurs during the policy period and was not, prior to the policy period, known to have occurred by any insured listed under Paragraph 1. of Section 11 - Who Is An Insured or any employee authorized by you to give or receive notice of an occurrence or claim, </w:t>
            </w:r>
            <w:r>
              <w:rPr>
                <w:rFonts w:ascii="arial" w:eastAsia="arial" w:hAnsi="arial" w:cs="arial"/>
                <w:color w:val="000000"/>
                <w:sz w:val="18"/>
                <w:u w:val="single"/>
                <w:lang w:val="en-US" w:eastAsia="en-US" w:bidi="ar-SA"/>
              </w:rPr>
              <w:t>includes any continuation, change or resumption of that bodily injury ... after the end of the policy period.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Bodily injury ... will be deemed to have been known to have occurred at the earliest time when any insured listed under Paragraph 1 of Section II - Who Is An Insured or an employee authorized by you to give or receive notice of an occurrence or claim: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Becomes aware by any other means that bodily injury has occurred or has begun to occur.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Section 1 Coverage B, pertaining to "Personal Injury", reads as follows:</w:t>
      </w:r>
      <w:r>
        <w:rPr>
          <w:rFonts w:ascii="arial" w:eastAsia="arial" w:hAnsi="arial" w:cs="arial"/>
          <w:sz w:val="20"/>
          <w:lang w:val="en-US" w:eastAsia="en-US" w:bidi="ar-SA"/>
        </w:rPr>
        <w:cr/>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Insuring Agreement</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will pay those sums, in excess of the applicable Retained Limit, subject to the terms and conditions set forth in this endorsement, that the insured becomes legally obligated to pay as damages because of personal injury, to which this insurance applies. We will have the right but not the duty to defend the insured against any suit seeking those damages. However, we will have no duty to defend the insured against any suit seeking damages for bodily injury or property damage to which this insurance does not apply. We may at our discretion and expense, participate with you in the investigation of any occurrence and the defense or settlement of any claim or suit that may result.</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insurance applies to personal injury caused by an offence arising out of your business, but only if the offence was committed in the coverage territory during the policy period. Any claim or suit must be made or brought in the coverage territory or the United States of America, its Territories and possessions, Puerto Rico or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both Section 1A and B the following definitions are applicable:</w:t>
      </w:r>
      <w:r>
        <w:rPr>
          <w:rFonts w:ascii="arial" w:eastAsia="arial" w:hAnsi="arial" w:cs="arial"/>
          <w:sz w:val="20"/>
          <w:lang w:val="en-US" w:eastAsia="en-US" w:bidi="ar-SA"/>
        </w:rPr>
        <w:cr/>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Bodily injury means bodily injury, sickness or disease sustained by a person, including death resulting from any of these at any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Personal injury means injury, including consequential bodily injury, arising out of one or more of the following offences:</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False arrest, detention or imprisonment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petitioner's submission is that the claims raised against Nevsun fall within the "Bodily Injury" part of the respondent's policy, triggering a duty to contribute to the costs of the defence of those claim. It submits that the respondent is a co-insurer as to claims arising after the respondent's policy period and during the petitioner's policy period -- pursuant to Section 1 Coverage A. subparagraph c (underlined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petitioners submit, more particularly, that:</w:t>
      </w:r>
      <w:r>
        <w:rPr>
          <w:rFonts w:ascii="arial" w:eastAsia="arial" w:hAnsi="arial" w:cs="arial"/>
          <w:sz w:val="20"/>
          <w:lang w:val="en-US" w:eastAsia="en-US" w:bidi="ar-SA"/>
        </w:rPr>
        <w:cr/>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allegations made in the Action could possibly give rise to coverage under the AIG Policies' period.</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"bodily injury" allegedly suffered during the period of the AIG Policies is of a type that could reasonably be expected to continue or resume after the Policies' expiry, and is thus also covered under the AIG Policies' Insuring Agreement A.1.c.</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Action alleges "bodily injuries" that does not arise out of "personal and advertising injury" and which is not excluded from coverage.</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QBE is entitled to equitable contribution from AIG for defence costs incurred and to be incurred during their period of overlapping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petitioner adverts to the uncontroversial proposition that a liability insurer's duty to defend arises where there is the </w:t>
      </w:r>
      <w:r>
        <w:rPr>
          <w:rFonts w:ascii="arial" w:eastAsia="arial" w:hAnsi="arial" w:cs="arial"/>
          <w:i/>
          <w:color w:val="000000"/>
          <w:sz w:val="20"/>
          <w:lang w:val="en-US" w:eastAsia="en-US" w:bidi="ar-SA"/>
        </w:rPr>
        <w:t>mere possibility</w:t>
      </w:r>
      <w:r>
        <w:rPr>
          <w:rFonts w:ascii="arial" w:eastAsia="arial" w:hAnsi="arial" w:cs="arial"/>
          <w:color w:val="000000"/>
          <w:sz w:val="20"/>
          <w:lang w:val="en-US" w:eastAsia="en-US" w:bidi="ar-SA"/>
        </w:rPr>
        <w:t xml:space="preserve"> that the insurer might have to indemnify the insured for the claim. In </w:t>
      </w:r>
      <w:r>
        <w:rPr>
          <w:rFonts w:ascii="arial" w:eastAsia="arial" w:hAnsi="arial" w:cs="arial"/>
          <w:i/>
          <w:color w:val="000000"/>
          <w:sz w:val="20"/>
          <w:lang w:val="en-US" w:eastAsia="en-US" w:bidi="ar-SA"/>
        </w:rPr>
        <w:t>Progressive Homes Ltd. v. Lombard General Insurance Co. of Canada</w:t>
      </w:r>
      <w:r>
        <w:rPr>
          <w:rFonts w:ascii="arial" w:eastAsia="arial" w:hAnsi="arial" w:cs="arial"/>
          <w:color w:val="000000"/>
          <w:sz w:val="20"/>
          <w:lang w:val="en-US" w:eastAsia="en-US" w:bidi="ar-SA"/>
        </w:rPr>
        <w:t xml:space="preserve">, </w:t>
      </w:r>
      <w:hyperlink r:id="rId952" w:history="1">
        <w:r>
          <w:rPr>
            <w:rFonts w:ascii="arial" w:eastAsia="arial" w:hAnsi="arial" w:cs="arial"/>
            <w:i/>
            <w:color w:val="0077CC"/>
            <w:sz w:val="20"/>
            <w:u w:val="single"/>
            <w:shd w:val="clear" w:color="auto" w:fill="FFFFFF"/>
            <w:lang w:val="en-US" w:eastAsia="en-US" w:bidi="ar-SA"/>
          </w:rPr>
          <w:t>2010 SCC 33</w:t>
        </w:r>
      </w:hyperlink>
      <w:r>
        <w:rPr>
          <w:rFonts w:ascii="arial" w:eastAsia="arial" w:hAnsi="arial" w:cs="arial"/>
          <w:color w:val="000000"/>
          <w:sz w:val="20"/>
          <w:lang w:val="en-US" w:eastAsia="en-US" w:bidi="ar-SA"/>
        </w:rPr>
        <w:t>, the Court observed at paras. 19 and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insurer is required to defend a claim where the facts alleged in the pleadings, if proven to be true, would require the insurer to indemnify the insured for the claim. ... It is irrelevant whether the allegations in the pleadings can be proven in evidence. That is to say, the duty to defend is not dependent on the insured actually being liable and the insurer actually being required to indemnify. What is required is the </w:t>
      </w:r>
      <w:r>
        <w:rPr>
          <w:rFonts w:ascii="arial" w:eastAsia="arial" w:hAnsi="arial" w:cs="arial"/>
          <w:color w:val="000000"/>
          <w:sz w:val="20"/>
          <w:u w:val="single"/>
          <w:lang w:val="en-US" w:eastAsia="en-US" w:bidi="ar-SA"/>
        </w:rPr>
        <w:t>mere possibility</w:t>
      </w:r>
      <w:r>
        <w:rPr>
          <w:rFonts w:ascii="arial" w:eastAsia="arial" w:hAnsi="arial" w:cs="arial"/>
          <w:color w:val="000000"/>
          <w:sz w:val="20"/>
          <w:lang w:val="en-US" w:eastAsia="en-US" w:bidi="ar-SA"/>
        </w:rPr>
        <w:t xml:space="preserve"> that a claim may fall within the insurance policy. Where it is clear that the claim falls outside of the policy, either because it does not come within the initial grant of coverage or is excluded by an exclusion clause, there will be no duty to defend.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"Bodily Injury" normally includes both physical and </w:t>
      </w:r>
      <w:r>
        <w:rPr>
          <w:rFonts w:ascii="arial" w:eastAsia="arial" w:hAnsi="arial" w:cs="arial"/>
          <w:i/>
          <w:color w:val="000000"/>
          <w:sz w:val="20"/>
          <w:lang w:val="en-US" w:eastAsia="en-US" w:bidi="ar-SA"/>
        </w:rPr>
        <w:t>mental</w:t>
      </w:r>
      <w:r>
        <w:rPr>
          <w:rFonts w:ascii="arial" w:eastAsia="arial" w:hAnsi="arial" w:cs="arial"/>
          <w:color w:val="000000"/>
          <w:sz w:val="20"/>
          <w:lang w:val="en-US" w:eastAsia="en-US" w:bidi="ar-SA"/>
        </w:rPr>
        <w:t xml:space="preserve"> injury, sickness and disease. This includes psychological injuries. In </w:t>
      </w:r>
      <w:r>
        <w:rPr>
          <w:rFonts w:ascii="arial" w:eastAsia="arial" w:hAnsi="arial" w:cs="arial"/>
          <w:i/>
          <w:color w:val="000000"/>
          <w:sz w:val="20"/>
          <w:lang w:val="en-US" w:eastAsia="en-US" w:bidi="ar-SA"/>
        </w:rPr>
        <w:t>Wellington Guarantee v. Evangelical Lutheran Church in Canada</w:t>
      </w:r>
      <w:r>
        <w:rPr>
          <w:rFonts w:ascii="arial" w:eastAsia="arial" w:hAnsi="arial" w:cs="arial"/>
          <w:color w:val="000000"/>
          <w:sz w:val="20"/>
          <w:lang w:val="en-US" w:eastAsia="en-US" w:bidi="ar-SA"/>
        </w:rPr>
        <w:t xml:space="preserve">, </w:t>
      </w:r>
      <w:hyperlink r:id="rId953" w:history="1">
        <w:r>
          <w:rPr>
            <w:rFonts w:ascii="arial" w:eastAsia="arial" w:hAnsi="arial" w:cs="arial"/>
            <w:i/>
            <w:color w:val="0077CC"/>
            <w:sz w:val="20"/>
            <w:u w:val="single"/>
            <w:shd w:val="clear" w:color="auto" w:fill="FFFFFF"/>
            <w:lang w:val="en-US" w:eastAsia="en-US" w:bidi="ar-SA"/>
          </w:rPr>
          <w:t>22 B.C.L.R. (3d) 352</w:t>
        </w:r>
      </w:hyperlink>
      <w:r>
        <w:rPr>
          <w:rFonts w:ascii="arial" w:eastAsia="arial" w:hAnsi="arial" w:cs="arial"/>
          <w:color w:val="000000"/>
          <w:sz w:val="20"/>
          <w:lang w:val="en-US" w:eastAsia="en-US" w:bidi="ar-SA"/>
        </w:rPr>
        <w:t>, the Court of Appeal observed:</w:t>
      </w:r>
      <w:r>
        <w:rPr>
          <w:rFonts w:ascii="arial" w:eastAsia="arial" w:hAnsi="arial" w:cs="arial"/>
          <w:sz w:val="20"/>
          <w:lang w:val="en-US" w:eastAsia="en-US" w:bidi="ar-SA"/>
        </w:rPr>
        <w:cr/>
      </w:r>
    </w:p>
    <w:p>
      <w:pPr>
        <w:numPr>
          <w:numId w:val="9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Following the foregoing analysis of the dictionary meanings of the words "sickness" and "disease", the American authorities and the recent decision in Victoria General Hospital, I conclude that the injuries alleged in the statement of claim in the Underlying Action, that is to say, "nervous shock", "depression", "insomnia", "psychological injury" and "mental stress", are allegations which come within the meaning of "sickness", and possibly come within the meaning of the word "disease" as contained in the Policy. Consequently, they come within the exclusion clause of the Policy and relieve Wellington from the obligation to pay the legal costs and expenses of Evangelical Lutheran incurred in defending the Underlying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Court went on to note:</w:t>
      </w:r>
      <w:r>
        <w:rPr>
          <w:rFonts w:ascii="arial" w:eastAsia="arial" w:hAnsi="arial" w:cs="arial"/>
          <w:sz w:val="20"/>
          <w:lang w:val="en-US" w:eastAsia="en-US" w:bidi="ar-SA"/>
        </w:rPr>
        <w:cr/>
      </w:r>
    </w:p>
    <w:p>
      <w:pPr>
        <w:numPr>
          <w:numId w:val="10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Since the decision in this case turns on </w:t>
      </w:r>
      <w:r>
        <w:rPr>
          <w:rFonts w:ascii="arial" w:eastAsia="arial" w:hAnsi="arial" w:cs="arial"/>
          <w:color w:val="000000"/>
          <w:sz w:val="20"/>
          <w:u w:val="single"/>
          <w:lang w:val="en-US" w:eastAsia="en-US" w:bidi="ar-SA"/>
        </w:rPr>
        <w:t>the way the loss is pleaded</w:t>
      </w:r>
      <w:r>
        <w:rPr>
          <w:rFonts w:ascii="arial" w:eastAsia="arial" w:hAnsi="arial" w:cs="arial"/>
          <w:color w:val="000000"/>
          <w:sz w:val="20"/>
          <w:lang w:val="en-US" w:eastAsia="en-US" w:bidi="ar-SA"/>
        </w:rPr>
        <w:t xml:space="preserve"> and not on proof of the nature and extent of the actual loss sustained, it is clear that the form of pleading is very important in a determination of whether coverage will be granted or denied under this form of personal liability policy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petitioner submits that the wrongdoing alleged in the statement of claim, torture, for example, would have caused "bodily injury" immediately and, to the extent it occurred during the respondent's policy period (2009-2011), would be covered under clause A.1.(b) of the respondent's policy. The petitioner submits that </w:t>
      </w:r>
      <w:r>
        <w:rPr>
          <w:rFonts w:ascii="arial" w:eastAsia="arial" w:hAnsi="arial" w:cs="arial"/>
          <w:color w:val="000000"/>
          <w:sz w:val="20"/>
          <w:u w:val="single"/>
          <w:lang w:val="en-US" w:eastAsia="en-US" w:bidi="ar-SA"/>
        </w:rPr>
        <w:t>it is also likely that some of such injuries continued or resumed after the respondent's policy expired</w:t>
      </w:r>
      <w:r>
        <w:rPr>
          <w:rFonts w:ascii="arial" w:eastAsia="arial" w:hAnsi="arial" w:cs="arial"/>
          <w:color w:val="000000"/>
          <w:sz w:val="20"/>
          <w:lang w:val="en-US" w:eastAsia="en-US" w:bidi="ar-SA"/>
        </w:rPr>
        <w:t>, that is during the time when the petitioner was on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Clause A.1(c) of the respondent's policy, reproduced herein at paragraph 14, is an example of a so-called "Montrose clause", which follows a decision of the California Supreme Court in </w:t>
      </w:r>
      <w:r>
        <w:rPr>
          <w:rFonts w:ascii="arial" w:eastAsia="arial" w:hAnsi="arial" w:cs="arial"/>
          <w:i/>
          <w:color w:val="000000"/>
          <w:sz w:val="20"/>
          <w:lang w:val="en-US" w:eastAsia="en-US" w:bidi="ar-SA"/>
        </w:rPr>
        <w:t>Montrose Chemical Corporation of California v. Admiral Insurance Company</w:t>
      </w:r>
      <w:r>
        <w:rPr>
          <w:rFonts w:ascii="arial" w:eastAsia="arial" w:hAnsi="arial" w:cs="arial"/>
          <w:color w:val="000000"/>
          <w:sz w:val="20"/>
          <w:lang w:val="en-US" w:eastAsia="en-US" w:bidi="ar-SA"/>
        </w:rPr>
        <w:t>, 10 Cal. 4th 645. The intent of such clauses is to extend coverage for damage arising during one insurer's policy period but suffered during the currency of a subsequent policy such that both policies cover the subsequent damage. The respondent does not dispute that that is the effect of its "bodily injury" clause. It simply submits that the plaintiffs in the Nevsun action have not pleaded any bodily injury that was continuous or progressive or which could have continued or resumed beyond the end of its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petitioner submits that this must be incorrect: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Many of the types of injuries allegedly suffered by the Group Members would necessarily have produced continuing long-term effects. The plaintiffs allege that they were tortured, severely punished, and beaten; that they suffered from malnutrition and harsh and dangerous working conditions; were forcibly confined; and were threatened with even more dire punishments should they protest or try to escape. </w:t>
      </w:r>
      <w:r>
        <w:rPr>
          <w:rFonts w:ascii="arial" w:eastAsia="arial" w:hAnsi="arial" w:cs="arial"/>
          <w:color w:val="000000"/>
          <w:sz w:val="20"/>
          <w:u w:val="single"/>
          <w:lang w:val="en-US" w:eastAsia="en-US" w:bidi="ar-SA"/>
        </w:rPr>
        <w:t>It is commonly understood that such harsh treatment and conditions can produce long-term and recurring physical and mental injuries such as soft tissue injuries, headaches, nerve damage, depression, anxiety, post-traumatic stress disorder and emotional trauma</w:t>
      </w:r>
      <w:r>
        <w:rPr>
          <w:rFonts w:ascii="arial" w:eastAsia="arial" w:hAnsi="arial" w:cs="arial"/>
          <w:color w:val="000000"/>
          <w:sz w:val="20"/>
          <w:lang w:val="en-US" w:eastAsia="en-US" w:bidi="ar-SA"/>
        </w:rPr>
        <w:t>.</w:t>
      </w:r>
    </w:p>
    <w:p>
      <w:pPr>
        <w:numPr>
          <w:numId w:val="10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Surely these allegations raise at least a </w:t>
      </w:r>
      <w:r>
        <w:rPr>
          <w:rFonts w:ascii="arial" w:eastAsia="arial" w:hAnsi="arial" w:cs="arial"/>
          <w:color w:val="000000"/>
          <w:sz w:val="20"/>
          <w:u w:val="single"/>
          <w:lang w:val="en-US" w:eastAsia="en-US" w:bidi="ar-SA"/>
        </w:rPr>
        <w:t>mere possibility</w:t>
      </w:r>
      <w:r>
        <w:rPr>
          <w:rFonts w:ascii="arial" w:eastAsia="arial" w:hAnsi="arial" w:cs="arial"/>
          <w:color w:val="000000"/>
          <w:sz w:val="20"/>
          <w:lang w:val="en-US" w:eastAsia="en-US" w:bidi="ar-SA"/>
        </w:rPr>
        <w:t xml:space="preserve"> that some of the Group Members suffered "bodily injury" during the AIG Policies' period that may have continued or resumed after the Policies' expiration. This possibility is sufficient to trigger an obligation on AIG's part under Insuring Agreement A.1.c to contribute to the cost of defending claims for such continuing "bodily injury".</w:t>
      </w:r>
    </w:p>
    <w:p>
      <w:pPr>
        <w:numPr>
          <w:numId w:val="10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the extent that the AIG Policies may provide coverage for "bodily injury" occurring after expiry of the AIG Policies, such coverage would overlap with the coverage provided by the QBE Policies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respondent contends that all the allegations of bodily injury in the claim arise from the use of forced labour and are therefore excluded, under Exclusion 2(b) of Section 1 Coverage A of its policies:</w:t>
      </w:r>
      <w:r>
        <w:rPr>
          <w:rFonts w:ascii="arial" w:eastAsia="arial" w:hAnsi="arial" w:cs="arial"/>
          <w:sz w:val="20"/>
          <w:lang w:val="en-US" w:eastAsia="en-US" w:bidi="ar-SA"/>
        </w:rPr>
        <w:cr/>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EXCLUSIONS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insurance does not apply to: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Personal and Advertising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Bodily injury arising out of personal and advertising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petitioner submits that this is a mischaracterization of the nature of the claims, based on the erroneous assumptions:</w:t>
      </w:r>
      <w:r>
        <w:rPr>
          <w:rFonts w:ascii="arial" w:eastAsia="arial" w:hAnsi="arial" w:cs="arial"/>
          <w:sz w:val="20"/>
          <w:lang w:val="en-US" w:eastAsia="en-US" w:bidi="ar-SA"/>
        </w:rPr>
        <w:cr/>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action only alleges "bodily injury" arising out of forced labour; and</w:t>
      </w:r>
    </w:p>
    <w:p>
      <w:pPr>
        <w:numPr>
          <w:numId w:val="10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"forced labour" is synonymous with "personal and advertising injury" as defined by the respondent's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petitioner submits that paragraphs 4, 53 and 54 of the notice of civil claim advance alternative causes of action outside forced labour:</w:t>
      </w:r>
      <w:r>
        <w:rPr>
          <w:rFonts w:ascii="arial" w:eastAsia="arial" w:hAnsi="arial" w:cs="arial"/>
          <w:sz w:val="20"/>
          <w:lang w:val="en-US" w:eastAsia="en-US" w:bidi="ar-SA"/>
        </w:rPr>
        <w:cr/>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By entering into the commercial relationship with Eritrea, Nevsun facilitated, aided, abetted, contributed to</w:t>
      </w:r>
      <w:r>
        <w:rPr>
          <w:rFonts w:ascii="arial" w:eastAsia="arial" w:hAnsi="arial" w:cs="arial"/>
          <w:color w:val="000000"/>
          <w:sz w:val="20"/>
          <w:lang w:val="en-US" w:eastAsia="en-US" w:bidi="ar-SA"/>
        </w:rPr>
        <w:t xml:space="preserve"> and became an accomplice to the use of </w:t>
      </w:r>
      <w:r>
        <w:rPr>
          <w:rFonts w:ascii="arial" w:eastAsia="arial" w:hAnsi="arial" w:cs="arial"/>
          <w:color w:val="000000"/>
          <w:sz w:val="20"/>
          <w:u w:val="single"/>
          <w:lang w:val="en-US" w:eastAsia="en-US" w:bidi="ar-SA"/>
        </w:rPr>
        <w:t>forced labour, crimes against humanity and other human rights abuses</w:t>
      </w:r>
      <w:r>
        <w:rPr>
          <w:rFonts w:ascii="arial" w:eastAsia="arial" w:hAnsi="arial" w:cs="arial"/>
          <w:color w:val="000000"/>
          <w:sz w:val="20"/>
          <w:lang w:val="en-US" w:eastAsia="en-US" w:bidi="ar-SA"/>
        </w:rPr>
        <w:t xml:space="preserve"> at the Bisha Mine.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seek damages under customary international law, as incorporated into the law Canada, from Nevsun for the use of </w:t>
      </w:r>
      <w:r>
        <w:rPr>
          <w:rFonts w:ascii="arial" w:eastAsia="arial" w:hAnsi="arial" w:cs="arial"/>
          <w:color w:val="000000"/>
          <w:sz w:val="20"/>
          <w:u w:val="single"/>
          <w:lang w:val="en-US" w:eastAsia="en-US" w:bidi="ar-SA"/>
        </w:rPr>
        <w:t>forced labour</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torture</w:t>
      </w:r>
      <w:r>
        <w:rPr>
          <w:rFonts w:ascii="arial" w:eastAsia="arial" w:hAnsi="arial" w:cs="arial"/>
          <w:color w:val="000000"/>
          <w:sz w:val="20"/>
          <w:lang w:val="en-US" w:eastAsia="en-US" w:bidi="ar-SA"/>
        </w:rPr>
        <w:t xml:space="preserve">, slavery, </w:t>
      </w:r>
      <w:r>
        <w:rPr>
          <w:rFonts w:ascii="arial" w:eastAsia="arial" w:hAnsi="arial" w:cs="arial"/>
          <w:color w:val="000000"/>
          <w:sz w:val="20"/>
          <w:u w:val="single"/>
          <w:lang w:val="en-US" w:eastAsia="en-US" w:bidi="ar-SA"/>
        </w:rPr>
        <w:t>cruel, inhuman or degrading treatment and crimes against humanity</w:t>
      </w:r>
      <w:r>
        <w:rPr>
          <w:rFonts w:ascii="arial" w:eastAsia="arial" w:hAnsi="arial" w:cs="arial"/>
          <w:color w:val="000000"/>
          <w:sz w:val="20"/>
          <w:lang w:val="en-US" w:eastAsia="en-US" w:bidi="ar-SA"/>
        </w:rPr>
        <w:t>.</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In addition</w:t>
      </w:r>
      <w:r>
        <w:rPr>
          <w:rFonts w:ascii="arial" w:eastAsia="arial" w:hAnsi="arial" w:cs="arial"/>
          <w:color w:val="000000"/>
          <w:sz w:val="20"/>
          <w:lang w:val="en-US" w:eastAsia="en-US" w:bidi="ar-SA"/>
        </w:rPr>
        <w:t xml:space="preserve">, the plaintiffs seek damages from Nevsun under domestic British Columbia law </w:t>
      </w:r>
      <w:r>
        <w:rPr>
          <w:rFonts w:ascii="arial" w:eastAsia="arial" w:hAnsi="arial" w:cs="arial"/>
          <w:color w:val="000000"/>
          <w:sz w:val="20"/>
          <w:u w:val="single"/>
          <w:lang w:val="en-US" w:eastAsia="en-US" w:bidi="ar-SA"/>
        </w:rPr>
        <w:t>for the torts of</w:t>
      </w:r>
      <w:r>
        <w:rPr>
          <w:rFonts w:ascii="arial" w:eastAsia="arial" w:hAnsi="arial" w:cs="arial"/>
          <w:color w:val="000000"/>
          <w:sz w:val="20"/>
          <w:lang w:val="en-US" w:eastAsia="en-US" w:bidi="ar-SA"/>
        </w:rPr>
        <w:t xml:space="preserve"> conversion, </w:t>
      </w:r>
      <w:r>
        <w:rPr>
          <w:rFonts w:ascii="arial" w:eastAsia="arial" w:hAnsi="arial" w:cs="arial"/>
          <w:color w:val="000000"/>
          <w:sz w:val="20"/>
          <w:u w:val="single"/>
          <w:lang w:val="en-US" w:eastAsia="en-US" w:bidi="ar-SA"/>
        </w:rPr>
        <w:t>battery</w:t>
      </w:r>
      <w:r>
        <w:rPr>
          <w:rFonts w:ascii="arial" w:eastAsia="arial" w:hAnsi="arial" w:cs="arial"/>
          <w:color w:val="000000"/>
          <w:sz w:val="20"/>
          <w:lang w:val="en-US" w:eastAsia="en-US" w:bidi="ar-SA"/>
        </w:rPr>
        <w:t xml:space="preserve">, unlawful confinement, </w:t>
      </w:r>
      <w:r>
        <w:rPr>
          <w:rFonts w:ascii="arial" w:eastAsia="arial" w:hAnsi="arial" w:cs="arial"/>
          <w:color w:val="000000"/>
          <w:sz w:val="20"/>
          <w:u w:val="single"/>
          <w:lang w:val="en-US" w:eastAsia="en-US" w:bidi="ar-SA"/>
        </w:rPr>
        <w:t>negligent infliction of mental distress.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petitioner submits that:</w:t>
      </w:r>
      <w:r>
        <w:rPr>
          <w:rFonts w:ascii="arial" w:eastAsia="arial" w:hAnsi="arial" w:cs="arial"/>
          <w:sz w:val="20"/>
          <w:lang w:val="en-US" w:eastAsia="en-US" w:bidi="ar-SA"/>
        </w:rPr>
        <w:cr/>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respect to breaches of customary international law, the facts could support a claim for torture or cruel, inhuman or degrading treatment, even if the facts do not support a conclusion that the labourers were forced to work against their will. Similarly, the facts could support a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conspiracy, negligent infliction of mental distress, but fail to prove that there was forced labour.</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for bodily injury are not derivative of the claims alleged for forced labour, and the Action alleges facts, which if proven true, could give rise to liability under various theories of liability without giving rise to liability for forced labour or slavery.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claim includes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paragraphs 31-34, 42, 54, 57, 78, 79, 81(d1 and (f) and 91-93 of the notice of civil claim. Paragraphs 31-34 read as follows:</w:t>
      </w:r>
      <w:r>
        <w:rPr>
          <w:rFonts w:ascii="arial" w:eastAsia="arial" w:hAnsi="arial" w:cs="arial"/>
          <w:sz w:val="20"/>
          <w:lang w:val="en-US" w:eastAsia="en-US" w:bidi="ar-SA"/>
        </w:rPr>
        <w:cr/>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Nevsun, through its executives, managers, and Board of Directors, develops, monitors and implements policies governing human resources and working conditions at the Bisha mine.</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Nevsun's stated policy is that it is unequivocally committed to responsible operations and practices at the Bisha mine, based on international standards of safety, governance, and human rights.</w:t>
      </w:r>
    </w:p>
    <w:p>
      <w:pPr>
        <w:numPr>
          <w:numId w:val="1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Nevsun's Board of Directors has stated that it "has the responsibility to oversee the conduct of our business and to supervise the management of our business ... The Board is accountable to and considers the legitimate interests of our shareholders and other stakeholders such as government authorities, employees, contractors, customers, communities and the public."</w:t>
      </w:r>
    </w:p>
    <w:p>
      <w:pPr>
        <w:numPr>
          <w:numId w:val="1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Nevsun has adopted the 2006 International Finance Corporation (IFC) standards on social and environmental performance. These standards require the company to:</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an integrated assessment to identify the social impacts, risks and opportunities of the Bisha mine, including labour and safety risks;</w:t>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identify social impacts, both positive and negative, in the mine's area of influence including the primary site and those of contractors employed by the company;</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avoid, or where avoidance is not possible, minimize, mitigate or compensate for adverse impacts on workers and affected communities;</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design and implement a management plan to manage social impacts and risks identified in the assessment;</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monitor performance of the management plan;</w:t>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retain outside experts where required to verify its monitoring activities;</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promote the fair treatment, non-discrimination and equal opportunity of workers;</w:t>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protect workers by addressing forced labour risks;</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promote safe and healthy working conditions;</w:t>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use commercially reasonable efforts to protect workers of contractors;</w:t>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use commercially reasonable efforts to ensure that contractors are reputable and legitimate enterprises; and</w:t>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use commercially reasonable efforts to require contractors to abide by the IFC standards including the prohibition on forced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Paragraph 54 reads:</w:t>
      </w:r>
      <w:r>
        <w:rPr>
          <w:rFonts w:ascii="arial" w:eastAsia="arial" w:hAnsi="arial" w:cs="arial"/>
          <w:sz w:val="20"/>
          <w:lang w:val="en-US" w:eastAsia="en-US" w:bidi="ar-SA"/>
        </w:rPr>
        <w:cr/>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addition, the plaintiffs seek damages from Nevsun under domestic British Columbia law for the torts of conversion, battery, unlawful, confinement,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conspiracy and negligent infliction of mental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Paragraph 57 reads:</w:t>
      </w:r>
      <w:r>
        <w:rPr>
          <w:rFonts w:ascii="arial" w:eastAsia="arial" w:hAnsi="arial" w:cs="arial"/>
          <w:sz w:val="20"/>
          <w:lang w:val="en-US" w:eastAsia="en-US" w:bidi="ar-SA"/>
        </w:rPr>
        <w:cr/>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Nevsun's conduct, the plaintiffs and other Forced Labourers have suffered loss of dignity and liberty as well as severe physical and mental pain and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Paragraphs 78 and 79 read:</w:t>
      </w:r>
      <w:r>
        <w:rPr>
          <w:rFonts w:ascii="arial" w:eastAsia="arial" w:hAnsi="arial" w:cs="arial"/>
          <w:sz w:val="20"/>
          <w:lang w:val="en-US" w:eastAsia="en-US" w:bidi="ar-SA"/>
        </w:rPr>
        <w:cr/>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Nevsun controlled operations at the Bisha mine and exercised complete control over the actions of BMSC.</w:t>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BMSC acted as agent of Nevsun in its dealings with Segen, Mereb, and the Eritrean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Paragraphs 81(d) and (f) read:</w:t>
      </w:r>
      <w:r>
        <w:rPr>
          <w:rFonts w:ascii="arial" w:eastAsia="arial" w:hAnsi="arial" w:cs="arial"/>
          <w:sz w:val="20"/>
          <w:lang w:val="en-US" w:eastAsia="en-US" w:bidi="ar-SA"/>
        </w:rPr>
        <w:cr/>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Particulars of their conduct presently known to the plaintiffs include:</w:t>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subjecting the plaintiffs and other Group Members to harsh working and living conditions;</w:t>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physically assaulting and torturing Group Members who were deemed to be disobedient.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Paragraphs 91-93 read:</w:t>
      </w:r>
      <w:r>
        <w:rPr>
          <w:rFonts w:ascii="arial" w:eastAsia="arial" w:hAnsi="arial" w:cs="arial"/>
          <w:sz w:val="20"/>
          <w:lang w:val="en-US" w:eastAsia="en-US" w:bidi="ar-SA"/>
        </w:rPr>
        <w:cr/>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Nevsun owed a duty of care to the plaintiffs. The duty of care is founded on the material facts stated above and the following:</w:t>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Board of Directors and senior management in Canada are responsible for the development and implementation of Nevsun's corporate responsibility policies;</w:t>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Board of Directors and senior management in Canada were responsible for all important decisions regarding the development of the Bisha mine including the selection of contractors;</w:t>
      </w:r>
    </w:p>
    <w:p>
      <w:pPr>
        <w:numPr>
          <w:numId w:val="1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Nevsun knew that development of the Bisha mine had the potential to adversely impact local Eritreans;</w:t>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Nevsun knew that labourers "employed" by its contractors were within the sphere of activity impacted by Nevsun's development of the Bisha mine;</w:t>
      </w:r>
    </w:p>
    <w:p>
      <w:pPr>
        <w:numPr>
          <w:numId w:val="1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Nevsun has made public representations regarding its commitment to minimize adverse impacts on members of the local community in Eritrea;</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Nevsun has made public representations regarding its commitment to prevent the use of forced labour at the Bisha mine;</w:t>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Nevsun knew that, by engaging in a commercial enterprise with a rogue state such as Eritrea, there was a high risk of harm to the local community unless Nevsun strictly adhere to internationally accepted standards of corporate responsibility, including the IFC Principles.</w:t>
      </w:r>
    </w:p>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foreseeable that if Nevsun failed to properly select, train, audit, and supervise the conduct of its contractors, harm would result to the plaintiffs and the other Group Members.</w:t>
      </w:r>
    </w:p>
    <w:p>
      <w:pPr>
        <w:numPr>
          <w:numId w:val="1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Nevsun breached the standard of care required of it. Particulars of Nevsun's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include:</w:t>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adhere to any standards of corporate social responsibility including the IFC Principles;</w:t>
      </w:r>
    </w:p>
    <w:p>
      <w:pPr>
        <w:numPr>
          <w:numId w:val="1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conduct any, or adequate, due diligence on the risks of adverse impacts on the local community prior to beginning construction on the Bisha mine;</w:t>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conduct any, or adequate, due diligence in the selection of Segen, Mereb, and the Eritrean military as contractors for the Bisha mine;</w:t>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implement any, or adequate, safeguards against the use of forced labour at the Bisha mine;</w:t>
      </w:r>
    </w:p>
    <w:p>
      <w:pPr>
        <w:numPr>
          <w:numId w:val="1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engaging Segen, Mereb and the Eritrean military as contractors when Nevsun knew or should have known those companies had been credibly implicated in the use of forced labour;</w:t>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include an enforceable provision in its contract with Segen, Mereb and the Eritrean military explicitly prohibiting the use of forced labour;</w:t>
      </w:r>
    </w:p>
    <w:p>
      <w:pPr>
        <w:numPr>
          <w:numId w:val="1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adequately investigate and respond to reports of the use of forced labour at the Bisha mine when Nevsun was first made aware of the use of forced labour;</w:t>
      </w:r>
    </w:p>
    <w:p>
      <w:pPr>
        <w:numPr>
          <w:numId w:val="1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proceeding with project development without first securing the right to freely and independently access local contractor personnel and facilities;</w:t>
      </w:r>
    </w:p>
    <w:p>
      <w:pPr>
        <w:numPr>
          <w:numId w:val="1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proceeding with project development without first securing the agreement of the Eritrean government to allow termination of any contractor that was credibly implicated in human rights abuses, including the use of forced labour; and</w:t>
      </w:r>
    </w:p>
    <w:p>
      <w:pPr>
        <w:numPr>
          <w:numId w:val="1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develop robust grievance and whistleblower mechanisms that allow all project employees to report allegations of forced labour and other abuses without fear of retribution.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petitioner submits that the alleged breaches of the standard of care do not all arise out of forced labour, but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relates to </w:t>
      </w:r>
      <w:r>
        <w:rPr>
          <w:rFonts w:ascii="arial" w:eastAsia="arial" w:hAnsi="arial" w:cs="arial"/>
          <w:i/>
          <w:color w:val="000000"/>
          <w:sz w:val="20"/>
          <w:lang w:val="en-US" w:eastAsia="en-US" w:bidi="ar-SA"/>
        </w:rPr>
        <w:t>other</w:t>
      </w:r>
      <w:r>
        <w:rPr>
          <w:rFonts w:ascii="arial" w:eastAsia="arial" w:hAnsi="arial" w:cs="arial"/>
          <w:color w:val="000000"/>
          <w:sz w:val="20"/>
          <w:lang w:val="en-US" w:eastAsia="en-US" w:bidi="ar-SA"/>
        </w:rPr>
        <w:t xml:space="preserve"> human rights abuses. For example it submits that </w:t>
      </w:r>
      <w:r>
        <w:rPr>
          <w:rFonts w:ascii="arial" w:eastAsia="arial" w:hAnsi="arial" w:cs="arial"/>
          <w:color w:val="000000"/>
          <w:sz w:val="20"/>
          <w:u w:val="single"/>
          <w:lang w:val="en-US" w:eastAsia="en-US" w:bidi="ar-SA"/>
        </w:rPr>
        <w:t>if</w:t>
      </w:r>
      <w:r>
        <w:rPr>
          <w:rFonts w:ascii="arial" w:eastAsia="arial" w:hAnsi="arial" w:cs="arial"/>
          <w:color w:val="000000"/>
          <w:sz w:val="20"/>
          <w:lang w:val="en-US" w:eastAsia="en-US" w:bidi="ar-SA"/>
        </w:rPr>
        <w:t xml:space="preserve"> workers were beaten or tortured the plaintiffs could prove a battery occurred even </w:t>
      </w:r>
      <w:r>
        <w:rPr>
          <w:rFonts w:ascii="arial" w:eastAsia="arial" w:hAnsi="arial" w:cs="arial"/>
          <w:color w:val="000000"/>
          <w:sz w:val="20"/>
          <w:u w:val="single"/>
          <w:lang w:val="en-US" w:eastAsia="en-US" w:bidi="ar-SA"/>
        </w:rPr>
        <w:t>if</w:t>
      </w:r>
      <w:r>
        <w:rPr>
          <w:rFonts w:ascii="arial" w:eastAsia="arial" w:hAnsi="arial" w:cs="arial"/>
          <w:color w:val="000000"/>
          <w:sz w:val="20"/>
          <w:lang w:val="en-US" w:eastAsia="en-US" w:bidi="ar-SA"/>
        </w:rPr>
        <w:t xml:space="preserve"> the evidence establishes that the beaten workers were voluntarily employed. A court might find vicarious liability for beatings committed by other agents even </w:t>
      </w:r>
      <w:r>
        <w:rPr>
          <w:rFonts w:ascii="arial" w:eastAsia="arial" w:hAnsi="arial" w:cs="arial"/>
          <w:color w:val="000000"/>
          <w:sz w:val="20"/>
          <w:u w:val="single"/>
          <w:lang w:val="en-US" w:eastAsia="en-US" w:bidi="ar-SA"/>
        </w:rPr>
        <w:t>if</w:t>
      </w:r>
      <w:r>
        <w:rPr>
          <w:rFonts w:ascii="arial" w:eastAsia="arial" w:hAnsi="arial" w:cs="arial"/>
          <w:color w:val="000000"/>
          <w:sz w:val="20"/>
          <w:lang w:val="en-US" w:eastAsia="en-US" w:bidi="ar-SA"/>
        </w:rPr>
        <w:t xml:space="preserve"> the plaintiffs fail to prove that they were forced labour. This is to say that the allegations of "bodily harm" may not all arise out of forced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petitioner submits that not all forced labour constitutes "false arrest, detention or imprisonment".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parties agree that the elements of false imprisonment are:</w:t>
      </w:r>
      <w:r>
        <w:rPr>
          <w:rFonts w:ascii="arial" w:eastAsia="arial" w:hAnsi="arial" w:cs="arial"/>
          <w:sz w:val="20"/>
          <w:lang w:val="en-US" w:eastAsia="en-US" w:bidi="ar-SA"/>
        </w:rPr>
        <w:cr/>
      </w:r>
    </w:p>
    <w:p>
      <w:pPr>
        <w:numPr>
          <w:numId w:val="1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total deprivation of liberty;</w:t>
      </w:r>
    </w:p>
    <w:p>
      <w:pPr>
        <w:numPr>
          <w:numId w:val="1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deprivation is against the subject's will;</w:t>
      </w:r>
    </w:p>
    <w:p>
      <w:pPr>
        <w:numPr>
          <w:numId w:val="1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deprivation is caused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petitioner submits, however, that the onus would then shift to the defendant Nevsun to establish that the arrest, detention, or imprisonment was based on lawful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petitioner submits that the respondent's policy refers to false arrest, detention or imprisonment as "offences", meaning intentional torts. The petitioner submits that to the extent the workers were conscripts of the Eritrean military it might be argued that their labour was permitted by the laws of Eritrea.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petitioner submits that, put in other terms, for the "bodily injury" alleged in the notice of civil claim to arise within "personal or advertising injury" as defined in the respondent's policies, and thereby to be excluded from coverage pursuant to exclusion 2(b), two criteria must be established:</w:t>
      </w:r>
      <w:r>
        <w:rPr>
          <w:rFonts w:ascii="arial" w:eastAsia="arial" w:hAnsi="arial" w:cs="arial"/>
          <w:sz w:val="20"/>
          <w:lang w:val="en-US" w:eastAsia="en-US" w:bidi="ar-SA"/>
        </w:rPr>
        <w:cr/>
      </w:r>
    </w:p>
    <w:p>
      <w:pPr>
        <w:numPr>
          <w:numId w:val="1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"bodily injury" arises out of forced labour; and</w:t>
      </w:r>
    </w:p>
    <w:p>
      <w:pPr>
        <w:numPr>
          <w:numId w:val="1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was no legal justification for such forced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respondent submits that forced labour is defined in international legal terms in C029 - </w:t>
      </w:r>
      <w:r>
        <w:rPr>
          <w:rFonts w:ascii="arial" w:eastAsia="arial" w:hAnsi="arial" w:cs="arial"/>
          <w:i/>
          <w:color w:val="000000"/>
          <w:sz w:val="20"/>
          <w:lang w:val="en-US" w:eastAsia="en-US" w:bidi="ar-SA"/>
        </w:rPr>
        <w:t>Forced Labour Convention 1930</w:t>
      </w:r>
      <w:r>
        <w:rPr>
          <w:rFonts w:ascii="arial" w:eastAsia="arial" w:hAnsi="arial" w:cs="arial"/>
          <w:color w:val="000000"/>
          <w:sz w:val="20"/>
          <w:lang w:val="en-US" w:eastAsia="en-US" w:bidi="ar-SA"/>
        </w:rPr>
        <w:t xml:space="preserve"> (No. 29) to be service which is extracted from any person under the menace of any penalty and for which the person has not offered himself voluntarily. It includes two elements:</w:t>
      </w:r>
      <w:r>
        <w:rPr>
          <w:rFonts w:ascii="arial" w:eastAsia="arial" w:hAnsi="arial" w:cs="arial"/>
          <w:sz w:val="20"/>
          <w:lang w:val="en-US" w:eastAsia="en-US" w:bidi="ar-SA"/>
        </w:rPr>
        <w:cr/>
      </w:r>
    </w:p>
    <w:p>
      <w:pPr>
        <w:numPr>
          <w:numId w:val="1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threat of penalty which may include the use of violence, physical obligations or even death threats or psychological abuse; and</w:t>
      </w:r>
    </w:p>
    <w:p>
      <w:pPr>
        <w:numPr>
          <w:numId w:val="1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worker's service is undertaken involuntarily.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respondent submits that the plaintiffs allege that their bodily harm has arisen in the context of "forced labour", which includes the elements of false arrest and imprisonment, which are insured under section 1B of its policy. It does not extend to coverage for bodily injury or consequential bodily injury which occurs, changes or recurs after the termination of the AIG policy, in contrast to the coverage under section 1A. The plaintiffs' case is not cast in the alternative to encompass a finding that the "forced labour" alleged was undertaken on "lawful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question of whether coverage arises requires an assessment of the pleadings. In </w:t>
      </w:r>
      <w:r>
        <w:rPr>
          <w:rFonts w:ascii="arial" w:eastAsia="arial" w:hAnsi="arial" w:cs="arial"/>
          <w:i/>
          <w:color w:val="000000"/>
          <w:sz w:val="20"/>
          <w:lang w:val="en-US" w:eastAsia="en-US" w:bidi="ar-SA"/>
        </w:rPr>
        <w:t>Monenco Ltd. v. Commonwealth Insurance Co.</w:t>
      </w:r>
      <w:r>
        <w:rPr>
          <w:rFonts w:ascii="arial" w:eastAsia="arial" w:hAnsi="arial" w:cs="arial"/>
          <w:color w:val="000000"/>
          <w:sz w:val="20"/>
          <w:lang w:val="en-US" w:eastAsia="en-US" w:bidi="ar-SA"/>
        </w:rPr>
        <w:t xml:space="preserve">, </w:t>
      </w:r>
      <w:hyperlink r:id="rId954" w:history="1">
        <w:r>
          <w:rPr>
            <w:rFonts w:ascii="arial" w:eastAsia="arial" w:hAnsi="arial" w:cs="arial"/>
            <w:i/>
            <w:color w:val="0077CC"/>
            <w:sz w:val="20"/>
            <w:u w:val="single"/>
            <w:shd w:val="clear" w:color="auto" w:fill="FFFFFF"/>
            <w:lang w:val="en-US" w:eastAsia="en-US" w:bidi="ar-SA"/>
          </w:rPr>
          <w:t>2001 SCC 49</w:t>
        </w:r>
      </w:hyperlink>
      <w:r>
        <w:rPr>
          <w:rFonts w:ascii="arial" w:eastAsia="arial" w:hAnsi="arial" w:cs="arial"/>
          <w:color w:val="000000"/>
          <w:sz w:val="20"/>
          <w:lang w:val="en-US" w:eastAsia="en-US" w:bidi="ar-SA"/>
        </w:rPr>
        <w:t>, the Supreme Court of Canada at para. 35, court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proper basis for determining whether a duty to defend exists in any given situation requires an assessment of the pleadings to ascertain the "substance" and "true nature" of the claims. More specifically, the factual allegations set out therein must be considered in their entirety to determine whether they could possibly support the plaintiff's legal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That case, however, went on to approve the practice of considering extrinsic evidence (there, an agreement referred to in the statement of claim) to ascertain the "substance" or "true nature" of 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its reply to the respondent's submission the petitioner concurs with the general principle. It observes that these issues are determined from a review of the claims </w:t>
      </w:r>
      <w:r>
        <w:rPr>
          <w:rFonts w:ascii="arial" w:eastAsia="arial" w:hAnsi="arial" w:cs="arial"/>
          <w:color w:val="000000"/>
          <w:sz w:val="20"/>
          <w:u w:val="single"/>
          <w:lang w:val="en-US" w:eastAsia="en-US" w:bidi="ar-SA"/>
        </w:rPr>
        <w:t>as pleaded</w:t>
      </w:r>
      <w:r>
        <w:rPr>
          <w:rFonts w:ascii="arial" w:eastAsia="arial" w:hAnsi="arial" w:cs="arial"/>
          <w:color w:val="000000"/>
          <w:sz w:val="20"/>
          <w:lang w:val="en-US" w:eastAsia="en-US" w:bidi="ar-SA"/>
        </w:rPr>
        <w:t>, without regard 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respondent submits that the proper approach is found in </w:t>
      </w:r>
      <w:r>
        <w:rPr>
          <w:rFonts w:ascii="arial" w:eastAsia="arial" w:hAnsi="arial" w:cs="arial"/>
          <w:i/>
          <w:color w:val="000000"/>
          <w:sz w:val="20"/>
          <w:lang w:val="en-US" w:eastAsia="en-US" w:bidi="ar-SA"/>
        </w:rPr>
        <w:t>Unger (Litigation Guardian of) v. Unger</w:t>
      </w:r>
      <w:r>
        <w:rPr>
          <w:rFonts w:ascii="arial" w:eastAsia="arial" w:hAnsi="arial" w:cs="arial"/>
          <w:color w:val="000000"/>
          <w:sz w:val="20"/>
          <w:lang w:val="en-US" w:eastAsia="en-US" w:bidi="ar-SA"/>
        </w:rPr>
        <w:t xml:space="preserve">, </w:t>
      </w:r>
      <w:hyperlink r:id="rId955" w:history="1">
        <w:r>
          <w:rPr>
            <w:rFonts w:ascii="arial" w:eastAsia="arial" w:hAnsi="arial" w:cs="arial"/>
            <w:i/>
            <w:color w:val="0077CC"/>
            <w:sz w:val="20"/>
            <w:u w:val="single"/>
            <w:shd w:val="clear" w:color="auto" w:fill="FFFFFF"/>
            <w:lang w:val="en-US" w:eastAsia="en-US" w:bidi="ar-SA"/>
          </w:rPr>
          <w:t>(2003) 68 O.R. (3d) 257</w:t>
        </w:r>
      </w:hyperlink>
      <w:r>
        <w:rPr>
          <w:rFonts w:ascii="arial" w:eastAsia="arial" w:hAnsi="arial" w:cs="arial"/>
          <w:color w:val="000000"/>
          <w:sz w:val="20"/>
          <w:lang w:val="en-US" w:eastAsia="en-US" w:bidi="ar-SA"/>
        </w:rPr>
        <w:t xml:space="preserve"> (Ont. C.A.). There, a defendant had two insurance policies, an auto insurance policy and a policy of general insurance. The parties were involved in a motor vehicle collision. The general insurance policy had an exclusion for damages arising out of the "use or operation" of a motor vehicle. The plaintiff made claims that included "negligent business practices" including the training and supervision of the defendant driver. The court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The remaining allegations in para. 37 allege that Matthews was negligent in the way he hired, trained and supervised his employee Mr. Riccia. They also content that Matthews was negligent in entrusting the vehicle to Riccia. These allegations are not discrete causes of action in the sense identified in Derksen. Were the Ungers to establish any of these allegations, but fail to establish that the vehicle was used or operated in a negligent manner at the time of the accident, they would not succeed in their claim. While allegations of negligent training supervision and entrustment may well be germane to whether Matthews and/or his employee were negligent in the ownership, use or operation of the motor vehicle, they do not provide a stand-alone ground for recovery by the Ungers.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gravamen of negligent supervision is that one party (the supervisor) acted unreasonably in allowing another party (the supervisee) over whom he or she had a duty to control to commit some wrong against a third party. The supervisee's conduct which ultimately results in injuries cannot be viewed as [page269] an intervening act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Indeed,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supervisor, is by definition, derivation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supervisee.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court found that all of the claims were based on use, operation and ownership of an automobile and that therefore the General Insurer was under no obligation to defend.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Similarly in </w:t>
      </w:r>
      <w:r>
        <w:rPr>
          <w:rFonts w:ascii="arial" w:eastAsia="arial" w:hAnsi="arial" w:cs="arial"/>
          <w:i/>
          <w:color w:val="000000"/>
          <w:sz w:val="20"/>
          <w:lang w:val="en-US" w:eastAsia="en-US" w:bidi="ar-SA"/>
        </w:rPr>
        <w:t>Aviva Insurance Co. of Canada v. Pizza Pizza Ltd.</w:t>
      </w:r>
      <w:r>
        <w:rPr>
          <w:rFonts w:ascii="arial" w:eastAsia="arial" w:hAnsi="arial" w:cs="arial"/>
          <w:color w:val="000000"/>
          <w:sz w:val="20"/>
          <w:lang w:val="en-US" w:eastAsia="en-US" w:bidi="ar-SA"/>
        </w:rPr>
        <w:t xml:space="preserve">, </w:t>
      </w:r>
      <w:hyperlink r:id="rId956" w:history="1">
        <w:r>
          <w:rPr>
            <w:rFonts w:ascii="arial" w:eastAsia="arial" w:hAnsi="arial" w:cs="arial"/>
            <w:i/>
            <w:color w:val="0077CC"/>
            <w:sz w:val="20"/>
            <w:u w:val="single"/>
            <w:shd w:val="clear" w:color="auto" w:fill="FFFFFF"/>
            <w:lang w:val="en-US" w:eastAsia="en-US" w:bidi="ar-SA"/>
          </w:rPr>
          <w:t>2008 ONCA 535</w:t>
        </w:r>
      </w:hyperlink>
      <w:r>
        <w:rPr>
          <w:rFonts w:ascii="arial" w:eastAsia="arial" w:hAnsi="arial" w:cs="arial"/>
          <w:color w:val="000000"/>
          <w:sz w:val="20"/>
          <w:lang w:val="en-US" w:eastAsia="en-US" w:bidi="ar-SA"/>
        </w:rPr>
        <w:t>, the court found, in another case of an employee operated motor vehicle and allegations respecting recruiting and training of the driver, that an insurer's exclusion of claims arising out of use of an automobile precluded a duty to defend. The court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 The proper basis for determining whether a duty to defend exists in any given situation requires an assessment of the pleadings to ascertain the substance and true nature of the claims: see </w:t>
      </w:r>
      <w:r>
        <w:rPr>
          <w:rFonts w:ascii="arial" w:eastAsia="arial" w:hAnsi="arial" w:cs="arial"/>
          <w:i/>
          <w:color w:val="000000"/>
          <w:sz w:val="20"/>
          <w:lang w:val="en-US" w:eastAsia="en-US" w:bidi="ar-SA"/>
        </w:rPr>
        <w:t>Monenco v. Commonwealth Insurance Co.</w:t>
      </w:r>
      <w:r>
        <w:rPr>
          <w:rFonts w:ascii="arial" w:eastAsia="arial" w:hAnsi="arial" w:cs="arial"/>
          <w:color w:val="000000"/>
          <w:sz w:val="20"/>
          <w:lang w:val="en-US" w:eastAsia="en-US" w:bidi="ar-SA"/>
        </w:rPr>
        <w:t xml:space="preserve">, </w:t>
      </w:r>
      <w:hyperlink r:id="rId954" w:history="1">
        <w:r>
          <w:rPr>
            <w:rFonts w:ascii="arial" w:eastAsia="arial" w:hAnsi="arial" w:cs="arial"/>
            <w:i/>
            <w:color w:val="0077CC"/>
            <w:sz w:val="20"/>
            <w:u w:val="single"/>
            <w:shd w:val="clear" w:color="auto" w:fill="FFFFFF"/>
            <w:lang w:val="en-US" w:eastAsia="en-US" w:bidi="ar-SA"/>
          </w:rPr>
          <w:t>[2001] 2 S.C.R. 699</w:t>
        </w:r>
      </w:hyperlink>
      <w:r>
        <w:rPr>
          <w:rFonts w:ascii="arial" w:eastAsia="arial" w:hAnsi="arial" w:cs="arial"/>
          <w:color w:val="000000"/>
          <w:sz w:val="20"/>
          <w:lang w:val="en-US" w:eastAsia="en-US" w:bidi="ar-SA"/>
        </w:rPr>
        <w:t xml:space="preserve"> at para. 35. Similarly, in </w:t>
      </w:r>
      <w:r>
        <w:rPr>
          <w:rFonts w:ascii="arial" w:eastAsia="arial" w:hAnsi="arial" w:cs="arial"/>
          <w:i/>
          <w:color w:val="000000"/>
          <w:sz w:val="20"/>
          <w:lang w:val="en-US" w:eastAsia="en-US" w:bidi="ar-SA"/>
        </w:rPr>
        <w:t>Non-marine Underwriters, Lloyd's of London v. Scalera</w:t>
      </w:r>
      <w:r>
        <w:rPr>
          <w:rFonts w:ascii="arial" w:eastAsia="arial" w:hAnsi="arial" w:cs="arial"/>
          <w:color w:val="000000"/>
          <w:sz w:val="20"/>
          <w:lang w:val="en-US" w:eastAsia="en-US" w:bidi="ar-SA"/>
        </w:rPr>
        <w:t xml:space="preserve">, </w:t>
      </w:r>
      <w:hyperlink r:id="rId957" w:history="1">
        <w:r>
          <w:rPr>
            <w:rFonts w:ascii="arial" w:eastAsia="arial" w:hAnsi="arial" w:cs="arial"/>
            <w:i/>
            <w:color w:val="0077CC"/>
            <w:sz w:val="20"/>
            <w:u w:val="single"/>
            <w:shd w:val="clear" w:color="auto" w:fill="FFFFFF"/>
            <w:lang w:val="en-US" w:eastAsia="en-US" w:bidi="ar-SA"/>
          </w:rPr>
          <w:t>[2000] 1 S.C.R. 551</w:t>
        </w:r>
      </w:hyperlink>
      <w:r>
        <w:rPr>
          <w:rFonts w:ascii="arial" w:eastAsia="arial" w:hAnsi="arial" w:cs="arial"/>
          <w:color w:val="000000"/>
          <w:sz w:val="20"/>
          <w:lang w:val="en-US" w:eastAsia="en-US" w:bidi="ar-SA"/>
        </w:rPr>
        <w:t xml:space="preserve"> at para. 50, the court stated that in a duty to defend analysis, "a court must look beyond the choice of labels, and examine the substance of the allegations contained in the pleadings".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Applying this test, in our view the alleged 'non-automobile' claims in the underlying action are in fact caught by the exclusion in Aviva's policy. The precipitating and most important cause of the plaintiff's injuries was the delivery driver's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Pizza Pizza in its corporate policies. The "30 minutes or free" policy exists and is not actionable by the world at large unless there is negligent driving by a delivery driver causing personal injury or property damage. In other words, the alleged non-automobile claims are derived from, not independent of, the automobile claim. As expressed by Doherty J.A. in a case very similar to this appeal, </w:t>
      </w:r>
      <w:r>
        <w:rPr>
          <w:rFonts w:ascii="arial" w:eastAsia="arial" w:hAnsi="arial" w:cs="arial"/>
          <w:i/>
          <w:color w:val="000000"/>
          <w:sz w:val="20"/>
          <w:lang w:val="en-US" w:eastAsia="en-US" w:bidi="ar-SA"/>
        </w:rPr>
        <w:t>Unger v. Unger</w:t>
      </w:r>
      <w:r>
        <w:rPr>
          <w:rFonts w:ascii="arial" w:eastAsia="arial" w:hAnsi="arial" w:cs="arial"/>
          <w:color w:val="000000"/>
          <w:sz w:val="20"/>
          <w:lang w:val="en-US" w:eastAsia="en-US" w:bidi="ar-SA"/>
        </w:rPr>
        <w:t xml:space="preserve"> </w:t>
      </w:r>
      <w:hyperlink r:id="rId955" w:history="1">
        <w:r>
          <w:rPr>
            <w:rFonts w:ascii="arial" w:eastAsia="arial" w:hAnsi="arial" w:cs="arial"/>
            <w:i/>
            <w:color w:val="0077CC"/>
            <w:sz w:val="20"/>
            <w:u w:val="single"/>
            <w:shd w:val="clear" w:color="auto" w:fill="FFFFFF"/>
            <w:lang w:val="en-US" w:eastAsia="en-US" w:bidi="ar-SA"/>
          </w:rPr>
          <w:t>(2003), 68 O.R. (3d) 257</w:t>
        </w:r>
      </w:hyperlink>
      <w:r>
        <w:rPr>
          <w:rFonts w:ascii="arial" w:eastAsia="arial" w:hAnsi="arial" w:cs="arial"/>
          <w:color w:val="000000"/>
          <w:sz w:val="20"/>
          <w:lang w:val="en-US" w:eastAsia="en-US" w:bidi="ar-SA"/>
        </w:rPr>
        <w:t xml:space="preserve"> at para. 20: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mere description of some of the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'negligent business practices' does not create a separate and discrete cause of action. Those allegations could assist the Ungers in establishing their claim only to the extent that they helped them demonstrate that the vehicle was being used or operated in a negligent fashion when the accident in which the Ungers were injured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respondent submits that these authorities are similar to the present case where all of the plaintiff's allegations are of harm arising out of "forced labour" (false imprisonment or detention) and that all of the various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similarly derivative.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reply, the petitioner submits that a more instructive case in </w:t>
      </w:r>
      <w:r>
        <w:rPr>
          <w:rFonts w:ascii="arial" w:eastAsia="arial" w:hAnsi="arial" w:cs="arial"/>
          <w:i/>
          <w:color w:val="000000"/>
          <w:sz w:val="20"/>
          <w:lang w:val="en-US" w:eastAsia="en-US" w:bidi="ar-SA"/>
        </w:rPr>
        <w:t>Unrau v. Canadian Northern Shield Insurance Co.</w:t>
      </w:r>
      <w:r>
        <w:rPr>
          <w:rFonts w:ascii="arial" w:eastAsia="arial" w:hAnsi="arial" w:cs="arial"/>
          <w:color w:val="000000"/>
          <w:sz w:val="20"/>
          <w:lang w:val="en-US" w:eastAsia="en-US" w:bidi="ar-SA"/>
        </w:rPr>
        <w:t xml:space="preserve">, </w:t>
      </w:r>
      <w:hyperlink r:id="rId958" w:history="1">
        <w:r>
          <w:rPr>
            <w:rFonts w:ascii="arial" w:eastAsia="arial" w:hAnsi="arial" w:cs="arial"/>
            <w:i/>
            <w:color w:val="0077CC"/>
            <w:sz w:val="20"/>
            <w:u w:val="single"/>
            <w:shd w:val="clear" w:color="auto" w:fill="FFFFFF"/>
            <w:lang w:val="en-US" w:eastAsia="en-US" w:bidi="ar-SA"/>
          </w:rPr>
          <w:t>2004 BCCA 585</w:t>
        </w:r>
      </w:hyperlink>
      <w:r>
        <w:rPr>
          <w:rFonts w:ascii="arial" w:eastAsia="arial" w:hAnsi="arial" w:cs="arial"/>
          <w:color w:val="000000"/>
          <w:sz w:val="20"/>
          <w:lang w:val="en-US" w:eastAsia="en-US" w:bidi="ar-SA"/>
        </w:rPr>
        <w:t>. There, the Court, per Thackray J.A., applied a formulation of duty urged by counsel for the insurer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In his oral submission, Mr. Hilliker, counsel for Canadian Northern Shield, worded it another way: "The question for this Court is whether, if you take away the intentional tort, is there any basis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If the answer is 'yes', then there is a duty to defend."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Court went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I have read the pleadings, as urged, with a "generous and wide approach." However, I am of the opinion that the question posed by counsel for Canadian Northern Shield: "If you take away the intentional tort, is there any basis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should be answered in the negative. I am of the opinion that the claims are of intentional and potentially criminal acts. A plain reading of the allegations as framed in both the statement of claim and the third party notice does not lead to a conclusion that the claims sound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even though the allegations are labelled as such.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petitioner submits that in the present action the claim includes stand-alone causes of action against Nevsun including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negligent infliction of emotional distress and vicarious liability for battery which may be established regardless of whether the group was forced to work at the mine. The petitioner submits that removal of the allegation of "forced labour" leaves various causes of action for "bodily injury".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pleadings against Nevsun are extensive. On a plain reading they are brought by and on behalf of persons who are all identified as "forced labourers". The group include workers who were originally volunteers but who were allegedly subsequently confined and forced to work at the mine. On the face of the pleadings the allegations of damage due to abuse and mistreatment, up to and including torture, are not described as ongoing.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With respect to the question of whether the claims might include "bodily injury" as opposed to "personal injury" I see no distinction in principle between this case and </w:t>
      </w:r>
      <w:r>
        <w:rPr>
          <w:rFonts w:ascii="arial" w:eastAsia="arial" w:hAnsi="arial" w:cs="arial"/>
          <w:i/>
          <w:color w:val="000000"/>
          <w:sz w:val="20"/>
          <w:lang w:val="en-US" w:eastAsia="en-US" w:bidi="ar-SA"/>
        </w:rPr>
        <w:t>Unrau.</w:t>
      </w:r>
      <w:r>
        <w:rPr>
          <w:rFonts w:ascii="arial" w:eastAsia="arial" w:hAnsi="arial" w:cs="arial"/>
          <w:color w:val="000000"/>
          <w:sz w:val="20"/>
          <w:lang w:val="en-US" w:eastAsia="en-US" w:bidi="ar-SA"/>
        </w:rPr>
        <w:t xml:space="preserve"> The pleadings do not include claims framed in the alternative to forced labour. Rather, the claims appear to encompass the various ways, including wilful blindness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that Nevsun might be implicated in the forced labour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All this means is that on the pleadings to date, read expansively but without setting up alternatives to the facts actually pleaded, the respondent's policy of insurance does not appear to be co-extensive with that of the petitioner for the period between April 21, 2011 and November 20,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It follows that the declaration sought by the petitioner for an equitable contribution against the defendant for </w:t>
      </w:r>
      <w:r>
        <w:rPr>
          <w:rFonts w:ascii="arial" w:eastAsia="arial" w:hAnsi="arial" w:cs="arial"/>
          <w:color w:val="000000"/>
          <w:sz w:val="20"/>
          <w:u w:val="single"/>
          <w:lang w:val="en-US" w:eastAsia="en-US" w:bidi="ar-SA"/>
        </w:rPr>
        <w:t>all</w:t>
      </w:r>
      <w:r>
        <w:rPr>
          <w:rFonts w:ascii="arial" w:eastAsia="arial" w:hAnsi="arial" w:cs="arial"/>
          <w:color w:val="000000"/>
          <w:sz w:val="20"/>
          <w:lang w:val="en-US" w:eastAsia="en-US" w:bidi="ar-SA"/>
        </w:rPr>
        <w:t xml:space="preserve"> defence costs to date cannot be given. I understand that counsel for the insurers have worked out a protocol should this be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This order does not preclude a reconsideration of the issues raised should amendments to the pleadings or particulars change the complexion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T.M. McEWAN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8" style="position:absolute;z-index:2518579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59"/>
          <w:headerReference w:type="default" r:id="rId960"/>
          <w:footerReference w:type="even" r:id="rId961"/>
          <w:footerReference w:type="default" r:id="rId962"/>
          <w:headerReference w:type="first" r:id="rId963"/>
          <w:footerReference w:type="first" r:id="rId96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65" w:history="1">
        <w:r>
          <w:rPr>
            <w:rFonts w:ascii="arial" w:eastAsia="arial" w:hAnsi="arial" w:cs="arial"/>
            <w:b/>
            <w:bCs/>
            <w:i/>
            <w:color w:val="0077CC"/>
            <w:kern w:val="32"/>
            <w:sz w:val="28"/>
            <w:szCs w:val="32"/>
            <w:u w:val="single"/>
            <w:shd w:val="clear" w:color="auto" w:fill="FFFFFF"/>
            <w:lang w:val="en-US" w:eastAsia="en-US" w:bidi="ar-SA"/>
          </w:rPr>
          <w:t>Chima v. Kopec, [2018] B.C.J. No. 6918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Horsman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5-6,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17,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M166187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6918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2242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40 M.V.R. (7th) 210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CarswellBC 3408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Rajbinder Chima, Plaintiff, and Lidia Kopec,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(80 paras.)</w:t>
      </w:r>
    </w:p>
    <w:p>
      <w:pPr>
        <w:jc w:val="both"/>
        <w:rPr>
          <w:rFonts w:ascii="arial" w:eastAsia="arial" w:hAnsi="arial" w:cs="arial"/>
          <w:sz w:val="20"/>
          <w:lang w:val="en-US" w:eastAsia="en-US" w:bidi="ar-SA"/>
        </w:rPr>
      </w:pPr>
      <w:bookmarkStart w:id="302" w:name="Legislation Cited_36"/>
      <w:bookmarkEnd w:id="30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9"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966" w:history="1">
        <w:r>
          <w:rPr>
            <w:rFonts w:ascii="arial" w:eastAsia="arial" w:hAnsi="arial" w:cs="arial"/>
            <w:i/>
            <w:color w:val="0077CC"/>
            <w:sz w:val="20"/>
            <w:u w:val="single"/>
            <w:shd w:val="clear" w:color="auto" w:fill="FFFFFF"/>
            <w:lang w:val="en-US" w:eastAsia="en-US" w:bidi="ar-SA"/>
          </w:rPr>
          <w:t>R.S.B.C. 1996, c. 318, s. 125.1</w:t>
        </w:r>
      </w:hyperlink>
      <w:r>
        <w:rPr>
          <w:rFonts w:ascii="arial" w:eastAsia="arial" w:hAnsi="arial" w:cs="arial"/>
          <w:color w:val="000000"/>
          <w:sz w:val="20"/>
          <w:lang w:val="en-US" w:eastAsia="en-US" w:bidi="ar-SA"/>
        </w:rPr>
        <w:t>, s. 125.1(1), s. 125.1(2), s. 144(1)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Appendix B, s. 2(2)(b)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3" w:name="Counsel_45"/>
      <w:bookmarkEnd w:id="30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0" style="position:absolute;z-index:2517565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M.A. Quinn.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K.C. Finn, K. Ball, Articling Student.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4" w:name="Judgment_45"/>
      <w:bookmarkEnd w:id="304"/>
      <w:r>
        <w:pict>
          <v:line id="_x0000_s1251" style="position:absolute;z-index:2518077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5" w:name="Horsman J."/>
            <w:bookmarkEnd w:id="305"/>
            <w:r>
              <w:rPr>
                <w:rFonts w:ascii="arial" w:eastAsia="arial" w:hAnsi="arial" w:cs="arial"/>
                <w:b/>
                <w:color w:val="000000"/>
                <w:sz w:val="30"/>
                <w:lang w:val="en-US" w:eastAsia="en-US" w:bidi="ar-SA"/>
              </w:rPr>
              <w:t>Horsman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arises from a motor vehicle accident which occurred in Surrey, British Columbia on August 30, 2015 (the "Accident"). The plaintiff Mr. Chima works as a driver with Coast Mountain Bus Company, and was driving a transit bus on the day in question. Mr. Chima's bus collided in an intersection with a vehicle driven by the defendant Ms. Kopec.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At the time of the Accident, the traffic signals were inoperative at the intersection where the collision occurred. Drivers were required to follow a four-way stop procedure. The plaintiff and defendant each allege that the Accident resulted from the other's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follow proper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parties reached a provisional agreement on damages prior to trial, leaving only liability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evidence at trial consisted of the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testimony of four lay witnesses, and a limited number of documents that were admitted by agreement of the parties. In addition to Mr. Chima and Ms. Kopec, the other witnesses were Roger Holloway, a passenger on Mr. Chima's bus, and RCMP Constable Kevin Ray. There was no expert evidence tendered by either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There were material conflicts in the evidence of the witnesses as to the circumstances of the Accident. As there is no expert evidence pertaining to accident reconstruction, and no photographs of the immediate aftermath of the Accident, the liability issue in this case largely turns on an assessment of credibility of the lay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will briefly review the evidence not in dispute by way of providing an overview of the events leading to the Accident before turning to consideration of the disputed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Overview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evening before the Accident there had been a major windstorm in the Lower Mainland, which had led to power outages that affected the traffic signals at some intersections. This included the intersection of King George Boulevard ("King George") and 60th Avenue in Surrey, which is where the Accident occurred. On the morning of August 30, 2015, the traffic lights were not operating at this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Section 125.1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provides that the driver of a vehicle approaching an intersection that has traffic control signals that are inoperative must stop before entering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Accident occurred in the intersection of King George and 60th Avenue at approximately 7:46 a.m. on August 30, 2015. It was a Sunday, and the traffic was relatively light. Visibility was good on the roads. It was not raining and the winds had died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Immediately prior to the Accident, Mr. Chima was driving his transit bus in a southbound direction on King George. The transit bus Mr. Chima was driving was approximately 40 feet long, and coloured blue, white and yellow. Ms. Kopec was driving a Hyundai Sonata eastbound on 60th Avenue. She had no passengers in her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the intersection of King George and 60th Avenue, the front driver's side of Ms. Kopec's car collided with the right side of Mr. Chima's bus. The air bags in Ms. Kopec's car deployed. She was eventually taken to Surrey Memorial Hospital (the "Hospital") by ambulance.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Constable Ray was dispatched to the scene and arrived within a few minutes of the Accident. The fire crew was at the scene when Constable Ray arrived. Mr. Chima's transit bus was there, but had been moved out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Constable Ray conducted interviews at the Accident site, including Mr. Chima. There is a conflict in the evidence as to whether Constable Ray also interviewed Ms. Kopec. This conflict is addressed in the Analysis section of these reasons, at paras. 54-55.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At Constable Ray's direction, Ms. Kopec was issued a violation ticket when she was at the Hospital for failing to stop before entering an intersection when the traffic control device was inoperable, contrary to s. 125.1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Ms. Kopec disputed the ticket. The ticket was eventually dismissed when the officer who had issued it (who was not Constable Ray) failed to attend the provincial court for the hearing of Ms. Kopec's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Conflicts in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noted, there are material conflicts in the evidence of the four witnesses who testified at trial as it relates to fault for the Accident. I will summarize the evidence of each witness.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Mr. Chima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Chima has been employed as a transit bus driver for just over 20 years. This is the first accident Mr. Chima has been involved in as a transit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the morning of the Accident, Mr. Chima testified that he started his shift at 6:00 a.m. He was driving a route that took him through Surrey on the way to White Rock. Mr. Chima says he was alerted at the time he arrived at work that the storm had affected the traffic signals at some intersections.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Chima testified that he had driven through a number of intersections along King George on the morning in question immediately prior to the Accident, and that traffic lights were working at some intersections but not others. Mr. Chima stated that the traffic lights were functioning at the intersection of King George and 62nd Avenue, which is the intersection immediately before King George and 60th Avenue. Mr. Chima recalled that he had a green light at the intersection of King George and 62nd Avenue and therefore did not have to stop as he travelled through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Upon reaching King George and 60th Avenue, Mr. Chima says he observed that the traffic lights were out, and he slowed the bus to a stop. Mr. Chima says that he followed the four-way stop procedure, looking left and right twice before proceeding through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Chima testified that he first saw Ms. Kopec's vehicle the second time he looked to the right. Mr. Chima estimates that Ms. Kopec's car was about 400 feet away when he first saw it. Mr. Chima said that 60th Avenue was on a downward grade coming towards the intersection with King George, and he had a clear view of Ms. Kopec's car, which appeared to him to be travelling quite fast.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Chima testified that he kept an eye on Ms. Kopec's car as he drove through the intersection. According to Mr. Chima, Ms. Kopec did not stop at the intersection. Mr. Chima says that his bus was about three quarters of the way through the intersection before he realized that Ms. Kopec's car was not stopping and a collision was imminent.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Chima testified that he started honking his horn and turning his bus to the left in an attempt to avoid or lessen the impact. Ms. Kopec's car ended up colliding with the right front doors of the bus. Mr. Cheema believes that if he had not attempted to steer the bus out of the collision, Ms. Kopec's vehicle would have hit the centre of the bus and the Accident would have been more serious.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After the collision, Mr. Chima's first priority was to ensure his passengers were safe. He then exited the bus, and went to check on Ms. Kopec. Mr. Chima testified that he asked Ms. Kopec if she was all right. Ms. Kopec stated "I had a green light", and Mr. Chima replied "Ma'am, the lights are not working".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Ms. Kopec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Kopec testified that on the day in question she was driving from her home in Richmond to her friend's house in Surrey. Ms. Kopec said that prior to reaching the intersection of King George and 60th Avenue, she had driven through a number of intersections in which the traffic lights were inoperative due to a power outage. In each case, Ms. Kopec says she followed the four-way stop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Kopec says that she noted the traffic lights were out at King George and 60th Avenue as she approached the intersection. She stopped her car at the intersection for a "little bit". Ms. Kopec's evidence was unclear as to what she considered a "little bit". According to Ms. Kopec, it might have been one second, two seconds, a few seconds, or a minute.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Kopec testified that she looked left and right when she stopped at the intersection and did not see Mr. Chima's bus. She did not realize a collision was imminent until Mr. Chima's bus was directly in front of her. Ms. Kopec says she would have stopped if she had seen Mr. Chima's bus, but that it "just appeared" in front of her and she was unable to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Kopec's only recollection of her conversation with Mr. Chima after the Accident was that he had yelled at her. She does not recall speaking with Constable Ray at all after the Accident. The only police officer she recalls speaking to was the officer who attended at the Hospital to give her the violation ticket.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Kopec agreed in cross-examination that her memory of events surrounding the Accident is not entirely clear. She said "some parts I cannot remember".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Constable 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Constable Ray has been an RCMP officer for ten years. He was dispatched to the scene of the Accident shortly before 8:00 a.m. on August 30, 2015. He arrived at the scene at around 8:00 a.m. and remained there for approximately two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Constable Ray testified that he spoke to Ms. Kopec at the Accident site. He asked Ms. Kopec what happened. Ms. Kopec seemed, to Constable Ray, to be confused and stated that she did not know that she had to stop at an intersection when the traffic lights were out. Constable Ray formed the opinion that Ms. Kopec had contravened s. 125.1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Constable Ray did not make notes of his conversation with Ms. Kopec in his notebook, but rather recorded the conversation in a synopsis he prepared when he was sitting in his vehicle at the Accident site. His synopsis included the following comments: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Coast Mountain bus S7337 on route 321 BCL ET7797 driven by Raj CHIMA had stopped for the inoperable traffic lights and once clear had proceeded through south bound. KOPEC, admittedly confused by the lack of traffic signals failed to stop east bound on 56th ave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CHIMA was unable to avoid the vehicle and the front right corner of the bus hit the drivers side just in front of the drivers door. Side curtain airbags deployed. KOPEC transported to SMH and VT was issued to her for failing to yield when traffic signals inoperable. Vehicle towed to Clover. Several riders on the bus had departed prior to member attendance no injuries to any passengers. Witness Roger HOLLOWAY added to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Constable Ray testified that the reference to "56th ave" was in error and that the correct reference was 60th Avenue. Constable Ray agreed that he did not directly observe the Accident and that his synopsis was based on interviews he conducted at the scene, including with Mr. Chima and Ms. Kopec.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Roger Holloway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Holloway is a retiree who lives in Surrey. He was a passenger on Mr. Chima's bus at the time of the Accident. Mr. Holloway was called as a witness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Holloway testified that he boarded Mr. Chima's bus at the intersection of King George and 64th Avenue. He was sitting on a cross seat on the right side of the bus, and had a clear view of Ms. Kopec's car entering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contrast to the evidence of Mr. Chima, Mr. Holloway recalls that the traffic lights were out at the intersection of King George and 62nd Avenue, in addition to being out at King George and 60th Avenue. Mr. Holloway testified that Mr. Chima did not stop his bus at the intersection of King George and 62nd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As the bus entered the next intersection of King George and 60th Avenue, Mr. Holloway noticed Ms. Kopec's car approaching from the right. When Ms. Kopec's car got closer, Mr. Holloway realized it was not going to stop. Mr. Holloway said that the bus entered the intersection first, but only just ahead of Ms. Kopec's car. He estimates that Ms. Kopec's car was within a car-length of the crosswalk at the time the bus entered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Holloway braced himself for the collision by putting his hand on the safety barrier behind the seat in front of him. He expected a larger shock. The impact of collision was noticeable, but he was not shaken much and suffered no injuries. The passengers were put on another bus and continued their journey.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Holloway could not recall whether Mr. Chima applied his brakes prior to the Accident. Mr. Holloway said he was riveted by the scene unfolding before him, and was not paying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re-examination, Mr. Holloway testified for the first time that Mr. Chima had not stopped his bus before entering the intersection of King George and 60th Avenue. As this was new evidence, I permitted plaintiff's counsel to ask follow-up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Holloway agreed on further questioning that the information that Mr. Chima had not stopped his bus at the intersection of King George and 60th Avenue was not included in a witness statement that Mr. Holloway signed on July 12, 2018. Mr. Holloway explained that the witness statement was prepared by a lawyer, and he did not consider it his responsibility to edit the statement. He said the statement was correct "as far as it goes", but incomplete.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Holloway testified that at the time he signed the witness statement on July 12, 2018, he was not sure of the location of the Accident site as he was uncertain as to which intersection the Accident had occurred in. For this reason, his witness statement references the bus approaching "</w:t>
      </w:r>
      <w:r>
        <w:rPr>
          <w:rFonts w:ascii="arial" w:eastAsia="arial" w:hAnsi="arial" w:cs="arial"/>
          <w:i/>
          <w:color w:val="000000"/>
          <w:sz w:val="20"/>
          <w:lang w:val="en-US" w:eastAsia="en-US" w:bidi="ar-SA"/>
        </w:rPr>
        <w:t>60th or 62nd and King George where the traffic light was out</w:t>
      </w:r>
      <w:r>
        <w:rPr>
          <w:rFonts w:ascii="arial" w:eastAsia="arial" w:hAnsi="arial" w:cs="arial"/>
          <w:color w:val="000000"/>
          <w:sz w:val="20"/>
          <w:lang w:val="en-US" w:eastAsia="en-US" w:bidi="ar-SA"/>
        </w:rPr>
        <w:t>". Mr. Holloway subsequently spoke to a lawyer involved in the litigation who advised him that the site of the Accident was King George and 60th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plaintiff Mr. Chima says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Ms. Kopec was the sole cause of the Accident. Ms. Kopec denies that she was negligent, and alternatively argues that liability should be apportioned to account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Chima.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Accordingly, there are two issues for me to resolve:</w:t>
      </w:r>
      <w:r>
        <w:rPr>
          <w:rFonts w:ascii="arial" w:eastAsia="arial" w:hAnsi="arial" w:cs="arial"/>
          <w:sz w:val="20"/>
          <w:lang w:val="en-US" w:eastAsia="en-US" w:bidi="ar-SA"/>
        </w:rPr>
        <w:cr/>
      </w:r>
    </w:p>
    <w:p>
      <w:pPr>
        <w:numPr>
          <w:numId w:val="1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Was the Accident caused, in whole or part,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Ms. Kopec?</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so, should liability be apportioned on the basis of Mr. Chima's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liability principles that govern this dispute are usefully summarized by Madam Justice Dardi in </w:t>
      </w:r>
      <w:r>
        <w:rPr>
          <w:rFonts w:ascii="arial" w:eastAsia="arial" w:hAnsi="arial" w:cs="arial"/>
          <w:i/>
          <w:color w:val="000000"/>
          <w:sz w:val="20"/>
          <w:lang w:val="en-US" w:eastAsia="en-US" w:bidi="ar-SA"/>
        </w:rPr>
        <w:t>Stewart v. Dueck</w:t>
      </w:r>
      <w:r>
        <w:rPr>
          <w:rFonts w:ascii="arial" w:eastAsia="arial" w:hAnsi="arial" w:cs="arial"/>
          <w:color w:val="000000"/>
          <w:sz w:val="20"/>
          <w:lang w:val="en-US" w:eastAsia="en-US" w:bidi="ar-SA"/>
        </w:rPr>
        <w:t xml:space="preserve">, </w:t>
      </w:r>
      <w:hyperlink r:id="rId967" w:history="1">
        <w:r>
          <w:rPr>
            <w:rFonts w:ascii="arial" w:eastAsia="arial" w:hAnsi="arial" w:cs="arial"/>
            <w:i/>
            <w:color w:val="0077CC"/>
            <w:sz w:val="20"/>
            <w:u w:val="single"/>
            <w:shd w:val="clear" w:color="auto" w:fill="FFFFFF"/>
            <w:lang w:val="en-US" w:eastAsia="en-US" w:bidi="ar-SA"/>
          </w:rPr>
          <w:t>2012 BCSC 1729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The authorities establish that all motorists have an overarching common law duty to exercise what constitutes, in all the circumstances, reasonable and due care. All motorists have a general duty to keep a proper look-out and to take reasonable precautions in response to apparent potential hazards: </w:t>
      </w:r>
      <w:r>
        <w:rPr>
          <w:rFonts w:ascii="arial" w:eastAsia="arial" w:hAnsi="arial" w:cs="arial"/>
          <w:i/>
          <w:color w:val="000000"/>
          <w:sz w:val="20"/>
          <w:lang w:val="en-US" w:eastAsia="en-US" w:bidi="ar-SA"/>
        </w:rPr>
        <w:t>Hmaied v. Wilkinson</w:t>
      </w:r>
      <w:r>
        <w:rPr>
          <w:rFonts w:ascii="arial" w:eastAsia="arial" w:hAnsi="arial" w:cs="arial"/>
          <w:color w:val="000000"/>
          <w:sz w:val="20"/>
          <w:lang w:val="en-US" w:eastAsia="en-US" w:bidi="ar-SA"/>
        </w:rPr>
        <w:t xml:space="preserve">, </w:t>
      </w:r>
      <w:hyperlink r:id="rId968" w:history="1">
        <w:r>
          <w:rPr>
            <w:rFonts w:ascii="arial" w:eastAsia="arial" w:hAnsi="arial" w:cs="arial"/>
            <w:i/>
            <w:color w:val="0077CC"/>
            <w:sz w:val="20"/>
            <w:u w:val="single"/>
            <w:shd w:val="clear" w:color="auto" w:fill="FFFFFF"/>
            <w:lang w:val="en-US" w:eastAsia="en-US" w:bidi="ar-SA"/>
          </w:rPr>
          <w:t>2010 BCSC 1074</w:t>
        </w:r>
      </w:hyperlink>
      <w:r>
        <w:rPr>
          <w:rFonts w:ascii="arial" w:eastAsia="arial" w:hAnsi="arial" w:cs="arial"/>
          <w:color w:val="000000"/>
          <w:sz w:val="20"/>
          <w:lang w:val="en-US" w:eastAsia="en-US" w:bidi="ar-SA"/>
        </w:rPr>
        <w:t xml:space="preserve"> at para. 23.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It is a well-settled proposition that drivers in this province are entitled to assume, within reason, that the other users of the roads in British Columbia will obey the law: </w:t>
      </w:r>
      <w:r>
        <w:rPr>
          <w:rFonts w:ascii="arial" w:eastAsia="arial" w:hAnsi="arial" w:cs="arial"/>
          <w:i/>
          <w:color w:val="000000"/>
          <w:sz w:val="20"/>
          <w:lang w:val="en-US" w:eastAsia="en-US" w:bidi="ar-SA"/>
        </w:rPr>
        <w:t>Mills v. Siefred</w:t>
      </w:r>
      <w:r>
        <w:rPr>
          <w:rFonts w:ascii="arial" w:eastAsia="arial" w:hAnsi="arial" w:cs="arial"/>
          <w:color w:val="000000"/>
          <w:sz w:val="20"/>
          <w:lang w:val="en-US" w:eastAsia="en-US" w:bidi="ar-SA"/>
        </w:rPr>
        <w:t xml:space="preserve">, </w:t>
      </w:r>
      <w:hyperlink r:id="rId969" w:history="1">
        <w:r>
          <w:rPr>
            <w:rFonts w:ascii="arial" w:eastAsia="arial" w:hAnsi="arial" w:cs="arial"/>
            <w:i/>
            <w:color w:val="0077CC"/>
            <w:sz w:val="20"/>
            <w:u w:val="single"/>
            <w:shd w:val="clear" w:color="auto" w:fill="FFFFFF"/>
            <w:lang w:val="en-US" w:eastAsia="en-US" w:bidi="ar-SA"/>
          </w:rPr>
          <w:t>2010 BCCA 404</w:t>
        </w:r>
      </w:hyperlink>
      <w:r>
        <w:rPr>
          <w:rFonts w:ascii="arial" w:eastAsia="arial" w:hAnsi="arial" w:cs="arial"/>
          <w:color w:val="000000"/>
          <w:sz w:val="20"/>
          <w:lang w:val="en-US" w:eastAsia="en-US" w:bidi="ar-SA"/>
        </w:rPr>
        <w:t xml:space="preserve"> at para. 26.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The Court's task is to determine whether each of the parties in an accident met their common law duties of care. The analysis of the standard of care, which is relevant to the particular circumstances, is informed by both the reasonableness of the parties' actions and by the rules of the road;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2010 BCCA 212</w:t>
        </w:r>
      </w:hyperlink>
      <w:r>
        <w:rPr>
          <w:rFonts w:ascii="arial" w:eastAsia="arial" w:hAnsi="arial" w:cs="arial"/>
          <w:color w:val="000000"/>
          <w:sz w:val="20"/>
          <w:lang w:val="en-US" w:eastAsia="en-US" w:bidi="ar-SA"/>
        </w:rPr>
        <w:t xml:space="preserve"> at para. 21; </w:t>
      </w:r>
      <w:r>
        <w:rPr>
          <w:rFonts w:ascii="arial" w:eastAsia="arial" w:hAnsi="arial" w:cs="arial"/>
          <w:i/>
          <w:color w:val="000000"/>
          <w:sz w:val="20"/>
          <w:lang w:val="en-US" w:eastAsia="en-US" w:bidi="ar-SA"/>
        </w:rPr>
        <w:t>Kilian v. Valentin</w:t>
      </w:r>
      <w:r>
        <w:rPr>
          <w:rFonts w:ascii="arial" w:eastAsia="arial" w:hAnsi="arial" w:cs="arial"/>
          <w:color w:val="000000"/>
          <w:sz w:val="20"/>
          <w:lang w:val="en-US" w:eastAsia="en-US" w:bidi="ar-SA"/>
        </w:rPr>
        <w:t xml:space="preserve">, </w:t>
      </w:r>
      <w:hyperlink r:id="rId970" w:history="1">
        <w:r>
          <w:rPr>
            <w:rFonts w:ascii="arial" w:eastAsia="arial" w:hAnsi="arial" w:cs="arial"/>
            <w:i/>
            <w:color w:val="0077CC"/>
            <w:sz w:val="20"/>
            <w:u w:val="single"/>
            <w:shd w:val="clear" w:color="auto" w:fill="FFFFFF"/>
            <w:lang w:val="en-US" w:eastAsia="en-US" w:bidi="ar-SA"/>
          </w:rPr>
          <w:t>2012 BCSC 1434</w:t>
        </w:r>
      </w:hyperlink>
      <w:r>
        <w:rPr>
          <w:rFonts w:ascii="arial" w:eastAsia="arial" w:hAnsi="arial" w:cs="arial"/>
          <w:color w:val="000000"/>
          <w:sz w:val="20"/>
          <w:lang w:val="en-US" w:eastAsia="en-US" w:bidi="ar-SA"/>
        </w:rPr>
        <w:t xml:space="preserve">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relevant "rules of the road" in the present case are those set out in ss. 125.1 and 144(1)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Section 125.1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Traffic control signals inoperative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125.1</w:t>
      </w:r>
      <w:r>
        <w:rPr>
          <w:rFonts w:ascii="arial" w:eastAsia="arial" w:hAnsi="arial" w:cs="arial"/>
          <w:color w:val="000000"/>
          <w:sz w:val="20"/>
          <w:lang w:val="en-US" w:eastAsia="en-US" w:bidi="ar-SA"/>
        </w:rPr>
        <w:t xml:space="preserve"> (1) The driver of a vehicle approaching an intersection that has traffic control signals that are inoperative must stop before entering the intersection.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2 vehicles have come to a stop at an intersection described in subsection (1) from different highways at approximately the same time, the driver of a vehicle must yield the right of way to the vehicle that is on the right of the vehicle that he or she is driving, but if one of the vehicles is already entering the intersection, the driver of the other vehicle must stop and yield the right of way to the entering vehicle while it is proceeding into or across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effect, s. 125.1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requires that a four-way stop procedure be followed at an intersection where the traffic signals are inoperative. All motorists approaching the intersection must stop. Where vehicles arrive at the intersection at approximately the same time, the right of way must be yielded to the vehicle that is on the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Section 144(1)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prohibits careless driving. It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Careless driving prohibited</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(1) A person must not drive a motor vehicle on a highway</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due care and attention,</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reasonable consideration for other persons using the highway, or</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 speed that is excessive relative to the road, traffic, visibility or weather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While the provisions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provide guidelines for assessing fault in a motor vehicle accident case, they do not provide a complete legal framework. The court will be informed by the rules of the road in determining whether and to what extent the parties met their common law duties of care, but the rules do not eliminate the need to consider the reasonableness of the actions of the parties: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2010 BCCA 212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Salaam</w:t>
      </w:r>
      <w:r>
        <w:rPr>
          <w:rFonts w:ascii="arial" w:eastAsia="arial" w:hAnsi="arial" w:cs="arial"/>
          <w:color w:val="000000"/>
          <w:sz w:val="20"/>
          <w:lang w:val="en-US" w:eastAsia="en-US" w:bidi="ar-SA"/>
        </w:rPr>
        <w:t>] at paras. 18 and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 I: Was the Defendant Ms. Kopec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issue of Ms. Kopec's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turns on the question of whether she failed to stop at the intersection of King George and 60th Avenue, as alleged by the plaintiff. The evidence of Mr. Chima and Ms. Kopec on this issue cannot be reconciled. Where there are differences between the evidence of these witnesses, I find Mr. Chima's evidence to be more credible and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Chima testified in a clear and forthright manner. He fairly conceded points that were put to him in cross-examination without becoming argumentative. Mr. Chima's recollection of material events was consistent, detailed, and not shaken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While it was put to Mr. Chima in cross-examination, and pressed in final argument, that Mr. Chima had given inconsistent evidence in his examination for discovery as to when he realized that Ms. Kopec's car was not stopping, I found the purported inconsistency to be ambiguous at best. Mr. Chima was consistent in his evidence at trial that the intersection was clear when he entered it, that Ms. Kopec's car was some distance away, and that only when a collision was imminent did he realize that Ms. Kopec was not going to stop at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contrast, I found Ms. Kopec's evidence of the Accident to be vague and implausible. Ms. Kopec was unable to answer with any precision the question of how long she stopped at the intersection of King George and 60th Avenue. Further, while Ms. Kopec insists that she followed the four-way stop procedure at the intersection, her evidence that she did not see a 40-foot transit bus when she looked to her left and that the bus simply appeared in front of her at the moment of the collision is unbelievable. This evidence is not consistent with the probabilities affecting the case as a whole and shown to be in existence at the time: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99"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at 356;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Chima's evidence that Ms. Kopec did not stop at the intersection is also corroborated by the evidence of Constable Ray and, to some extent, Mr. Holloway.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accept Constable Ray's evidence that he spoke to Ms. Kopec at the scene of the Accident, despite the fact that Ms. Kopec does not recall the conversation. I find that Ms. Kopec told Constable Ray at the time of the interview that she did not realize she was required to stop when traffic lights were out at an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Constable Ray is an experienced RCMP constable, who testified to having attended over 100 motor vehicle accidents in his ten years with the RCMP. Constable Ray's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was consistent with the synopsis of his investigation of the Accident that he prepared contemporaneously. I find his evidence to be reliable. Further, Constable Ray's description of Ms. Kopec as being "confused" is consistent with Ms. Kopec's own self-admitted memory gaps around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Finally, Mr. Holloway also testified that Ms. Kopec did not stop at the intersection of King George and 60th Avenue, although his evidence is in conflict with Mr. Chima's evidence in other material respects. For reasons set out below, I prefer the evidence of Mr. Chima where there is conflict between Mr. Chima and Mr. Holloway. However, there is no conflict in their evidence as to Ms. Kopec's failure to stop at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 find that Ms. Kopec did not stop at the intersection of King George and 60th Avenue on the morning of August 30, 2015, as required by s. 125.1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In failing to stop, Ms. Kopec did not exercise the care of a reasonable motorist. Ms. Kopec's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contributed, at least in part,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 now turn to consider the defendant's alternative argument that liability should be apportioned to account for Mr. Chima's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 II: Was the Plaintiff Mr. Chima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defendant argued that Mr. Chima was negligent in one or more of the following ways:</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Chima did not stop before entering the intersection as required by s. 125.1(1)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Chima failed to yield the right of way to Ms. Kopec as required by s. 125.1(2)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Chima failed to exercise due care and attention as required by s. 144(1)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and failed to keep a proper lookout.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will address each allegation in turn.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Failure to Stop at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defendant's allegation that Mr. Chima failed to stop his bus at the intersection of King George and 60th Avenue is heavily dependent on the re-examination evidence of Mr. Holloway. For the reasons that follow, I prefer the evidence of Mr. Chima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accept that Mr. Holloway is a disinterested witness, and this is a factor that lends weight to the credibility of his evidence. I also accept that Mr. Holloway testified truthfully to the best of his recollection. However, I find that Mr. Holloway's evidence that Mr. Chima did not stop at the intersection is not reliable given the late nature of the disclosure of this evidence, and Mr. Holloway's admitted difficulty in recalling certain pertinent details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As noted, Mr. Holloway's evidence that Mr. Chima's bus did not stop at the intersection emerged for the first time in re-examination. It was not a detail that was included in Mr. Holloway's signed witness statement of July 12, 2018. I do not find Mr. Holloway's explanation that a lawyer drafted the witness statement to be an entirely satisfactory explanation for the omission of this information. Mr. Holloway's recollection that Mr. Chima did not stop his bus at the intersection was of obvious significance to the legal case. One would have expected it to be included in a witness statement that recorded Mr. Holloway's comprehensive recollection of the details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Furthermore, Mr. Holloway admitted in his evidence that he could not recall at the time he signed his witness statement at which intersection with King George the Accident had occurred - 60th Avenue or 62nd Avenue. Mr. Holloway's lack of recall of the exact site of the Accident undermines the reliability of his evidence generally as to how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have already stated my reasons for finding Mr. Chima's evidence of the events of the Accident to be credible. Mr. Chima's evidence that he did stop at the intersection was consistent on this point, both at trial and over time. Mr. Chima's recollection of having stopped at the intersection is recorded in Constable Ray's synopsis prepared on the date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also consider relevant the fact that Mr. Chima is a professional driver who has had over two decades of experience driving a public transit bus without apparent incident. Mr. Chima was aware that traffic lights were not operating at a number of intersections along his route, and testified that he drove defensively through such intersections. I accept his evidence in this regard. I find it implausible that Mr. Chima would have engaged in the type of unsafe driving behaviour that the plaintiff alleges, and I am not persuaded on the evidence that he did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Chima's evidence that he stopped at the intersection of King George and 60th Avenue is consistent with the totality of the evidence, and I find that he did stop. Accordingly, I reject the defendant's allegation that Mr. Chima was negligent in failing to stop at the intersection.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Failure to Yield the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defendant argues, alternatively, that if Mr. Chima did stop at the intersection, he was nevertheless negligent in failing to yield the right of way to Ms. Kopec as required by s. 125.1(2)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The defendant argues that the evidence of Ms. Kopec and Mr. Holloway supports the inference that Ms. Kopec's vehicle arrived at the intersection at the same time as the bus, and therefore Ms. Kopec had the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evidence does not support that Mr. Chima failed to yield the right of way. Mr. Chima and Mr. Holloway both testified that the bus had already entered the intersection by the time Ms. Kopec's car arrived, although their evidence differed as the distance of Ms. Kopec's car from the intersection at the time. To the extent there is a conflict in the evidence of these witnesses, I have already explained my reasons for preferring the evidence of Mr. Chima.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have also explained my reasons for rejecting Ms. Kopec's evidence that Mr. Chima's bus "just appeared" in front of her without warning as she entered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find that Mr. Chima arrived at the intersection before Ms. Kopec, and that he was not negligent for failing to yield the right of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Failure to Exercise Due Care and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defendant argues, in the final alternative, that Mr. Chima was negligent in insisting on his right of way in the intersection when he knew or ought to have known that a collision would result. The defendant acknowledges that drivers are entitled to presume that other road users will observe the rules of the road, but says this does not allow a driver to contribute to a hazardous situation when they are aware that another driver is not obeying the rules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defendant relies on </w:t>
      </w:r>
      <w:r>
        <w:rPr>
          <w:rFonts w:ascii="arial" w:eastAsia="arial" w:hAnsi="arial" w:cs="arial"/>
          <w:i/>
          <w:color w:val="000000"/>
          <w:sz w:val="20"/>
          <w:lang w:val="en-US" w:eastAsia="en-US" w:bidi="ar-SA"/>
        </w:rPr>
        <w:t>Salaam</w:t>
      </w:r>
      <w:r>
        <w:rPr>
          <w:rFonts w:ascii="arial" w:eastAsia="arial" w:hAnsi="arial" w:cs="arial"/>
          <w:color w:val="000000"/>
          <w:sz w:val="20"/>
          <w:lang w:val="en-US" w:eastAsia="en-US" w:bidi="ar-SA"/>
        </w:rPr>
        <w:t>, in which the Court of Appeal apportioned liability between the plaintiff and defendant for an accident that occurred at a "T" intersection. The Court of Appeal accepted that the plaintiff had clearly been negligent in entering the intersection against a stop sign, and not proceeding with appropriate caution once she had made the turn. However, the defendant was also under a duty of care to take steps to avoid a reasonably foreseeable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On the facts of </w:t>
      </w:r>
      <w:r>
        <w:rPr>
          <w:rFonts w:ascii="arial" w:eastAsia="arial" w:hAnsi="arial" w:cs="arial"/>
          <w:i/>
          <w:color w:val="000000"/>
          <w:sz w:val="20"/>
          <w:lang w:val="en-US" w:eastAsia="en-US" w:bidi="ar-SA"/>
        </w:rPr>
        <w:t>Salaam</w:t>
      </w:r>
      <w:r>
        <w:rPr>
          <w:rFonts w:ascii="arial" w:eastAsia="arial" w:hAnsi="arial" w:cs="arial"/>
          <w:color w:val="000000"/>
          <w:sz w:val="20"/>
          <w:lang w:val="en-US" w:eastAsia="en-US" w:bidi="ar-SA"/>
        </w:rPr>
        <w:t xml:space="preserve">, the Court of Appeal found that the defendant driver had ample notice that the plaintiff was driving in an erratic and hazardous manner, having witnessed her drive through a stop sign, and continue to drive in a halting manner ahead of him in his lane. The defendant maintained his speed, and switched lanes in an attempt to overtake the plaintiff.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as found by the Court of Appeal, consisted of: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...his aggressive lane change and his insistence on right of way in a situation when it must have been obvious to him that the there was a strong likelihood that the plaintiff would continue to proceed erratically across Scott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Court of Appeal concluded that the defendant in </w:t>
      </w:r>
      <w:r>
        <w:rPr>
          <w:rFonts w:ascii="arial" w:eastAsia="arial" w:hAnsi="arial" w:cs="arial"/>
          <w:i/>
          <w:color w:val="000000"/>
          <w:sz w:val="20"/>
          <w:lang w:val="en-US" w:eastAsia="en-US" w:bidi="ar-SA"/>
        </w:rPr>
        <w:t>Salaam</w:t>
      </w:r>
      <w:r>
        <w:rPr>
          <w:rFonts w:ascii="arial" w:eastAsia="arial" w:hAnsi="arial" w:cs="arial"/>
          <w:color w:val="000000"/>
          <w:sz w:val="20"/>
          <w:lang w:val="en-US" w:eastAsia="en-US" w:bidi="ar-SA"/>
        </w:rPr>
        <w:t xml:space="preserve"> was 25% at fault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 do not find the circumstances in </w:t>
      </w:r>
      <w:r>
        <w:rPr>
          <w:rFonts w:ascii="arial" w:eastAsia="arial" w:hAnsi="arial" w:cs="arial"/>
          <w:i/>
          <w:color w:val="000000"/>
          <w:sz w:val="20"/>
          <w:lang w:val="en-US" w:eastAsia="en-US" w:bidi="ar-SA"/>
        </w:rPr>
        <w:t>Salaam</w:t>
      </w:r>
      <w:r>
        <w:rPr>
          <w:rFonts w:ascii="arial" w:eastAsia="arial" w:hAnsi="arial" w:cs="arial"/>
          <w:color w:val="000000"/>
          <w:sz w:val="20"/>
          <w:lang w:val="en-US" w:eastAsia="en-US" w:bidi="ar-SA"/>
        </w:rPr>
        <w:t xml:space="preserve"> to be analogous to the present case. The analogy the defendant has drawn depends on a finding that Mr. Chima was aware that Ms. Kopec was not following the rules of the road, and anticipated or ought to have anticipated that she may not stop at the intersection, and aggressively insisted on his right of way despite that knowledge. I decline to make any such finding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find that Mr. Chima did not anticipate, and could not reasonably have anticipated, that Ms. Kopec would fail to stop at the intersection. This is not a case of an apparent hazard that Mr. Chima negligently failed to avoid. I find that Mr. Chima believed the intersection to be clear at the time he started to drive his bus through it, and reasonably expected that Ms. Kopec would stop before entering the intersection, as she was required to do by the rules of the road. When Mr. Chima realized that Ms. Kopec's vehicle was not stopping and a collision was imminent, he took appropriate evasive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 therefore reject this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 conclude that Ms. Kopec was negligent in failing to stop at the intersection of King George and 60th Avenue on the morning of August 30, 2015, and that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accident. I find that Ms. Kopec is 100%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Chima is entitled to his costs of this action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HORSMAN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2" style="position:absolute;z-index:2518589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71"/>
          <w:headerReference w:type="default" r:id="rId972"/>
          <w:footerReference w:type="even" r:id="rId973"/>
          <w:footerReference w:type="default" r:id="rId974"/>
          <w:headerReference w:type="first" r:id="rId975"/>
          <w:footerReference w:type="first" r:id="rId97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77" w:history="1">
        <w:r>
          <w:rPr>
            <w:rFonts w:ascii="arial" w:eastAsia="arial" w:hAnsi="arial" w:cs="arial"/>
            <w:b/>
            <w:bCs/>
            <w:i/>
            <w:color w:val="0077CC"/>
            <w:kern w:val="32"/>
            <w:sz w:val="28"/>
            <w:szCs w:val="32"/>
            <w:u w:val="single"/>
            <w:shd w:val="clear" w:color="auto" w:fill="FFFFFF"/>
            <w:lang w:val="en-US" w:eastAsia="en-US" w:bidi="ar-SA"/>
          </w:rPr>
          <w:t>Dixon v. Kamloops Exhibition Assn., [2002] B.C.J. No. 766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Chamberlist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21,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27,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Kamloops Registry No. 27128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766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467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113 A.C.W.S. (3d) 363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Mark William Dixon, plaintiff, and Kamloops Exhibition Association and British Columbia Snowmobile Federation,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3" style="position:absolute;z-index:2517063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6" w:name="Keywords_44"/>
      <w:bookmarkEnd w:id="306"/>
      <w:r>
        <w:rPr>
          <w:rFonts w:ascii="arial" w:eastAsia="arial" w:hAnsi="arial" w:cs="arial"/>
          <w:b/>
          <w:color w:val="000000"/>
          <w:sz w:val="20"/>
          <w:lang w:val="en-US" w:eastAsia="en-US" w:bidi="ar-SA"/>
        </w:rPr>
        <w:t xml:space="preserve">Releases — Grounds of invalidity — Uncertainty — Operation — Scope of matters released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Interpretation — Waiver — Requirements of valid waiver.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7" w:name="Case Summary_41"/>
            <w:bookmarkEnd w:id="30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one of the defendants, B.C. Snowmobile Federation, to dismiss Dixon's claim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Dixon went to land owned and occupied by the exhibition association to participate in a grass drag snowmobile race sponsored by the federation. When he arrived, he was given an entry form and a waiver form. He completed each form. Dixon was given time to read the waiver form, and did not do so. He was aware in general terms of what the form was. He then entered the infield area of the race and began his first practice run. His snowmobile struck a large heavy iron t-bar in the grass, flipped in the air, and he was injured. Dixon brought an action for damages against the exhibition association and the federation. The federation moved to dismiss Dixon's claim, arguing that the waiver form was a complete defense.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8" w:name="Holdings of Court_36"/>
            <w:bookmarkEnd w:id="308"/>
            <w:r>
              <w:rPr>
                <w:rFonts w:ascii="arial" w:eastAsia="arial" w:hAnsi="arial" w:cs="arial"/>
                <w:color w:val="000000"/>
                <w:sz w:val="20"/>
                <w:lang w:val="en-US" w:eastAsia="en-US" w:bidi="ar-SA"/>
              </w:rPr>
              <w:t>HELD: Motion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terms of the waiver were sufficiently brought to Dixon's attention, and the wording of the waiver clearly addressed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However, the waiver form did not clearly identify the events that were covered by the document. Any ambiguity in this area would be resolved against the party who produced the document, in this case the federation. The events were not identified with sufficient particularity to make the release binding on Dixon.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9" w:name="Legislation Cited_37"/>
      <w:bookmarkEnd w:id="30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4" style="position:absolute;z-index:2517575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18A, 57.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10" w:name="Counsel_46"/>
      <w:bookmarkEnd w:id="31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5" style="position:absolute;z-index:251808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J.H. Grover, for the plaintiff. S.A. Braun, for the defendant, B.C. Snowmobile Federation.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1" w:name="Judgment_46"/>
      <w:bookmarkEnd w:id="311"/>
      <w:r>
        <w:pict>
          <v:line id="_x0000_s1256" style="position:absolute;z-index:25185996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2" w:name="CHAMBERLIST J."/>
            <w:bookmarkEnd w:id="312"/>
            <w:r>
              <w:rPr>
                <w:rFonts w:ascii="arial" w:eastAsia="arial" w:hAnsi="arial" w:cs="arial"/>
                <w:b/>
                <w:color w:val="000000"/>
                <w:sz w:val="30"/>
                <w:lang w:val="en-US" w:eastAsia="en-US" w:bidi="ar-SA"/>
              </w:rPr>
              <w:t>CHAMBERLIST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the defendant's motion for an order, pursuant to R. 18A, that the action of the plaintiff be dismissed with costs to the defendant pursuant to R. 57. The remaining defendant, Kamloops Exhibition Association, did not appear on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subject action is for damages arising out of an accident that occurred on October 3, 1998, at an event sponsored by the defendant British Columbia Snowmobile Federation (the "Federation") on land owned and occupied by the defendant Kamloops Exhibition Association (the "Association"). The Association's property is located in Kamloops, B.C. The Federation rented a portion of the Association's grounds for the purpose of holding a snowmobile show and grass drag race. The annual snowmobile trade show was held in the main building from October 2nd to 4th, 1998. The grass drag race was held on the infield on October 3rd, 1998, as part of the snowmobile show.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first heard about grass drag snowmobile races being sponsored by the Federation approximately one month prior to October 3rd, 1998. Mark William Dixon did not receive a registration package or any information relating to the grass drag snowmobile races until October 3rd, 1998, when he attended at the exhibition grounds. Prior to October 3rd, 1998, Mr. Dixon had ridden snowmobiles for approximately three years, although his experience riding these machines was purely recreational and he had never entered or participated in any competitive snowmobile races, including grass drag snowmobile races.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October 3rd, 1998, Mr. Dixon attended a registration area set up inside the Association's premises. Up to that time he had never been at the Kamloops Exhibition race grounds. Five persons were working the registration area on behalf of the Snowmobile Federation, including Anna Marie "Jeannie" Kirechuk and John Maynard Wren.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registration area was in a building separate from the race area and there were two tables set up in an "L-shape" to accommodate persons registering for the snowmobile races. Mark William Dixon was among the first registrants to arrive. When registrants entered the registration area, waiver forms and application forms were waiting for them on the registration tables. Both Ms. Kirechuk and Mr. Wren stated that it was their usual practice to advise all registrants that the document they were picking up was a waiver form and it was their common practice to allow registrants as much time as they needed to read the waiver form. They both deposed that registrants were not hurried to read or sign the waiver form by those persons working in the registration area, and both testified that it was each of their practices to tell all registrants that it was a prerequisite of participating in the snowmobile races that they sign the waiver.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registration began approximately 90 minutes before the races themselves were to begin. Both Kirechuk and Wren indicated that they saw the plaintiff at the registration desk and that it appeared to them that he read the waiver form and that no questions were asked of them about the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the same time, Mr. Dixon apparently signed an application form entitled "British Columbia Snowmobile Federation, Racing Division, Kamloops Drags Entry Form" which provided for the name and address of the rider, description of the snowmobile and the class of race in which he would be racing. I say apparently because the form allegedly completed by Mr. Dixon was not put before me at this hearing, but rather a form signed by a Mr. Gary Hicks, on the same date, was provided to me as being a sample of the application form signed by all the entrants to the snowmobile drag race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After Mr. Dixon had registered and paid the entrance fee, he left the registration area and was approached by a male person whom he believed was a race organizer from the Federation. Mr. Dixon, on the basis of direction given by this person, took his snowmobile to a practise area inside the horse racing track where he says a number of other snowmobiles were practising. Other than this direction described by Mr. Dixon, he was not provided with any written or other information relative to how to practise, or where to practise.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Upon attending the area he believed had been pointed out to him as the practise area, he observed a number of other snowmobiles practising in the area and did not observe any of them having any difficulties. Mr. Dixon recalls that most of the grass was approximately one foot in length, although the grass at one end of the practise area had been cut and was shorter.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After observing what the other snowmobile riders were doing, he followed their example. On the plaintiff's first practise run there were approximately three to five other snowmobile riders who were riding along side of him. Halfway down the practise area and in an area where the grass was approximately one foot high, Mr. Dixon's snowmobile hit an object that propelled him and his snowmobile into the air. He was taken by ambulance to the hospital and following release from hospital, he returned to the Kamloops Exhibition Association grounds and took into his possession the object that allegedly caused his snowmobile to flip. The object was an iron "T" shaped bar measuring approximately four to five feet high and weighing approximately 40 to 50 pounds.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Although Mr. Dixon had not entered or participated in snowmobile races with the Federation, he had been involved in previous activities where he was required to sign a waiver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an examination for discovery conducted of him on July 12th, 1999, he indicated that he had signed a waiver form to be permitted into the pit area of a race car driving competition. He understood at that time that the purpose of the waiver he signed was that if he were to get hurt in the pits, then the organizers wouldn't be responsible. Just as he denied reading the waiver form which is the subject matter of these proceedings, he also denied reading the previous waiver relating to the race car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the discovery of July 12th, 1999, Mr. Dixon acknowledged that he knew he was signing a waiver on October 3rd but that he did not know the purpose of signing the form and repeated that he had not read it, and that the form was not explained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question 670 and following, these questions appear at p. 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670</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you understand that when you're asked to sign a waiver that it may affect your legal rights?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671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 it did in the race car situation?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M'hm.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672</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when you decided not to read it you already understood that that, that the purpose of a waiver, that it possibly could limit your legal rights and that was your understanding so you decided not to read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673</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you were at the registration table if you had wanted to read this waiver you were provided an opportunity to do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 didn't tell us it was a waiver.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674</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he didn't limit your ability to read it? If you had wanted to read it you could have read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don't think I knew at the time that it was a waiver being that was with the registration.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a subsequent examination for discovery conducted by the defendant Kamloops Exhibition Association, on April 17th, 2001, Mr. Dixon agreed that he generally knew what the release document was and also confirmed that a male person at the registration desk told him that it was a waiver. He did not agree that the word "release" was used. He also agreed, at that discovery, that he did not ask the person to explain the waiver form and agreed that he had all the time he needed to read the form if he wanted to and that he was not hurried by anyone at the registration desk.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Another relevant factor concerns the form of release that was executed by Mr. Dixon on October 3rd, 1998. Some time after the accident, the form of release executed by Mr. Dixon was obtained, either upon request or through the discovery process. The form attached to the affidavits of Mr. Wren and Ms. Kirechuk as being the form executed by Mr. Dixon is materially different from the form obtained by counsel prior to the affidavits being filed in support of the defendant's application. The form itself has a place within it for "description and location of scheduled event(s)". The form attached to the affidavits of Wren and Kirechuk have this ascription - "Kamloops Grass Drags - KXA", while the form signed by Mr. Dixon merely had the word "Kamloops" in that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Braun, on behalf of the Federation, candidly conceded that the further descriptive words "Grass Drags - KXA" must have been inserted after the waiver was signed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Dixon, in his affidavit filed in response to the application, said this, at para. 19:</w:t>
      </w:r>
      <w:r>
        <w:rPr>
          <w:rFonts w:ascii="arial" w:eastAsia="arial" w:hAnsi="arial" w:cs="arial"/>
          <w:sz w:val="20"/>
          <w:lang w:val="en-US" w:eastAsia="en-US" w:bidi="ar-SA"/>
        </w:rPr>
        <w:cr/>
      </w:r>
    </w:p>
    <w:p>
      <w:pPr>
        <w:numPr>
          <w:numId w:val="1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response to the affidavits of both John Maynard Wren and Anna Marie "Jeannie" Kirechuk, the document that I signed on October 3, 1998 did not contain the words "Grass Drags - KXA" at the top line as is attached to Wren and Kirechuk's affidavits. The document that I signed merely had the word "Kamloops" written at the top line. Attached as Exhibit "A" to this my affidavit is a true copy of the document that I signed on October 3,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For the purpose of this application, I do not accept that Mr. Dixon has an actual recollection of what was stated on the document but rather he is relying on the document that was provided to his counsel at the time the request for the document was made. For the purpose of this decision, I do not make any ruling or come to any conclusion with respect to whether or not Mr. Dixon actually recalls what was written on the document but rather accept the statement as evidencing what has been conceded by Ms. Braun, namely that the additional words must have been added after Mr. Dixon signed the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Release and Waiver of Liability reads as follows: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RELEASE AND WAIVER OF LIABILITY ASSUMPTION OF RISK AND INDEMNITY AGREEMENT KAMLOOPS [GRASS DRAGS - KXA]</w:t>
      </w:r>
    </w:p>
    <w:p>
      <w:pPr>
        <w:spacing w:before="120"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_____ Oct 3/98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__________________</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3"/>
        <w:gridCol w:w="1255"/>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Note 1:</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 present when signed by Mr. Dixon.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__________________</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Description and Location of Scheduled Event(s)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CONSIDERATION of being permitted to compete, officiate, observe, work for, or participate in any way in the EVENT(S) or being permitted to enter for any purpose any RESTRICTED AREA defined as any area requiring special authorization, credentials, or permission to enter or any area to which admission by the general public is restricted or prohibited), EACH OF THE UNDERSIGNED, for himself, his personal representatives, heirs, and next of kin:</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Acknowledges, agrees, and represents that he has or will immediately upon entering any of such RESTRICTED AREAS, and will continuously thereafter, inspect the RESTRICTED AREAS which he enters and he further agrees and warrants that, if at any time, he is in or about RESTRICTED AREAS and he feels anything to be unsafe, he will immediately advise the Officials of such and will leave the RESTRICTED AREAS and/or refuse to participate further in the EVENT(S).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HEREBY RELEASES, WAIVES, DISCHARGES AND COVENANTS NOT TO SUE the promoters, participants, racing associations, sanctioning organizations or any subdivision thereof, track operators, track owners, officials, car owners, drivers, pit crews, rescue personnel, any persons in any RESTRICTED AREA, promoters, sponsors, advertisers, owners and lessees of premises used to conduct the EVENT(S), premises and event inspectors, surveyors, underwriters, consultants and others who give recommendations, directions, or instructions or engage in risk evaluation or loss control activities regarding the premises or EVENT(S) and each of them, their directors, officers, agents, and employees, all for the purposes herein referred to as "Releasees," FROM ALL LIABILITY TO THE UNDERSIGNED, his personal representatives, assigns, heirs, and next of kin FOR ANY AND ALL LOSS OR DAMAGE, AND ANY CLAIM OR DEMANDS THEREFOR ON ACCOUNT OF INJURY TO THE PERSON OR PROPERTY OR RESULTING IN DEATH OF THE UNDERSIGNED ARISING OUT OF OR RELATED TO THE EVENT(S), WHETHER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RELEASEES OR OTHERWISE.</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HEREBY AGREES TO INDEMNIFY AND SAVE AND HOLD HARMLESS the Releasees and each of them FROM ANY LOSS, LIABILITY, DAMAGE, OR COST they may incur arising out of or related to the EVENT(S) WHETHER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RELEASEES OR OTHERWISE.</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HEREBY ASSUMES FULL RESPONSIBILITY FOR ANY RISK OF BODILY INJURY, DEATH OR PROPERTY DAMAGE arising out of or related to the EVENT(S) whether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RELEASEES or otherwise.</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HEREBY acknowledges that THE ACTIVITIES OF THE EVENT(S) ARE VERY DANGEROUS and involve the risk of serious injury and/or death and/or property damage. Each of the UNDERSIGNED also expressly acknowledges that INJURIES RECEIVED MAY BE COMPOUNDED OR INCREASED BY NEGLIGENT RESCUE OPERATIONS OR PROCEDURES OF THE RELEASEES.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HEREBY agrees that this Release and Waiver of Liability, Assumption of Risk and Indemnity Agreement extends to all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Releasees, INCLUDING NEGLIGENT RESCUE OPERATIONS and is intended to be as broad and inclusive as is permitted by the laws of the Province or State in which the Event(s) is/are conducted and that if any portion thereof is held invalid, it is agreed that the balance shall, notwithstanding, continue in full legal force and effect.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READ THIS RELEASE AND WAIVER OF LIABILITY, ASSUMPTION OF RISK AND INDEMNITY AGREEMENT, FULLY UNDERSTAND ITS TERMS, UNDERSTAND THAT I HAVE GIVEN UP ESSENTIAL RIGHTS BY SIGNING IT, AND HAVE SIGNED IT FREELY AND VOLUNTARILY WITHOUT ANY INDUCEMENT, ASSURANCE, OR GUARANTEE BEING MADE TO AND INTEND MY SIGNATURE TO BE A COMPLETE AND UNCONDITIONAL RELEASE OF ALL LIABILITY TO THE GREATEST EXTENT ALLOWED BY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PRINT NAME HERE SIGN NAME HERE PRINT NAME HERE SIGN NAME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issues to be decided on this application are as follows -</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terms of the waiver sufficiently brought to the plaintiff's attention;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Does the waiver, properly construed, exclude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plaintiff waive his right to sue for damages against the B.C. Snowmobile Association?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With respect to the first issue, the leading decision in this jurisdiction is that of McLachlin C.J.S.C. (as she then was) in Karroll v. Silver Star Mountain Resorts Ltd., Vancouver Registry No. C866047, </w:t>
      </w:r>
      <w:hyperlink r:id="rId978" w:history="1">
        <w:r>
          <w:rPr>
            <w:rFonts w:ascii="arial" w:eastAsia="arial" w:hAnsi="arial" w:cs="arial"/>
            <w:i/>
            <w:color w:val="0077CC"/>
            <w:sz w:val="20"/>
            <w:u w:val="single"/>
            <w:shd w:val="clear" w:color="auto" w:fill="FFFFFF"/>
            <w:lang w:val="en-US" w:eastAsia="en-US" w:bidi="ar-SA"/>
          </w:rPr>
          <w:t>[1988] B.C.J. No. 2266</w:t>
        </w:r>
      </w:hyperlink>
      <w:r>
        <w:rPr>
          <w:rFonts w:ascii="arial" w:eastAsia="arial" w:hAnsi="arial" w:cs="arial"/>
          <w:color w:val="000000"/>
          <w:sz w:val="20"/>
          <w:lang w:val="en-US" w:eastAsia="en-US" w:bidi="ar-SA"/>
        </w:rPr>
        <w:t>. In that decision, at p. 4, Her Ladyship summarized the law in these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emerges from these authorities that there is no general requirement that a party tendering a document for signature to take reasonable steps to apprise the party signing of onerous terms or to ensure that he reads and understands them. It is only where the circumstances are such that a reasonable person should have known that the party signing was not consenting to the terms in question, that such an obligation arises. For to stay silent in the face of such knowledge is, in effect, to misrepresent by omission.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the Karroll decision, Madam Justice McLachlin concluded her analysis, at p. 4,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Applying these rules to this case, we start from the fact that Ms. Karroll signed the release knowing that it was a legal document affecting her rights. Under the principles set forth in L'Estrange v. Graucob Ltd., [1934] 2 K.B. 394, she is bound by its terms unless she can bring herself within one of the exceptions to the rule. This is not a case of non est factum. Nor was there active misrepresentation. It follows that Miss Karroll is bound by the release unless she can establish: (1) that in the circumstances a reasonable person would have known that she did not intend to agree to the release she signed; and (2) that in these circumstances the defendants failed to take reasonable steps to bring the content of the release to her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the more recent decision of Lafontaine (Guardian ad litem of) v. Prince George Auto Racing Assn., </w:t>
      </w:r>
      <w:hyperlink r:id="rId979" w:history="1">
        <w:r>
          <w:rPr>
            <w:rFonts w:ascii="arial" w:eastAsia="arial" w:hAnsi="arial" w:cs="arial"/>
            <w:i/>
            <w:color w:val="0077CC"/>
            <w:sz w:val="20"/>
            <w:u w:val="single"/>
            <w:shd w:val="clear" w:color="auto" w:fill="FFFFFF"/>
            <w:lang w:val="en-US" w:eastAsia="en-US" w:bidi="ar-SA"/>
          </w:rPr>
          <w:t>[1994] B.C.J. No. 176</w:t>
        </w:r>
      </w:hyperlink>
      <w:r>
        <w:rPr>
          <w:rFonts w:ascii="arial" w:eastAsia="arial" w:hAnsi="arial" w:cs="arial"/>
          <w:color w:val="000000"/>
          <w:sz w:val="20"/>
          <w:lang w:val="en-US" w:eastAsia="en-US" w:bidi="ar-SA"/>
        </w:rPr>
        <w:t xml:space="preserve"> DRS - 94-07475, Prince George Registry No. 24120, Parrett J. had occasion to deal with a release and waiver document that was identical to the one used by the B.C. Snowmobile Federation. In that case, the deceased signatory to the release and waiver form participated in the pits of a car race put on by the Prince George Auto Racing Association ("P.G.A.R.A.") and was killed. The defendant P.G.A.R.A. sought dismissal of the claim on the basis that prior to being permitted into the race area, the deceased signed a release and waiver of liability agreement. In that case, the plaintiffs challenged the validity of the waiver on various grounds including:</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the release did not expressly refer to injuries arising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P.G.A.R.A.;</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was a failure to release claims and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deceased has been a member of P.G.A.R.A. for a number of years and had signed releases prior to the release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As in this case the release was on the table and there was no evidence as to whether the deceased read the waiver prior to signing. At paras. 50-55 inclusive, Justice Parrett made these comments: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 The court should be slow to interfere with the contractual arrangements entered into between knowledgeable adults acting under no compulsion and with an apparent understanding of the risks involved.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The argument attacking both privity of contract and lack of consideration is, in my respectful view, misconceived. The concept of privity is that generally only those who are direct parties to a contract may claim a remedy under it. A sport which, by its nature, carries with it significant risks of injury or death draws participants who are, in general terms, knowledgeable and cognizant of those risks. Their participation in these events is predicated on a recognition of those risks by all concerned, rules and procedures which seek to minimize the risks, and the agreement of all involved that no action will be taken in the event of injury or death. The consideration flowing between the various participants is the mutual release and waiver of claims against all others. The requirement that the agreement be signed before any person is allowed to enter the restricted areas or participate in the events meets the requirements of both privity and consideration.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[52] The July 29, 1990 document in paragraph 2 constitutes not just a release and a waiver but also a covenant not to sue any of the present defendants for the claims advanced. I am satisfied that each of the present defendants is encompassed within the categories of "releasees" identified within the body of the document. Paragraph 3 contains an indemnity agreement and paragraph 4 contains a full assumption by the signing participant " . . . for any risk of bodily injury, death, or property damage arising out of or related to the event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 The events of July 29, 1990 are tragic and distressing for the surviving family members who are the plaintiffs in this action, I have no doubt that the result of this action will be equally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[54] I can reach no other conclusion but that the Release and Waiver of Liability, Assumption of Risk and Indemnity Agreement executed by Mr. Wong on that date was fully understood and appreciated and freely and voluntarily entered into by him as a condition of his participation. The agreement is effective and binding upon him and his successors and precludes the present action and claims.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[55] Any other conclusion would have to ignore the way in which this sport is organized and the particular knowledge of the deceased in this case. Such a result might well end the sport's very viability and existence.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the case at bar I find that there is no suggestion that Mr. Dixon was in a position of vulnerability by reason of ignorance, need or distress and I find applying Karroll, supra, that the terms of the waiver were sufficiently brought to Mr. Dixon's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second question to be determined is whether the waiver properly construed excludes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key words of the waiver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 FROM ALL LIABILITY TO THE UNDERSIGNED, his personal representatives, assigns, heirs, and next of kin FOR ANY AND ALL LOSS OR DAMAGE, AND ANY CLAIM OR DEMANDS THEREFOR ON ACCOUNT OF INJURY TO THE PERSON OR PROPERTY OR RESULTING IN DEATH OF THE UNDERSIGNED ARISING OUT OF OR RELATED TO THE EVENT(S), WHETHER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RELEASEES OR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addition, the waiver contains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 this Release and Waiver of Liability, Assumption of Risk and Indemnity Agreement extends to all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Releasees,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 find that the waiver clearly contains express references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clearly addressed in the waiver and appreciate that the exact same wording of the waiver in Lafontaine, supra, was found by Parrett J. to include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third issue to be determined on this application is, however, more troubling. The question to be determined is as set out earlier, and this is, whether the plaintiff waived his right to sue for damages against the B.C. Snowmobile Association.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As previously indicated, the release and waiver of liability, assumption of risk and indemnity agreement signed by the plaintiff has only this as a description and location of scheduled event(s) - "Kamloops"; the other words describing the "event" being added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There is no description of an event or events which allegedly covers the activities from which the defendant Federation seeks to be released from.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While it is possible that when the plaintiff signed the waiver he understood the legal affect of signing it to be that it would waive his legal rights to pursue recovery should he be injured in his participation in the race. But that is where the difficulty lies. Mr. Dixon was not injured in the race. The snowmobile hit the hidden obstruction and flipped and catapulted or propelled him into the air before the race. He does not seek damages for any damages sustained in a race, but rather, seeks damages for the accident that occurred prior to the race, ie. during the practice run. The release refers to "events" throughout the body of the release form when those events were not fully described in the release and waiver form. It is mandatory that the event(s) be set out succinctly for the releasees to obtain the benefits of the release document. That was not done here. The actions of persons unknown to further define the "event(s)" after the fact indicate the defect in the release document signed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Had the event or events been described appropriately, then a different outcome may be in order. But, in the case at bar, I am satisfied that this R. 18A application is not an appropriate mechanism to dismiss the plaintiff's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find that the failure of the document signed by the plaintiff to identify the events that were to be covered by the document prevents consensus id idem since there is no clear evidence as to which event, ie. the practice event or the racing event, were to be events for which the plaintiff's recovery for damages would be excluded. As such, the waiver form signed by the plaintiff does not reasonably identify what risks are covered and the doctrine of contra preferendum which holds that ambiguities in a contract are to be resolved against the party who produced the document, in this case the Federation.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As such, I find that the waiver document signed by the plaintiff fails to identify with sufficient certainty what risks arising out of what events were being waived by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conclusion, although the wording is identical to the release form used in Lafontaine, supra, Lafontaine is clearly distinguishable from the case at bar in that the event or events in that case were identified with sufficient particularity to make the release binding on the releasor.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the end result, the Federation's application for dismissal of the plaintiff's claim is dismissed with costs being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CHAMBERLIST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7"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80"/>
          <w:headerReference w:type="default" r:id="rId981"/>
          <w:footerReference w:type="even" r:id="rId982"/>
          <w:footerReference w:type="default" r:id="rId983"/>
          <w:headerReference w:type="first" r:id="rId984"/>
          <w:footerReference w:type="first" r:id="rId98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986" w:history="1">
        <w:r>
          <w:rPr>
            <w:rFonts w:ascii="arial" w:eastAsia="arial" w:hAnsi="arial" w:cs="arial"/>
            <w:b/>
            <w:bCs/>
            <w:i/>
            <w:color w:val="0077CC"/>
            <w:kern w:val="32"/>
            <w:sz w:val="28"/>
            <w:szCs w:val="32"/>
            <w:u w:val="single"/>
            <w:shd w:val="clear" w:color="auto" w:fill="FFFFFF"/>
            <w:lang w:val="en-US" w:eastAsia="en-US" w:bidi="ar-SA"/>
          </w:rPr>
          <w:t>Durant v. Lennard, [2000] B.C.J. No. 917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Stromberg-Stein J.</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April 5, 2000.</w:t>
      </w:r>
    </w:p>
    <w:p>
      <w:pPr>
        <w:spacing w:before="120" w:line="260" w:lineRule="atLeast"/>
        <w:jc w:val="center"/>
        <w:rPr>
          <w:lang w:val="en-US" w:eastAsia="en-US" w:bidi="ar-SA"/>
        </w:rPr>
      </w:pPr>
      <w:r>
        <w:rPr>
          <w:rFonts w:ascii="arial" w:eastAsia="arial" w:hAnsi="arial" w:cs="arial"/>
          <w:color w:val="000000"/>
          <w:sz w:val="20"/>
          <w:lang w:val="en-US" w:eastAsia="en-US" w:bidi="ar-SA"/>
        </w:rPr>
        <w:t>New Westminster Registry No. S039880</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[2000] B.C.J. No. 917</w:t>
      </w:r>
    </w:p>
    <w:p>
      <w:pPr>
        <w:spacing w:before="120" w:line="260" w:lineRule="atLeast"/>
        <w:rPr>
          <w:lang w:val="en-US" w:eastAsia="en-US" w:bidi="ar-SA"/>
        </w:rPr>
      </w:pPr>
      <w:r>
        <w:rPr>
          <w:rFonts w:ascii="arial" w:eastAsia="arial" w:hAnsi="arial" w:cs="arial"/>
          <w:color w:val="000000"/>
          <w:sz w:val="20"/>
          <w:lang w:val="en-US" w:eastAsia="en-US" w:bidi="ar-SA"/>
        </w:rPr>
        <w:t>Between Arlie Elaine Durant, plaintiff, and Edith Lorraine Lennard and Joseph Lennard,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(17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58" style="position:absolute;z-index:25170739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313" w:name="Keywords_45"/>
      <w:bookmarkEnd w:id="313"/>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gratuitous passengers — Pleading and proof — Motor vehicle, standard of care of driver — On bridges — Dangerous highways or adverse driving conditions.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314" w:name="Case Summary_42"/>
            <w:bookmarkEnd w:id="314"/>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Lennard for summary judgment dismissing Durant's action for injuries she suffered in a motor vehicle accident. Durant was Lennard's passenger on the highway. The temperature was around the freezing point and there had been rain so that Durant drove below the posted speed limit. Although there was ice in the parking lot where the parties started out, neither party noticed any problems with the roads. At a bridge, Durant pointed out the presence of a police car. Lennard reflexively put on the brakes and her vehicle skidded out of control, ending up in an embankment. She claimed that the accident was not a result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was inevitable. </w:t>
            </w:r>
            <w:r>
              <w:rPr>
                <w:lang w:val="en-US" w:eastAsia="en-US" w:bidi="ar-SA"/>
              </w:rPr>
              <w:cr/>
            </w:r>
          </w:p>
          <w:p>
            <w:pPr>
              <w:spacing w:before="120" w:line="260" w:lineRule="atLeast"/>
              <w:ind w:left="240"/>
              <w:jc w:val="both"/>
              <w:rPr>
                <w:lang w:val="en-US" w:eastAsia="en-US" w:bidi="ar-SA"/>
              </w:rPr>
            </w:pPr>
            <w:bookmarkStart w:id="315" w:name="Holdings of Court_37"/>
            <w:bookmarkEnd w:id="315"/>
            <w:r>
              <w:rPr>
                <w:rFonts w:ascii="arial" w:eastAsia="arial" w:hAnsi="arial" w:cs="arial"/>
                <w:color w:val="000000"/>
                <w:sz w:val="20"/>
                <w:lang w:val="en-US" w:eastAsia="en-US" w:bidi="ar-SA"/>
              </w:rPr>
              <w:t>HELD: Application allowed and action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accident was inevitable. Alternatively, at best there were equal chances that it was negligently caused and not-negligently caused. </w:t>
            </w:r>
            <w:r>
              <w:rPr>
                <w:lang w:val="en-US" w:eastAsia="en-US" w:bidi="ar-SA"/>
              </w:rPr>
              <w:cr/>
            </w:r>
          </w:p>
          <w:p>
            <w:pPr>
              <w:rPr>
                <w:lang w:val="en-US" w:eastAsia="en-US" w:bidi="ar-SA"/>
              </w:rPr>
            </w:pPr>
          </w:p>
        </w:tc>
      </w:tr>
    </w:tbl>
    <w:p>
      <w:pPr>
        <w:jc w:val="both"/>
        <w:rPr>
          <w:lang w:val="en-US" w:eastAsia="en-US" w:bidi="ar-SA"/>
        </w:rPr>
      </w:pPr>
      <w:bookmarkStart w:id="316" w:name="Legislation Cited_38"/>
      <w:bookmarkEnd w:id="316"/>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259" style="position:absolute;z-index:25175859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 18A.</w:t>
      </w:r>
      <w:r>
        <w:rPr>
          <w:lang w:val="en-US" w:eastAsia="en-US" w:bidi="ar-SA"/>
        </w:rPr>
        <w:cr/>
      </w:r>
    </w:p>
    <w:p>
      <w:pPr>
        <w:keepNext/>
        <w:spacing w:before="240" w:line="340" w:lineRule="atLeast"/>
        <w:rPr>
          <w:lang w:val="en-US" w:eastAsia="en-US" w:bidi="ar-SA"/>
        </w:rPr>
      </w:pPr>
      <w:bookmarkStart w:id="317" w:name="Counsel_47"/>
      <w:bookmarkEnd w:id="317"/>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60" style="position:absolute;z-index:25180979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G. Hilker, for the plaintiff. A. Roberts, for the defendants.</w:t>
      </w:r>
      <w:r>
        <w:rPr>
          <w:lang w:val="en-US" w:eastAsia="en-US" w:bidi="ar-SA"/>
        </w:rPr>
        <w:cr/>
      </w:r>
    </w:p>
    <w:p>
      <w:pPr>
        <w:spacing w:after="240"/>
        <w:rPr>
          <w:lang w:val="en-US" w:eastAsia="en-US" w:bidi="ar-SA"/>
        </w:rPr>
      </w:pPr>
      <w:bookmarkStart w:id="318" w:name="Judgment_47"/>
      <w:bookmarkEnd w:id="318"/>
      <w:r>
        <w:pict>
          <v:line id="_x0000_s1261" style="position:absolute;z-index:251860992"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319" w:name="STROMBERG-STEIN J. (orally)"/>
            <w:bookmarkEnd w:id="319"/>
            <w:r>
              <w:rPr>
                <w:rFonts w:ascii="arial" w:eastAsia="arial" w:hAnsi="arial" w:cs="arial"/>
                <w:b/>
                <w:color w:val="000000"/>
                <w:sz w:val="30"/>
                <w:lang w:val="en-US" w:eastAsia="en-US" w:bidi="ar-SA"/>
              </w:rPr>
              <w:t>STROMBERG-STEIN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applies pursuant to Rule 18A to dismiss the plaintiff's action for damages for injuries received as a passenger in a motor vehicle driven by the defendant, Edith Lennard. The vehicle was owned by the defendant Joseph Lennard. My references to the defendant hereafter will be to the defendant driver.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 conclude this is appropriately dealt with by Rule 18A having regard to the rule itself and the relevant authorities. The facts are not in dispute.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and defendant were returning from Ferndale, Washington where they had been playing Bingo. They left at approximately 10 p.m. The Bingo parking lot was extremely icy when they left Ferndale. The defendant drove under the posted speed limit of 100 kilometres per hour travelling approximately 800 kilometres per hour in the slow right lane of the highway. Before the accident, the defendant did not encounter any adverse road conditions, over the distance between Ferndale and Canada Customs and between Canada Customs and the accident scene. I do not know what this distance is exactly. However, there is evidence that the accident occurred about 11 p.m. I can conclude that there were no adverse road conditions encountered over the driving period of approximately one hour.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accident occurred on Highway 99 as the vehicle started across the Nicomekl Bridge near Surrey. At the bridge approach, the plaintiff said to the defendant, "There's the bubblegum buster", referring to the presence of a police vehicle. The defendant applied the brakes, I infer instinctively, even though she was travelling below the speed limit.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described a sensation as though something grabbed the wheel and turned the vehicle to the right. She was unable to control the direction of travel of the vehicle. The vehicle spun off the road into a signpost at the north end of the bridge and went down an embankment. The plaintiff was injured in this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Up to the point of the accident, other than the ice on the Bingo parking lot, the drive had been uneventful and there were no difficulties encountered with the road surface. Apparently the temperature was hovering near zero degrees celsius and there had been rain and freezing rain throughout the evening.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Constable Belado, the investigating R.C.M.P. officer, was at the opposite end of the bridge investigating another accident when she heard the crash involving the defendant's vehicle. The Constable recalls that the bridge deck was icy and slippery. There was an outstanding request to sand the bridge deck, although it had been sanded earlier that night.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At the examination for discovery, the plaintiff made the following admissions: i) that between the time the plaintiff got into the car with the driver to the time of the accident, the plaintiff did not feel the car skid, spin, or slip at any point; ii) she did not recall seeing any ice on the road; iii) she did not see any snow or slush on the road; iv) she did not know whether she saw any rain or wet road conditions; v) between the time she got into the car and the time the accident occurred, her perception was that the roads seemed fine.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It is the position of the defendant that there is no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that caused or contributed to the accident. The defendant saw any problems with the road conditions. There is no evidence of speeding, careless driving, or driving without due care and attention. Evidence of braking by the defendant is insufficient proof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a balance of probabilities. In short, the defendant argues this was an unfortunate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It is the position of the plaintiff that this is not a case of inevitable accident. Rather, the accident resulted from driver error. The plaintiff argues that a reasonably prudent driver should have been alerted to an icy road surface, having regard to the ice observed in the parking lot. It was the application of brakes on an icy surface, in response to being informed of the police presence, that caused the accident. It is argued by the plaintiff that the negligent act here was the application of the brakes for no good reason causing the vehicle to spin out of control on 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onus of proof on this 18A application rests with the plaintiff: Miura v. Miura </w:t>
      </w:r>
      <w:hyperlink r:id="rId987" w:history="1">
        <w:r>
          <w:rPr>
            <w:rFonts w:ascii="arial" w:eastAsia="arial" w:hAnsi="arial" w:cs="arial"/>
            <w:i/>
            <w:color w:val="0077CC"/>
            <w:sz w:val="20"/>
            <w:u w:val="single"/>
            <w:shd w:val="clear" w:color="auto" w:fill="FFFFFF"/>
            <w:lang w:val="en-US" w:eastAsia="en-US" w:bidi="ar-SA"/>
          </w:rPr>
          <w:t>(1992), 66 B.C.L.R. (2d) 345</w:t>
        </w:r>
      </w:hyperlink>
      <w:r>
        <w:rPr>
          <w:rFonts w:ascii="arial" w:eastAsia="arial" w:hAnsi="arial" w:cs="arial"/>
          <w:color w:val="000000"/>
          <w:sz w:val="20"/>
          <w:lang w:val="en-US" w:eastAsia="en-US" w:bidi="ar-SA"/>
        </w:rPr>
        <w:t xml:space="preserve"> (B.C.C.A.). Further, a defendant may be granted judgment on a defence of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action arising as a result of a motor vehicle accident on an 18A application: Rothwell v. Dease River Wilderness Holdings Inc. </w:t>
      </w:r>
      <w:hyperlink r:id="rId988" w:history="1">
        <w:r>
          <w:rPr>
            <w:rFonts w:ascii="arial" w:eastAsia="arial" w:hAnsi="arial" w:cs="arial"/>
            <w:i/>
            <w:color w:val="0077CC"/>
            <w:sz w:val="20"/>
            <w:u w:val="single"/>
            <w:shd w:val="clear" w:color="auto" w:fill="FFFFFF"/>
            <w:lang w:val="en-US" w:eastAsia="en-US" w:bidi="ar-SA"/>
          </w:rPr>
          <w:t>[1998] B.C.J. No. 434</w:t>
        </w:r>
      </w:hyperlink>
      <w:r>
        <w:rPr>
          <w:rFonts w:ascii="arial" w:eastAsia="arial" w:hAnsi="arial" w:cs="arial"/>
          <w:color w:val="000000"/>
          <w:sz w:val="20"/>
          <w:lang w:val="en-US" w:eastAsia="en-US" w:bidi="ar-SA"/>
        </w:rPr>
        <w:t xml:space="preserve"> (B.C.S.C.), Cole J.</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On the authority of Fontaine v. I.C.B.C., </w:t>
      </w:r>
      <w:hyperlink r:id="rId930" w:history="1">
        <w:r>
          <w:rPr>
            <w:rFonts w:ascii="arial" w:eastAsia="arial" w:hAnsi="arial" w:cs="arial"/>
            <w:i/>
            <w:color w:val="0077CC"/>
            <w:sz w:val="20"/>
            <w:u w:val="single"/>
            <w:shd w:val="clear" w:color="auto" w:fill="FFFFFF"/>
            <w:lang w:val="en-US" w:eastAsia="en-US" w:bidi="ar-SA"/>
          </w:rPr>
          <w:t>[1998] 1 S.C.R. 424</w:t>
        </w:r>
      </w:hyperlink>
      <w:r>
        <w:rPr>
          <w:rFonts w:ascii="arial" w:eastAsia="arial" w:hAnsi="arial" w:cs="arial"/>
          <w:color w:val="000000"/>
          <w:sz w:val="20"/>
          <w:lang w:val="en-US" w:eastAsia="en-US" w:bidi="ar-SA"/>
        </w:rPr>
        <w:t xml:space="preserve">, in a claim arising from a motor vehicle accident, the plaintiff bears the burden of proving on a balance of probabilities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caused the plaintiff's injuries. The doctrine of res ipsa loquitur does not shift the burden of proof. If, at the conclusion of a case, it would be equally reasonable to infer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will have failed to prove the case. If the defendant produces a reasonable explanation that is as consistent with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this will effectively neutralize the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plaintiff's case will fall.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Further authorities cited by counsel for the defendant include Enns v. McConochie </w:t>
      </w:r>
      <w:hyperlink r:id="rId989" w:history="1">
        <w:r>
          <w:rPr>
            <w:rFonts w:ascii="arial" w:eastAsia="arial" w:hAnsi="arial" w:cs="arial"/>
            <w:i/>
            <w:color w:val="0077CC"/>
            <w:sz w:val="20"/>
            <w:u w:val="single"/>
            <w:shd w:val="clear" w:color="auto" w:fill="FFFFFF"/>
            <w:lang w:val="en-US" w:eastAsia="en-US" w:bidi="ar-SA"/>
          </w:rPr>
          <w:t>[1993] B.C.J. No. 2926</w:t>
        </w:r>
      </w:hyperlink>
      <w:r>
        <w:rPr>
          <w:rFonts w:ascii="arial" w:eastAsia="arial" w:hAnsi="arial" w:cs="arial"/>
          <w:color w:val="000000"/>
          <w:sz w:val="20"/>
          <w:lang w:val="en-US" w:eastAsia="en-US" w:bidi="ar-SA"/>
        </w:rPr>
        <w:t xml:space="preserve"> (B.C.S.C.), a decision of Mr. Justice Edwards which cites Babich v. Maxwell </w:t>
      </w:r>
      <w:hyperlink r:id="rId990" w:history="1">
        <w:r>
          <w:rPr>
            <w:rFonts w:ascii="arial" w:eastAsia="arial" w:hAnsi="arial" w:cs="arial"/>
            <w:i/>
            <w:color w:val="0077CC"/>
            <w:sz w:val="20"/>
            <w:u w:val="single"/>
            <w:shd w:val="clear" w:color="auto" w:fill="FFFFFF"/>
            <w:lang w:val="en-US" w:eastAsia="en-US" w:bidi="ar-SA"/>
          </w:rPr>
          <w:t>(1990), 49 B.C.L.R. (2d) 269</w:t>
        </w:r>
      </w:hyperlink>
      <w:r>
        <w:rPr>
          <w:rFonts w:ascii="arial" w:eastAsia="arial" w:hAnsi="arial" w:cs="arial"/>
          <w:color w:val="000000"/>
          <w:sz w:val="20"/>
          <w:lang w:val="en-US" w:eastAsia="en-US" w:bidi="ar-SA"/>
        </w:rPr>
        <w:t xml:space="preserve"> (B.C.C.A.). Babich stands for the proposition that it does not necessarily follow that because an accident has occurred,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involved. Further, there is authority for the proposition that an accident following an encounter with unexpected ice on a roadway does not, in itself, support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driver: Atherton v. Maurice [1998] B.C,J. No. 575 (B.C.C.A.).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Having regard to the facts in this case and the relevant authorities, I conclude that this is a case of inevitable accident. Alternatively, even cast in the best light, it is equally possible to infer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facts.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has failed to discharge the onus of proof on a balance of probabilities. The defendant's application pursuant to Rule 18A to dismiss this application is granted.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plaintiff's action is dismissed. The defendant is entitled to costs. In the normal event, that would be on Scale 3. Is there any reason why the normal event should not apply here?</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(SUBMISSIONS)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There's so little difference between Scale 3 three and Scale 2, neither of which have any bearing on what actual costs are. In the normal course of events, Scale 3 is appropriate and I don't see any reason to deviate from that. Cost will be on Scale 3.</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STROMBERG-STEIN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9019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91"/>
          <w:headerReference w:type="default" r:id="rId992"/>
          <w:footerReference w:type="even" r:id="rId993"/>
          <w:footerReference w:type="default" r:id="rId994"/>
          <w:headerReference w:type="first" r:id="rId995"/>
          <w:footerReference w:type="first" r:id="rId99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97" w:history="1">
        <w:r>
          <w:rPr>
            <w:rFonts w:ascii="arial" w:eastAsia="arial" w:hAnsi="arial" w:cs="arial"/>
            <w:b/>
            <w:bCs/>
            <w:i/>
            <w:color w:val="0077CC"/>
            <w:kern w:val="32"/>
            <w:sz w:val="28"/>
            <w:szCs w:val="32"/>
            <w:u w:val="single"/>
            <w:shd w:val="clear" w:color="auto" w:fill="FFFFFF"/>
            <w:lang w:val="en-US" w:eastAsia="en-US" w:bidi="ar-SA"/>
          </w:rPr>
          <w:t>Dwyer v. Douglas Lake Cattle Co., [2003] B.C.J. No. 2222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B.M. Davies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9 - 12,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24,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S022388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2222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1413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125 A.C.W.S. (3d) 538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Desmond P. Dwyer, plaintiff, and Douglas Lake Cattle Company,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63"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20" w:name="Keywords_46"/>
      <w:bookmarkEnd w:id="320"/>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particular persons and relationships — Horseback riders — Duty of care — Whether the defendant took reasonable care — Causation — Causal connection — Defences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What constitutes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21" w:name="Case Summary_43"/>
            <w:bookmarkEnd w:id="32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Dwyer against Douglas Lake Cattle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Douglas operated a ranch. Dwyer, his wife and son visited the ranch. The family went on a trail ride. Dwyer and his son were novice riders. They were assured by Douglas that a proper ride would be made available for them. The trail ride guide was surprised when they attended, as she expected two riders instead of three. A third horse was obtained under chaotic conditions. The guide claimed that she gave reining instructions before the ride and had the guests ride around a ring. She also told them not to remove any clothing, pass her horse, which was supposed to be in front, or race. Dwyer and his wife testified that they were given minimal riding instructions. They were given no trail etiquette or safety instructions. During the ride, their son's horse was in the lead. Dwyer's horse was agitated during the ride. The guide assured him that the horse was fine. Dwyer removed his jacket because he was warm. His horse tried to keep up with his son's horse. Dwyer fell over the horse's left shoulder, landed on the ground and suffered a fractured skull. At issue was whether Douglas owed a duty of care to Dwyer, whether the standard of care was breached, and whether Dwyer suffered damages as a result. Douglas pleaded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doctrine of volenti non fit injuria.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22" w:name="Holdings of Court_38"/>
            <w:bookmarkEnd w:id="322"/>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Douglas was negligent in the operation of the trail ride. Such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Dwyer's injuries. Dwyer and his wife were credible witnesses. The guide was not. Douglas failed to meet the duty of care owed to take reasonable precautions to avoid injury to Dwyer. The guide was not given adequate training by Douglas as a guide for novice riders. There was a breakdown in communications between Douglas's booking staff and the guide which caused her to believe that there would only be two riders. The guide did not provide adequate riding or trail ride safety instructions. The guide also did not lead the ride. She did not respond adequately to Dwyer's concerns about his horse's behaviour. Dwyer's fall occurred because his jacket came loose because he placed it improperly on the horse. Dwyer was not contributorily negligent. The plea of volenti non fit injuria also failed.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23" w:name="Counsel_48"/>
      <w:bookmarkEnd w:id="32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64" style="position:absolute;z-index:2517596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K.C. Jarvis, for the plaintiff. M.G. Murphy,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24" w:name="Judgment_48"/>
      <w:bookmarkEnd w:id="324"/>
      <w:r>
        <w:pict>
          <v:line id="_x0000_s1265" style="position:absolute;z-index:25181081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25" w:name="B.M. DAVIES J."/>
            <w:bookmarkEnd w:id="325"/>
            <w:r>
              <w:rPr>
                <w:rFonts w:ascii="arial" w:eastAsia="arial" w:hAnsi="arial" w:cs="arial"/>
                <w:b/>
                <w:color w:val="000000"/>
                <w:sz w:val="30"/>
                <w:lang w:val="en-US" w:eastAsia="en-US" w:bidi="ar-SA"/>
              </w:rPr>
              <w:t>B.M. DAVIES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case requires determination of the liability, if any, of the defendant, Douglas Lake Cattle Company, for serious damages suffered by the plaintiff, Dr. Desmond Dwyer when he fell from a horse during a trail ride operated by the defendant at its large cattle and recreation ranch in the interior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May of 2001, Dr. Dwyer, his wife Stephanie and their young son Sean, visited the defendant's ranch on a fishing trip which Dr. Dwyer had won. On the second day of their trip Mrs. Dwyer suggested that they all go on a trail ride.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Dr. Dwyer and Sean were not keen on the idea because they had virtually no experience with horses. Mrs. Dwyer, however, had some limited riding experience. She persisted in her suggestion, and after breakfast they all attended at the front desk of the defendant's Stoney Lake Lodge where they were staying. They inquired whether a trail ride for novice riders might be available and were told that a ride with experienced riders was available in the morning, but that a novice ride could be made available that afternoon. They were also assured that the ride would be appropriate for beginner riders and an enjoyable experience for all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When they arrived at the stable for their scheduled one hour ride, they were met by Ms. Josee Hartfield who introduced herself as their trail ride guide. Dr. and Mrs. Dwyer testified that Ms. Hartfield was surprised to see that there were three rather than two guests. They said this required that Ms. Hartfield and an assistant obtain another horse from a nearby corral for the trail ride. Ms. Hartfield testified in examination in chief that she had enough horses ready for the ride, but in cross-examination did not deny that she may have had to obtain another horse from the corral.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Dr. and Mrs. Dwyer also testified that the process of obtaining the additional horse was a somewhat chaotic one in that the horses in the corral were being disturbed by a recently castrated stallion. In any event, a horse named Frostbite was removed from the corral, saddled by Ms. Hartfield, and became the plaintiff's horse for the ride.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Hartfield testified that she was aware that the Dwyers were all inexperienced riders from the booking sheet that had been forwarded to her by the lodge. She also acknowledged that she never inquired as to the extent of their lack of experience but said that it did not matter because the horses chosen for the ride were all "beginner" horses.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Hartfield testified in examination in chief that she gave reining instructions before the ride began and also that her three guests rode around the ring while she observed them. She also said that she instructed them that during the ride they were not to remove their clothing, pass her horse or race. Dr. Dwyer and Mrs. Dwyer both stated that they were only told that they should either hold on to the reins or the saddle horn while riding and were given no trail etiquette or safety instructions. Each also testified that they did not ride around the ring at all before starting onto the trail. Under cross-examination Ms. Hartfield admitted that she did not observe the riders in the ring before commencing the ride. She did, however, continue to maintain that she had given riding instructions as well as the instructions not to remove their clothing, pass her on the trail, or race.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Dr. and Mrs. Dwyer testified that almost immediately after the trail ride started, Sean's horse not only took the lead but broke into a fast trot and thereafter set the pace for the ride without control, intervention or direction by Ms. Hartfield. To the contrary, Ms. Hartfield testified that until just before the end of the ride she was always in the lead and that the ride was generally conducted at a walk and never at more than a trot. She also testified that near the end of the ride, Dr. Dwyer and Sean passed her and that they were then exchanging the lead so that she had to tell them to stop and not race. Dr. Dwyer and Mrs. Dwyer both denied that any horse other than Sean's horse was ever in the lead and the proposition that Dr. Dwyer and Sean were racing was never put to Dr. Dwyer or Mrs. Dwyer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Dr. and Mrs. Dwyer also each testified that their horses were agitated and nervous and frothing from the mouth during the ride. In particular, Dr. Dwyer testified that Frostbite was constantly pulling her head forward and otherwise tossing her head and causing him difficulty with his balance. He said that he expressed concern about this to Ms. Hartfield but was told that it was not a problem and that Frostbite likely had problems with the bit in her mouth. He testified that Ms. Hartfield took no further action and that the ride continued. Dr. Dwyer said that things did not change so that on at least two, and perhaps three other occasions, he expressed the same concerns about Frostbite's behaviour to Ms. Hartfield but that she still did not take any remedial action and also gave him no further riding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Dr. Dwyer also testified that early in the ride trying to handle Frostbite caused him to become very warm so that he removed the jacket he was wearing and placed it beneath him on the saddle just behind the saddle horn. He said that Ms. Hartfield saw him do this and made no comment. Ms. Hartfield denied that there were any problems or complaints about Frostbite tossing her head during the ride. I do note, however, that during her examination for discovery Ms. Hartfield said that the actions that were complained of by Dr. Dwyer were common with Frostbite and were not of concern to her. She also testified that Dr. Dwyer was wearing the jacket until just before his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Dr. and Mrs. Dwyer both testified that although at times the horses walked during the ride without causing difficulty, for the most part they trotted quickly and that neither Dr. Dwyer nor Sean was able to exercise control over them. They also said that as the riders neared the end of the trail, Sean's horse as the lead horse sped up even more than before and that Frostbite, as she had done throughout the ride, immediately followed at the increased 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Mrs. Dwyer testified that during this particular stage of the ride Sean was sitting on his horse with his arms and legs flapping. She said that it was then, as Frostbite tried to keep up with Sean's horse, that Dr. Dwyer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Dr. Dwyer went over Frostbite's left shoulder. He landed partly on his head and partly on his right shoulder in the dirt of the trail. He lost consciousness for a period of time and it was later determined that he had suffered a fractured skull.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Hartfield testified under cross-examination that she believed Dr. Dwyer's fall was caused by his removal of his jacket before his fall and that this happened immediately after she had told Dr. Dwyer and Sean to stop racing. In examination in chief, however, she had testified that the racing between Dr. Dwyer and Sean had ended four or five minutes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Hartfield testified that after Dr. Dwyer fell he was sitting on the ground where he had fallen and that she immediately dismounted. She said that she asked if he was hurt and that upon learning that he complained only of a sore wrist, she proceeded to attend to rounding up Frostbite.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Mrs. Dwyer testified to the contrary. She said that when Dr. Dwyer fell she became afraid that her horse would trample upon him as he lay on the trail because she could not control her horse or dismount. She said that when she saw Dr. Dwyer stir she urged him to try to get off the trail and he did so. She also testified that after Dr. Dwyer fell off of Frostbite, Ms. Hartfield immediately shouted "loose horse" and pursued Frostbite, caught her and then brought her back to the other riders before in any way assisting Dr. Dwyer. Mrs. Dwyer further testified that only after Ms. Hartfield returned did she help Mrs. Dwyer dismount and that Mrs. Dwyer then went to assist her husband with Ms. Hartfield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Dr. Dwyer testified that when he was asked by Ms. Hartfield whether he was hurt, he was bleeding, he was dirty, and he had a very sore wrist. He also said that he told Ms. Hartfield that he could not walk, and that, while in a daze, and at Ms. Hartfield's suggestion, he agreed to re-mount Frostbite for the balance of the ride to the barn. Both Mrs. Dwyer and Dr. Dwyer testified that there was no offer of any other form of transportation. Fortunately, Dr. Dwyer suffered no further injury while riding the short distance to the barn.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Hartfield testified that she did not recall whether Dr. Dwyer had walked or ridden to the stables after his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Dr. Dwyer slept that afternoon after returning to the lodge. Before going to sleep he asked Mrs. Dwyer not to let him sleep too long and gave her emergency instructions if he did. He was woken later and was able to go fishing in the early evening. Mrs. Dwyer, however, reported that he appeared disoriented while rowing the boat that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Dwyer family left the defendant's ranch the next day as scheduled and after a short period Dr. Dwyer sought medical attention for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liability portion of this trial requires that I determine whether, in these circumstances, the defendant owed a duty of care to the plaintiff, and if so, the standard of that care. I must then determine whether the defendant failed to meet the standard of care so that its actions constituted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if so, whether the plaintiff suffered damages as a result of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defendant also pleads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doctrine of volenti non fit injuria.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 AND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 leading case concerning the duty of care owed by the operators of horse riding facilities to their customers is the Manitoba Queen's Bench decision of Dickson J. (as he then was) in Saari v. Sunshine Riding Academy </w:t>
      </w:r>
      <w:hyperlink r:id="rId998" w:history="1">
        <w:r>
          <w:rPr>
            <w:rFonts w:ascii="arial" w:eastAsia="arial" w:hAnsi="arial" w:cs="arial"/>
            <w:i/>
            <w:color w:val="0077CC"/>
            <w:sz w:val="20"/>
            <w:u w:val="single"/>
            <w:shd w:val="clear" w:color="auto" w:fill="FFFFFF"/>
            <w:lang w:val="en-US" w:eastAsia="en-US" w:bidi="ar-SA"/>
          </w:rPr>
          <w:t>(1967), 65 D.L.R. (2d) 92</w:t>
        </w:r>
      </w:hyperlink>
      <w:r>
        <w:rPr>
          <w:rFonts w:ascii="arial" w:eastAsia="arial" w:hAnsi="arial" w:cs="arial"/>
          <w:color w:val="000000"/>
          <w:sz w:val="20"/>
          <w:lang w:val="en-US" w:eastAsia="en-US" w:bidi="ar-SA"/>
        </w:rPr>
        <w:t xml:space="preserve"> (Man. Q.B.). In that case, Dickson J. determined that the owner of a riding academy owes a duty of reasonable care to prevent injury to customers. He also determined that it is negligent to permit an inexperienced rider to ride without proper instruction on how to sit correctly on a horse, hold the reins and check the horse.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Saari decision has been considered and followed on numerous occasions in Canada including in the decision of this court in Richardson v. Saunders, </w:t>
      </w:r>
      <w:hyperlink r:id="rId999" w:history="1">
        <w:r>
          <w:rPr>
            <w:rFonts w:ascii="arial" w:eastAsia="arial" w:hAnsi="arial" w:cs="arial"/>
            <w:i/>
            <w:color w:val="0077CC"/>
            <w:sz w:val="20"/>
            <w:u w:val="single"/>
            <w:shd w:val="clear" w:color="auto" w:fill="FFFFFF"/>
            <w:lang w:val="en-US" w:eastAsia="en-US" w:bidi="ar-SA"/>
          </w:rPr>
          <w:t>[1989] B.C.J. No. 1119</w:t>
        </w:r>
      </w:hyperlink>
      <w:r>
        <w:rPr>
          <w:rFonts w:ascii="arial" w:eastAsia="arial" w:hAnsi="arial" w:cs="arial"/>
          <w:color w:val="000000"/>
          <w:sz w:val="20"/>
          <w:lang w:val="en-US" w:eastAsia="en-US" w:bidi="ar-SA"/>
        </w:rPr>
        <w:t xml:space="preserve"> (S.C.), in which Cowan J. stated at [paragraph]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the issues of duty of care and standard of care I accept what was stated by Provenzano L.J.S.C. in the case of Burhoe v. Beach Grove Stables Ltd. et al., (Vancouver Registry No. A842762, December 7, 1987) [now reported as </w:t>
      </w:r>
      <w:hyperlink r:id="rId1000" w:history="1">
        <w:r>
          <w:rPr>
            <w:rFonts w:ascii="arial" w:eastAsia="arial" w:hAnsi="arial" w:cs="arial"/>
            <w:i/>
            <w:color w:val="0077CC"/>
            <w:sz w:val="20"/>
            <w:u w:val="single"/>
            <w:shd w:val="clear" w:color="auto" w:fill="FFFFFF"/>
            <w:lang w:val="en-US" w:eastAsia="en-US" w:bidi="ar-SA"/>
          </w:rPr>
          <w:t>[1987] B.C.J. No. 2435</w:t>
        </w:r>
      </w:hyperlink>
      <w:r>
        <w:rPr>
          <w:rFonts w:ascii="arial" w:eastAsia="arial" w:hAnsi="arial" w:cs="arial"/>
          <w:color w:val="000000"/>
          <w:sz w:val="20"/>
          <w:lang w:val="en-US" w:eastAsia="en-US" w:bidi="ar-SA"/>
        </w:rPr>
        <w:t>]. That was also a case where a rider who had hired a horse from a riding stable fell from the horse and suffered injuries. At page 7 of the judgment he states: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 doubt these defendants owed a duty to the plaintiff to take reasonable precautions to prevent injury to the plaintiff in renting a horse to her for purposes of horseback riding. I accept and adopt what was said in Saari v. Sunshine Riding Academy </w:t>
      </w:r>
      <w:hyperlink r:id="rId998" w:history="1">
        <w:r>
          <w:rPr>
            <w:rFonts w:ascii="arial" w:eastAsia="arial" w:hAnsi="arial" w:cs="arial"/>
            <w:i/>
            <w:color w:val="0077CC"/>
            <w:sz w:val="20"/>
            <w:u w:val="single"/>
            <w:shd w:val="clear" w:color="auto" w:fill="FFFFFF"/>
            <w:lang w:val="en-US" w:eastAsia="en-US" w:bidi="ar-SA"/>
          </w:rPr>
          <w:t>(1967) 65 D.L.R. (2d) 92</w:t>
        </w:r>
      </w:hyperlink>
      <w:r>
        <w:rPr>
          <w:rFonts w:ascii="arial" w:eastAsia="arial" w:hAnsi="arial" w:cs="arial"/>
          <w:color w:val="000000"/>
          <w:sz w:val="20"/>
          <w:lang w:val="en-US" w:eastAsia="en-US" w:bidi="ar-SA"/>
        </w:rPr>
        <w:t xml:space="preserve"> at 97:</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The operator of a riding academy is not an insurer of the safety of his customers. There is certain element of risk in horseback riding, however careful the operator may be and a certain element of risk must be accepted by any rider who hires a horse from a riding academy and goes on a trail ride. The question then must be answered, did the defendant take reasonable precautions to prevent injury to... (the plaintiff)...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standard of care required in a case such as this would include assuring that the horse hired was proper in that it had no unusual propensities; that the place or area provided for the ride was proper in all the circumstances; that the equipment provided was satisfactory and suitable; and, that the guide provided was trained, experienced and familiar with the trails to be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note that the enumeration of factors by Cowan J. was inclusive rather than exhaustive and in my view the factual circumstances of each case will determine whether the operator of a stable has taken the necessary reasonable precautions to avoid injury to his customer.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this case, I heard opinion evidence concerning the standard of care to be expected of operators of horse riding facilities when dealing with beginner or inexperienced riders. Ms. Eleanor Klawer who testified on behalf of the plaintiff is an accredited Level 2 Equestrian Coach and operates her own teaching and riding facility in Langley,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am not entirely satisfied that Ms. Klawer did not seek to impose the higher standards associated with the operation of equestrian training facilities upon "dude ranch" one hour trail ride operations. I say that particularly with regard to her suggestions that safety helmets should be worn while riding on a trail ride. While that certainly might be a useful protective measure and might have helped to prevent some of the injury suffered by Dr. Dwyer, I am not satisfied that the plaintiff has established on a balance of probabilities that in May, 2001 it was standard dude ranch trail ride procedure to make helmets available to novice riders. As Ms. Klawer noted, the wearing of helmets is not part of "western" riding traditions.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do, however, accept that many other aspects of Ms. Klawer's opinions concerning the safety and care of novice riders are applicable to both an equestrian teaching facility and a casual dude ranch trail ride.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Further and more important to the determination of the standard of care to be expected of the defendant in this case, is the fact that the defendant has reduced to writing its guidelines for the conduct of its staff before and during each trail ride. Mr. Joseph Gardner, the defendant's general manager, testified that although the guidelines were not in writing before Dr. Dwyer's fall from Frostbite, the same policies and guidelines were in place when he fell. The relevant portions of those guidelines in relation to this case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GENERAL GUIDELINES</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Know your animals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Spend time riding each and every one of them so as to familiarize yourself with their habits. This should be done regularly throughout the riding season.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Each horse should be worked with to achieve a beginner or intermediate level only. It will be your job to match your riders with the horse which best matches their abilities.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Know your riders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You assess your guests riding experience and ability. All of your riders will be asked for their riding experience when they make their reservation but it is your responsibility to assess actual skill level of your riders and match them with suitable mounts.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assessment can begin from the moment they arrive at the barn by watching their behaviour and attitude around the animals.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PRE-RIDE PREPARATION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your responsibility to ensure that every rider has read, understood and signed a waiver prior to their arrival at the barn. Each waiver must be checked to ensure it has been filled out correctly and completely. No person is to go out until they have read, understood and signed a waiver, no exceptions! If permission has been received to take staff for trail rides, they too need to sign a waiver. Check off all waivers as you receive them on the check sheet.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Riders will be asked to arrive at the barn 10 to 15 minutes prior to the scheduled departure time. All horses are to be ready at this time. This will allow you time to speak with the riders as they arrive and ask further questions regarding their past riding experience.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You are responsible for mounting up each rider. Ensure you do a cinch check and untie them from the rail BEFORE they mount up. Mark cinch check #1 on your check sheet.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Take this as an opportunity to assess their experience. Specifically look for:</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Are they calm?</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Are they approaching the horse properly?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Where are the reins as they prepare to mount up?</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Are they on the right side?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This is a good opportunity for useful instructions on safety. Offer them advice on how to approach if you see them hesitate. Advise them on how to hold the reins properly during mount up and once they are on the horse.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At this time, all riders should first ride in the arena area.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REMEMBER: it is up to you to assess the riders ability. If you sense a rider is less experienced than the horse you have matched them with then find an alternative horse more suitable for them.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Once all riders are mounted, take a few moments for basic reining instruction and trail etiquette: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Do not bunch up on the trail.</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Do not pass other horses.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Do not attempt to take off or put on any clothing while on your horse.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Riders are to let you know if they need to do this and the ride will be stopped so you can assist them to get off their horse and do this safely.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Do not yell or scream during the ride.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Do not attempt to slow your horse down so that you can run to catch up.</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Never pass the wrangler.</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Do not race horses.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Slowest rider sets the pace for the entire group.</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Check off the pre-ride safety talk on your check sheet.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RIDE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cinch check is to be done 10 minutes after leaving the barn and should be done again during the ride as you deem needed. Mark cinch check #2 on your check sheet.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Talk to your guests throughout the ride. Many guests will be nervous and it is your job to put them at ease and ensure they have the instructions they need to be safe and feel comfortable.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Watch all your riders as much as possible for unsafe habits. Use these opportunities for instruction.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a rider is continuously doing something which could endanger themselves or the other riders, despite all your earlier warnings, you are to return to the barn.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Do not use the same rest stops on the trails, especially the one you use before returning to the barn. [quoted from document]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defendant submits that Ms. Hartfield complied with all of those guidelines except to the extent that no waiver was obtained. It says that Frostbite and all of its other "dude string" horses were appropriately gentle and calm horses for beginner riders. The defendant relies upon Ms. Hartfield's testimony and asserts that the accident was the unfortunate result of Dr. Dwyer removing his jacket just before the fall against Ms. Hartfield's explicit instructions and that so doing "spooked" Frostbite who then jumped sideways causing the fall and Dr. Dwyer's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That submission requires that I accept Ms. Hartfield's evidence as to what occurred prior to and during this trail ride in preference to the evidence of both Dr. Dwyer and Mrs. Dwyer. I am not able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Hartfield was not an impressive witness and I find her evidence to be unreliable. The testimony she gave during examination in chief was inconsistent in many respects with her testimony during examination for discovery and also with the prior statements she had given to her employer and an insurance adjuster. In cross-examination she admitted those inconsistencies and was generally unable to give any credible explanation for them. I have concluded that Ms. Hartfield's evidence as to what was said and done both before and during the trail ride was at best self-serving reconstruction and at worst, deliberately misleading.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Most importantly, as to her evidence concerning the removal of the jacket, Ms. Hartfield admitted that she did not see Dr. Dwyer remove the jacket and only assumed that the jacket was the cause of his fall because she saw it on the ground. Ms. Hartfield's various statements purporting to give detailed descriptions as to what occurred before, during and after the fall can be given no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the other hand, I find that Dr. Dwyer and Mrs. Dwyer were both credible witnesses. Their evidence was internally consistent and consistent with that of the other. They both had good recall of a very traumatic event. Where the evidence of Dr. Dwyer or Mrs. Dwyer contradicts Ms. Hartfield's version of events, I accept their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Having reached that conclusion, I find that the plaintiff has proven on a balance of probabilities that the defendant failed to meet the duty of care owed to take reasonable precautions to prevent injury to Dr. Dwyer as a user of its trail ride facilities. I also find that the defendant's breach of that duty of care caused Dr. Dwyer's injuries. I reach those conclusions because:</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Hartfield was not given adequate training by the defendant as a trail guide in charge of novice riders. The evidence establishes that while she had some experience with trail rides in her teens and early 20's there is no evidence that she had ever led a novice trail ride until employed by the defendant in May of 2001. The Dwyer's trail ride was in fact only the second trail ride she had led as an employee of the defendant. The evidence of both Dr. Dwyer and Mrs. Dwyer was that they elected to take the afternoon ride that day because a trail ride offered by the defendant to them on the morning of May 26, 2001 was a ride involving experienced riders. Accordingly, since Ms. Hartfield was the only trail guide at the defendant's Stoney Lake Ranch I am satisfied that the plaintiff's trail ride was the first novice ride Ms. Hartfield had ever led. Further, although the defendant's "cow boss", Mr. Steven Brewer, had tested Ms. Hartfield's competence with horses before she was employed, he testified that he did not train her in her duties and obligations as a trail guide. There is also no evidence that any member of the defendant ever provided such training to her. Even if I accept Ms. Hartfield's evidence that she received some common-sense instruction from Mr. Brewer concerning her duties, I find that any such instruction was at best cursory and not in any way specific or adequate for the safety of novice riders when viewed in light of the defendant's guidelines and the care expected of Ms. Hartfield as a trail ride guide. I find that the defendant essentially assessed Ms. Hartfield as a competent handler of horses who was then left to her own inadequate experience to guide novice riders when she embarked upon the trail ride with Dr. Dwyer and his family on May 26, 2001.</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an unexplained breakdown in communications between the defendant's booking staff and Ms. Hartfield on May 26, 2001 which led her to believe that she would only have two guests on the afternoon ride. The horse Frostbite that was subsequently obtained from the corral in somewhat chaotic conditions was not specifically tested for suitability to the level of Dr. Dwyer's inexperience. While I do not know whether the removal of Frostbite from the corral in the manner that occurred made her an unsuitable mount the fact remains that she was not assessed with Dr. Dwyer as required by the defendant's own procedures.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Hartfield did not provide adequate riding or trail ride safety instructions before setting out with the plaintiff onto the trail. Dr. Dwyer was told only how to hold the reins and sit in the saddle. Ms. Hartfield did not instruct Dr. Dwyer on how to control Frostbite's pace or how to otherwise control her on the trail.</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Hartfield did not, as required, lead the ride. Most importantly, she did not respond adequately to Dr. Dwyer's concerns regarding Frostbite's tossing of her head that caused Dr. Dwyer to have problems balancing in the saddle. Ms. Hartfield should have taken proactive steps to ensure that Dr. Dwyer knew how to adequately control his horse; she should have taken Frostbite on a lead or even terminated the ride. Rather, she did nothing and exacerbated the situation by not controlling the pace of the ride so that as a result, the horses were able to speed up at will or at the instance of Sean's horse.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Hartfield did not instruct these beginner riders that they should not remove their clothing during the ride without stopping their horse and obtaining assistance to do so safely. I accept Dr. Dwyer's evidence that he removed his jacket early in the ride after becoming heated while trying to control Frostbite. I further accept that Ms. Hartfield saw him do so without stopping to assist him contrary to the defendant's guidelines. I find that Ms. Hartfield then did nothing to ensure the jacket was safely stowed.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am satisfied that Dr. Dwyer's fall was likely caused by the jacket coming loose due to its improper stowage when Frostbite sped up near the end of the ride to catch up with Sean's horse. This resulted in Dr. Dwyer's inability to control Frostbite. Mrs. Dwyer's description of Sean's arms and legs flapping while his horse sped up immediately before Dr. Dwyer fell graphically illustrates the lack of any real control that these novice riders had over their 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am also satisfied that in all of the circumstances, including Dr. Dwyer's status as a declared novice rider, the lack of adequate instruction given to him by the defendant both before and during the ride, Ms. Hartfield's failure to ensure that his jacket once removed was properly stowed and her failure to control the pace of the ride all preclude a finding that Dr. Dwyer was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Given those circumstances and the lack of any waiver of liability by Dr. Dwyer, the defendant's plea of volenti non fit injuria must also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plaintiff has established that the defendant was negligent in the operation of the trail ride participated in by the plaintiff on May 26, 2001 and that such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injuries suffered by the plaintiff when he fell from the horse Frostbite.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 DAVIES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266" style="position:absolute;z-index:2518620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Moore v. Walker, [2001] B.C.J. No. 1563</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Moulton Contracting Ltd. v. British Columbia, [2009] B.C.J. No. 2135</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Mudry v. Minhas, [2010] B.C.J. No. 823</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Nadig v. Scoffield, [2003] B.C.J. No. 2089</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Nagra v. Cruz, [2017] B.C.J. No. 404</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Naidu v. Zhong, [2019] B.C.J. No. 1219</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Oddy v. Annalise Official Number 827055 (The), [2017] B.C.J. No. 2086</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Parmar v. Blenz the Canadian Coffee Company Ltd., [2008] B.C.J. No. 1891</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Pavan v. Guolo, [2016] B.C.J. No. 25</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Pedlow v. Hellner, [2013] B.C.J. No. 1251</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Pennie v. Howey, [2003] B.C.J. No. 2079</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Reichennek v. Archibald, [2008] B.C.J. No. 1939</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Sam v. British Columbia (Ministry of Public Safety and Solicitor General), [2005] B.C.J. No. 496</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Sauvé v. Insurance Corp. of British Columbia, [2010] B.C.J. No. 1020</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Scott v. TD Waterhouse Investor Services (Canada) Inc., [2001] B.C.J. No. 1874</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Stushnoff v. McAleese, [2002] B.C.J. No. 2475</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Vesuna v. British Columbia (Minister of Transportation), [2011] B.C.J. No. 1341</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1076586 Alberta Ltd. v. Octagon Properties Ltd., [2014] B.C.J. No. 316</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Adamson v. Charity, [2007] B.C.J. No. 1009</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Bank of Montreal v. Fraser, [2013] B.C.J. No. 2817</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Bronson v. Hewitt, [2010] B.C.J. No. 211</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Chow v. Schuler, [2014] B.C.J. No. 325</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Concord Pacific Acquisitions Inc. v. Oei, [2017] B.C.J. No. 273</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Dial v. Grewal, [2010] B.C.J. No. 1012</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 (J.A.K.) [J.A.K.E.] v. British Columbia, [2002] B.C.J. No. 597</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Fulber v. Browns Social House Ltd., [2013] B.C.J. No. 2089</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Haight-Smith v. Neden, [2000] B.C.J. No. 1679</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Loewen Estate v. Banwait, [2013] B.C.J. No. 369</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Nesbitt v. James Western Star Sterling Ltd., [2006] B.C.J. No. 648</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Patterson v. Solymosi, [2019] B.C.J. No. 1683</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Quinn v. British Columbia, [2017] B.C.J. No. 807</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Raju v. Kumar, [2006] B.C.J. No. 630</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Richard v. British Columbia, [2014] B.C.J. No. 1465</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Ridge-Meadows Realty Ltd. (c.o.b. Re/Max Ridge-Meadows Realty) v. 670206 B.C. Ltd., [2013] B.C.J. No. 738</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 v. Singleton, [2010] B.C.J. No. 2439</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Siddall v. Bencherif, [2016] B.C.J. No. 1903</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Sivia v. British Columbia (Superintendent of Motor Vehicles), [2012] B.C.J. No. 1438</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Strata Plan LMS 2599 v. 328354 B.C. Ltd., [2010] B.C.J. No. 1102</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Surette v. Tull, [2006] B.C.J. No. 2204</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Vernon (City) v. Sengotta, [2009] B.C.J. No. 106</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Western Surety Co. v. Hancon Holdings Ltd., [2007] B.C.J. No. 250</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Zimpelmann v. Canada, [2001] B.C.J. No. 618</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Adams v. Sheane, [2014] B.C.J. No. 768</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Alentejano v. Palm Springs &amp; European Health Spa Ltd. (c.o.b. Fitness World), [2000] B.C.J. No. 2824</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Bjerregaard v. Westfair Foods Ltd. (c.o.b. Extra Low Foods), [2003] B.C.J. No. 2648</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Certain Underwriters at Lloyd's v. Insurance Co. of the State of Pennsylvania, [2016] B.C.J. No. 204</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Chima v. Kopec, [2018] B.C.J. No. 6918</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Dixon v. Kamloops Exhibition Assn., [2002] B.C.J. No. 766</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Durant v. Lennard, [2000] B.C.J. No. 917</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Dwyer v. Douglas Lake Cattle Co., [2003] B.C.J. No. 2222</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4"/>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1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1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2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2"/>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lowerRoman"/>
      <w:lvlText w:val="(%1)"/>
      <w:lvlJc w:val="left"/>
      <w:pPr>
        <w:tabs>
          <w:tab w:val="num" w:pos="2560"/>
        </w:tabs>
        <w:ind w:left="25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ii)"/>
      <w:lvlJc w:val="left"/>
      <w:pPr>
        <w:tabs>
          <w:tab w:val="num" w:pos="2560"/>
        </w:tabs>
        <w:ind w:left="25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3"/>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4"/>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iv)"/>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v)"/>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iv)"/>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v)"/>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vi)"/>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i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iv)"/>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v)"/>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v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i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14)"/>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lowerRoman"/>
      <w:lvlText w:val="(%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decimal"/>
      <w:lvlText w:val="(ii)"/>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iii)"/>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decimal"/>
      <w:lvlText w:val="(iv)"/>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decimal"/>
      <w:lvlText w:val="(v)"/>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6"/>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7"/>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8"/>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10"/>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1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1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1"/>
      <w:numFmt w:val="decimal"/>
      <w:lvlText w:val="5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multilevel"/>
    <w:tmpl w:val="00000064"/>
    <w:lvl w:ilvl="0">
      <w:start w:val="1"/>
      <w:numFmt w:val="decimal"/>
      <w:lvlText w:val="5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multilevel"/>
    <w:tmpl w:val="00000065"/>
    <w:lvl w:ilvl="0">
      <w:start w:val="1"/>
      <w:numFmt w:val="decimal"/>
      <w:lvlText w:val="7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0000066"/>
    <w:multiLevelType w:val="multilevel"/>
    <w:tmpl w:val="00000066"/>
    <w:lvl w:ilvl="0">
      <w:start w:val="1"/>
      <w:numFmt w:val="decimal"/>
      <w:lvlText w:val="79."/>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0000067"/>
    <w:multiLevelType w:val="multilevel"/>
    <w:tmpl w:val="00000067"/>
    <w:lvl w:ilvl="0">
      <w:start w:val="1"/>
      <w:numFmt w:val="decimal"/>
      <w:lvlText w:val="8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0000068"/>
    <w:multiLevelType w:val="multilevel"/>
    <w:tmpl w:val="00000068"/>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0000069"/>
    <w:multiLevelType w:val="multilevel"/>
    <w:tmpl w:val="00000069"/>
    <w:lvl w:ilvl="0">
      <w:start w:val="6"/>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0000006A"/>
    <w:multiLevelType w:val="multilevel"/>
    <w:tmpl w:val="0000006A"/>
    <w:lvl w:ilvl="0">
      <w:start w:val="1"/>
      <w:numFmt w:val="decimal"/>
      <w:lvlText w:val="9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0000006B"/>
    <w:multiLevelType w:val="multilevel"/>
    <w:tmpl w:val="0000006B"/>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0000006C"/>
    <w:multiLevelType w:val="multilevel"/>
    <w:tmpl w:val="0000006C"/>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0000006D"/>
    <w:multiLevelType w:val="multilevel"/>
    <w:tmpl w:val="0000006D"/>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0000006E"/>
    <w:multiLevelType w:val="multilevel"/>
    <w:tmpl w:val="0000006E"/>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0000006F"/>
    <w:multiLevelType w:val="multilevel"/>
    <w:tmpl w:val="0000006F"/>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00000070"/>
    <w:multiLevelType w:val="multilevel"/>
    <w:tmpl w:val="00000070"/>
    <w:lvl w:ilvl="0">
      <w:start w:val="6"/>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00000071"/>
    <w:multiLevelType w:val="multilevel"/>
    <w:tmpl w:val="00000071"/>
    <w:lvl w:ilvl="0">
      <w:start w:val="7"/>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00000072"/>
    <w:multiLevelType w:val="multilevel"/>
    <w:tmpl w:val="00000072"/>
    <w:lvl w:ilvl="0">
      <w:start w:val="1"/>
      <w:numFmt w:val="decimal"/>
      <w:lvlText w:val="9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00000073"/>
    <w:multiLevelType w:val="multilevel"/>
    <w:tmpl w:val="00000073"/>
    <w:lvl w:ilvl="0">
      <w:start w:val="1"/>
      <w:numFmt w:val="decimal"/>
      <w:lvlText w:val="9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00000074"/>
    <w:multiLevelType w:val="multilevel"/>
    <w:tmpl w:val="00000074"/>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00000075"/>
    <w:multiLevelType w:val="multilevel"/>
    <w:tmpl w:val="00000075"/>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00000076"/>
    <w:multiLevelType w:val="multilevel"/>
    <w:tmpl w:val="00000076"/>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00000077"/>
    <w:multiLevelType w:val="multilevel"/>
    <w:tmpl w:val="00000077"/>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00000078"/>
    <w:multiLevelType w:val="multilevel"/>
    <w:tmpl w:val="00000078"/>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00000079"/>
    <w:multiLevelType w:val="multilevel"/>
    <w:tmpl w:val="00000079"/>
    <w:lvl w:ilvl="0">
      <w:start w:val="6"/>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0000007A"/>
    <w:multiLevelType w:val="multilevel"/>
    <w:tmpl w:val="0000007A"/>
    <w:lvl w:ilvl="0">
      <w:start w:val="7"/>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0000007B"/>
    <w:multiLevelType w:val="multilevel"/>
    <w:tmpl w:val="0000007B"/>
    <w:lvl w:ilvl="0">
      <w:start w:val="8"/>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0000007C"/>
    <w:multiLevelType w:val="multilevel"/>
    <w:tmpl w:val="0000007C"/>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0000007D"/>
    <w:multiLevelType w:val="multilevel"/>
    <w:tmpl w:val="0000007D"/>
    <w:lvl w:ilvl="0">
      <w:start w:val="10"/>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0000007E"/>
    <w:multiLevelType w:val="multilevel"/>
    <w:tmpl w:val="0000007E"/>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0000007F"/>
    <w:multiLevelType w:val="multilevel"/>
    <w:tmpl w:val="0000007F"/>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00000080"/>
    <w:multiLevelType w:val="multilevel"/>
    <w:tmpl w:val="00000080"/>
    <w:lvl w:ilvl="0">
      <w:start w:val="3"/>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00000081"/>
    <w:multiLevelType w:val="multilevel"/>
    <w:tmpl w:val="0000008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00000082"/>
    <w:multiLevelType w:val="multilevel"/>
    <w:tmpl w:val="00000082"/>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00000083"/>
    <w:multiLevelType w:val="multilevel"/>
    <w:tmpl w:val="00000083"/>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00000084"/>
    <w:multiLevelType w:val="multilevel"/>
    <w:tmpl w:val="00000084"/>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01296B26"/>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01436EF1"/>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01D08E24"/>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064E1F17"/>
    <w:multiLevelType w:val="multilevel"/>
    <w:tmpl w:val="00000001"/>
    <w:lvl w:ilvl="0">
      <w:start w:val="1"/>
      <w:numFmt w:val="upperRoman"/>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07411D6F"/>
    <w:multiLevelType w:val="multilevel"/>
    <w:tmpl w:val="00000001"/>
    <w:lvl w:ilvl="0">
      <w:start w:val="1"/>
      <w:numFmt w:val="lowerLetter"/>
      <w:lvlText w:val="(%1)"/>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0F28E55F"/>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14C0DD5A"/>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14E47FAD"/>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17258E01"/>
    <w:multiLevelType w:val="multilevel"/>
    <w:tmpl w:val="00000001"/>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17B7ED08"/>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1C23DDA8"/>
    <w:multiLevelType w:val="multilevel"/>
    <w:tmpl w:val="00000001"/>
    <w:lvl w:ilvl="0">
      <w:start w:val="1"/>
      <w:numFmt w:val="decimal"/>
      <w:lvlText w:val="727(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nsid w:val="220B2133"/>
    <w:multiLevelType w:val="multilevel"/>
    <w:tmpl w:val="00000001"/>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22CE830B"/>
    <w:multiLevelType w:val="multilevel"/>
    <w:tmpl w:val="00000001"/>
    <w:lvl w:ilvl="0">
      <w:start w:val="1"/>
      <w:numFmt w:val="lowerRoman"/>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nsid w:val="236568EE"/>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nsid w:val="244C25AE"/>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nsid w:val="25DBAA47"/>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8">
    <w:nsid w:val="265CE98C"/>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9">
    <w:nsid w:val="2A4E3336"/>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nsid w:val="2E5478B5"/>
    <w:multiLevelType w:val="multilevel"/>
    <w:tmpl w:val="00000001"/>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1">
    <w:nsid w:val="31C8B1B9"/>
    <w:multiLevelType w:val="multilevel"/>
    <w:tmpl w:val="00000001"/>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2">
    <w:nsid w:val="349D8CE0"/>
    <w:multiLevelType w:val="multilevel"/>
    <w:tmpl w:val="00000001"/>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3">
    <w:nsid w:val="374552FD"/>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4">
    <w:nsid w:val="391937A8"/>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5">
    <w:nsid w:val="3BEF66EE"/>
    <w:multiLevelType w:val="multilevel"/>
    <w:tmpl w:val="00000001"/>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6">
    <w:nsid w:val="3ED862C0"/>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7">
    <w:nsid w:val="417F0035"/>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8">
    <w:nsid w:val="47016CC0"/>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9">
    <w:nsid w:val="4978F7DF"/>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0">
    <w:nsid w:val="54BDA3DF"/>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1">
    <w:nsid w:val="5A0ACB28"/>
    <w:multiLevelType w:val="multilevel"/>
    <w:tmpl w:val="00000001"/>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2">
    <w:nsid w:val="5A1B717C"/>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3">
    <w:nsid w:val="5A888710"/>
    <w:multiLevelType w:val="multilevel"/>
    <w:tmpl w:val="00000001"/>
    <w:lvl w:ilvl="0">
      <w:start w:val="1"/>
      <w:numFmt w:val="lowerLetter"/>
      <w:lvlText w:val="(%1)"/>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4">
    <w:nsid w:val="5CE4AE82"/>
    <w:multiLevelType w:val="multilevel"/>
    <w:tmpl w:val="00000001"/>
    <w:lvl w:ilvl="0">
      <w:start w:val="1"/>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5">
    <w:nsid w:val="5CEC290B"/>
    <w:multiLevelType w:val="multilevel"/>
    <w:tmpl w:val="00000001"/>
    <w:lvl w:ilvl="0">
      <w:start w:val="1"/>
      <w:numFmt w:val="decimal"/>
      <w:lvlText w:val="19."/>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6">
    <w:nsid w:val="6EC3A0FD"/>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7">
    <w:nsid w:val="730C4834"/>
    <w:multiLevelType w:val="multilevel"/>
    <w:tmpl w:val="00000001"/>
    <w:lvl w:ilvl="0">
      <w:start w:val="1"/>
      <w:numFmt w:val="decimal"/>
      <w:lvlText w:val="(1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8">
    <w:nsid w:val="756F588B"/>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9">
    <w:nsid w:val="7866761A"/>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0">
    <w:nsid w:val="79CBF371"/>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1">
    <w:nsid w:val="7F48793D"/>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167"/>
  </w:num>
  <w:num w:numId="5">
    <w:abstractNumId w:val="3"/>
  </w:num>
  <w:num w:numId="6">
    <w:abstractNumId w:val="4"/>
  </w:num>
  <w:num w:numId="7">
    <w:abstractNumId w:val="151"/>
  </w:num>
  <w:num w:numId="8">
    <w:abstractNumId w:val="5"/>
  </w:num>
  <w:num w:numId="9">
    <w:abstractNumId w:val="6"/>
  </w:num>
  <w:num w:numId="10">
    <w:abstractNumId w:val="7"/>
  </w:num>
  <w:num w:numId="11">
    <w:abstractNumId w:val="138"/>
  </w:num>
  <w:num w:numId="12">
    <w:abstractNumId w:val="8"/>
  </w:num>
  <w:num w:numId="13">
    <w:abstractNumId w:val="9"/>
  </w:num>
  <w:num w:numId="14">
    <w:abstractNumId w:val="10"/>
  </w:num>
  <w:num w:numId="15">
    <w:abstractNumId w:val="11"/>
  </w:num>
  <w:num w:numId="16">
    <w:abstractNumId w:val="164"/>
  </w:num>
  <w:num w:numId="17">
    <w:abstractNumId w:val="12"/>
  </w:num>
  <w:num w:numId="18">
    <w:abstractNumId w:val="13"/>
  </w:num>
  <w:num w:numId="19">
    <w:abstractNumId w:val="14"/>
  </w:num>
  <w:num w:numId="20">
    <w:abstractNumId w:val="15"/>
  </w:num>
  <w:num w:numId="21">
    <w:abstractNumId w:val="16"/>
  </w:num>
  <w:num w:numId="22">
    <w:abstractNumId w:val="17"/>
  </w:num>
  <w:num w:numId="23">
    <w:abstractNumId w:val="18"/>
  </w:num>
  <w:num w:numId="24">
    <w:abstractNumId w:val="166"/>
  </w:num>
  <w:num w:numId="25">
    <w:abstractNumId w:val="153"/>
  </w:num>
  <w:num w:numId="26">
    <w:abstractNumId w:val="148"/>
  </w:num>
  <w:num w:numId="27">
    <w:abstractNumId w:val="19"/>
  </w:num>
  <w:num w:numId="28">
    <w:abstractNumId w:val="20"/>
  </w:num>
  <w:num w:numId="29">
    <w:abstractNumId w:val="21"/>
  </w:num>
  <w:num w:numId="30">
    <w:abstractNumId w:val="22"/>
  </w:num>
  <w:num w:numId="31">
    <w:abstractNumId w:val="23"/>
  </w:num>
  <w:num w:numId="32">
    <w:abstractNumId w:val="141"/>
  </w:num>
  <w:num w:numId="33">
    <w:abstractNumId w:val="145"/>
  </w:num>
  <w:num w:numId="34">
    <w:abstractNumId w:val="161"/>
  </w:num>
  <w:num w:numId="35">
    <w:abstractNumId w:val="24"/>
  </w:num>
  <w:num w:numId="36">
    <w:abstractNumId w:val="132"/>
  </w:num>
  <w:num w:numId="37">
    <w:abstractNumId w:val="154"/>
  </w:num>
  <w:num w:numId="38">
    <w:abstractNumId w:val="25"/>
  </w:num>
  <w:num w:numId="39">
    <w:abstractNumId w:val="136"/>
  </w:num>
  <w:num w:numId="40">
    <w:abstractNumId w:val="150"/>
  </w:num>
  <w:num w:numId="41">
    <w:abstractNumId w:val="26"/>
  </w:num>
  <w:num w:numId="42">
    <w:abstractNumId w:val="27"/>
  </w:num>
  <w:num w:numId="43">
    <w:abstractNumId w:val="28"/>
  </w:num>
  <w:num w:numId="44">
    <w:abstractNumId w:val="29"/>
  </w:num>
  <w:num w:numId="45">
    <w:abstractNumId w:val="30"/>
  </w:num>
  <w:num w:numId="46">
    <w:abstractNumId w:val="31"/>
  </w:num>
  <w:num w:numId="47">
    <w:abstractNumId w:val="32"/>
  </w:num>
  <w:num w:numId="48">
    <w:abstractNumId w:val="33"/>
  </w:num>
  <w:num w:numId="49">
    <w:abstractNumId w:val="34"/>
  </w:num>
  <w:num w:numId="50">
    <w:abstractNumId w:val="35"/>
  </w:num>
  <w:num w:numId="51">
    <w:abstractNumId w:val="36"/>
  </w:num>
  <w:num w:numId="52">
    <w:abstractNumId w:val="37"/>
  </w:num>
  <w:num w:numId="53">
    <w:abstractNumId w:val="38"/>
  </w:num>
  <w:num w:numId="54">
    <w:abstractNumId w:val="39"/>
  </w:num>
  <w:num w:numId="55">
    <w:abstractNumId w:val="40"/>
  </w:num>
  <w:num w:numId="56">
    <w:abstractNumId w:val="41"/>
  </w:num>
  <w:num w:numId="57">
    <w:abstractNumId w:val="42"/>
  </w:num>
  <w:num w:numId="58">
    <w:abstractNumId w:val="43"/>
  </w:num>
  <w:num w:numId="59">
    <w:abstractNumId w:val="44"/>
  </w:num>
  <w:num w:numId="60">
    <w:abstractNumId w:val="45"/>
  </w:num>
  <w:num w:numId="61">
    <w:abstractNumId w:val="46"/>
  </w:num>
  <w:num w:numId="62">
    <w:abstractNumId w:val="47"/>
  </w:num>
  <w:num w:numId="63">
    <w:abstractNumId w:val="48"/>
  </w:num>
  <w:num w:numId="64">
    <w:abstractNumId w:val="49"/>
  </w:num>
  <w:num w:numId="65">
    <w:abstractNumId w:val="50"/>
  </w:num>
  <w:num w:numId="66">
    <w:abstractNumId w:val="51"/>
  </w:num>
  <w:num w:numId="67">
    <w:abstractNumId w:val="52"/>
  </w:num>
  <w:num w:numId="68">
    <w:abstractNumId w:val="53"/>
  </w:num>
  <w:num w:numId="69">
    <w:abstractNumId w:val="54"/>
  </w:num>
  <w:num w:numId="70">
    <w:abstractNumId w:val="55"/>
  </w:num>
  <w:num w:numId="71">
    <w:abstractNumId w:val="56"/>
  </w:num>
  <w:num w:numId="72">
    <w:abstractNumId w:val="57"/>
  </w:num>
  <w:num w:numId="73">
    <w:abstractNumId w:val="58"/>
  </w:num>
  <w:num w:numId="74">
    <w:abstractNumId w:val="140"/>
  </w:num>
  <w:num w:numId="75">
    <w:abstractNumId w:val="133"/>
  </w:num>
  <w:num w:numId="76">
    <w:abstractNumId w:val="158"/>
  </w:num>
  <w:num w:numId="77">
    <w:abstractNumId w:val="170"/>
  </w:num>
  <w:num w:numId="78">
    <w:abstractNumId w:val="139"/>
  </w:num>
  <w:num w:numId="79">
    <w:abstractNumId w:val="146"/>
  </w:num>
  <w:num w:numId="80">
    <w:abstractNumId w:val="155"/>
  </w:num>
  <w:num w:numId="81">
    <w:abstractNumId w:val="160"/>
  </w:num>
  <w:num w:numId="82">
    <w:abstractNumId w:val="171"/>
  </w:num>
  <w:num w:numId="83">
    <w:abstractNumId w:val="137"/>
  </w:num>
  <w:num w:numId="84">
    <w:abstractNumId w:val="134"/>
  </w:num>
  <w:num w:numId="85">
    <w:abstractNumId w:val="156"/>
  </w:num>
  <w:num w:numId="86">
    <w:abstractNumId w:val="168"/>
  </w:num>
  <w:num w:numId="87">
    <w:abstractNumId w:val="149"/>
  </w:num>
  <w:num w:numId="88">
    <w:abstractNumId w:val="162"/>
  </w:num>
  <w:num w:numId="89">
    <w:abstractNumId w:val="59"/>
  </w:num>
  <w:num w:numId="90">
    <w:abstractNumId w:val="60"/>
  </w:num>
  <w:num w:numId="91">
    <w:abstractNumId w:val="61"/>
  </w:num>
  <w:num w:numId="92">
    <w:abstractNumId w:val="62"/>
  </w:num>
  <w:num w:numId="93">
    <w:abstractNumId w:val="63"/>
  </w:num>
  <w:num w:numId="94">
    <w:abstractNumId w:val="64"/>
  </w:num>
  <w:num w:numId="95">
    <w:abstractNumId w:val="65"/>
  </w:num>
  <w:num w:numId="96">
    <w:abstractNumId w:val="66"/>
  </w:num>
  <w:num w:numId="97">
    <w:abstractNumId w:val="67"/>
  </w:num>
  <w:num w:numId="98">
    <w:abstractNumId w:val="68"/>
  </w:num>
  <w:num w:numId="99">
    <w:abstractNumId w:val="69"/>
  </w:num>
  <w:num w:numId="100">
    <w:abstractNumId w:val="70"/>
  </w:num>
  <w:num w:numId="101">
    <w:abstractNumId w:val="71"/>
  </w:num>
  <w:num w:numId="102">
    <w:abstractNumId w:val="72"/>
  </w:num>
  <w:num w:numId="103">
    <w:abstractNumId w:val="73"/>
  </w:num>
  <w:num w:numId="104">
    <w:abstractNumId w:val="74"/>
  </w:num>
  <w:num w:numId="105">
    <w:abstractNumId w:val="75"/>
  </w:num>
  <w:num w:numId="106">
    <w:abstractNumId w:val="76"/>
  </w:num>
  <w:num w:numId="107">
    <w:abstractNumId w:val="77"/>
  </w:num>
  <w:num w:numId="108">
    <w:abstractNumId w:val="78"/>
  </w:num>
  <w:num w:numId="109">
    <w:abstractNumId w:val="79"/>
  </w:num>
  <w:num w:numId="110">
    <w:abstractNumId w:val="80"/>
  </w:num>
  <w:num w:numId="111">
    <w:abstractNumId w:val="81"/>
  </w:num>
  <w:num w:numId="112">
    <w:abstractNumId w:val="82"/>
  </w:num>
  <w:num w:numId="113">
    <w:abstractNumId w:val="83"/>
  </w:num>
  <w:num w:numId="114">
    <w:abstractNumId w:val="84"/>
  </w:num>
  <w:num w:numId="115">
    <w:abstractNumId w:val="85"/>
  </w:num>
  <w:num w:numId="116">
    <w:abstractNumId w:val="86"/>
  </w:num>
  <w:num w:numId="117">
    <w:abstractNumId w:val="144"/>
  </w:num>
  <w:num w:numId="118">
    <w:abstractNumId w:val="169"/>
  </w:num>
  <w:num w:numId="119">
    <w:abstractNumId w:val="143"/>
  </w:num>
  <w:num w:numId="120">
    <w:abstractNumId w:val="163"/>
  </w:num>
  <w:num w:numId="121">
    <w:abstractNumId w:val="142"/>
  </w:num>
  <w:num w:numId="122">
    <w:abstractNumId w:val="157"/>
  </w:num>
  <w:num w:numId="123">
    <w:abstractNumId w:val="152"/>
  </w:num>
  <w:num w:numId="124">
    <w:abstractNumId w:val="159"/>
  </w:num>
  <w:num w:numId="125">
    <w:abstractNumId w:val="147"/>
  </w:num>
  <w:num w:numId="126">
    <w:abstractNumId w:val="87"/>
  </w:num>
  <w:num w:numId="127">
    <w:abstractNumId w:val="88"/>
  </w:num>
  <w:num w:numId="128">
    <w:abstractNumId w:val="89"/>
  </w:num>
  <w:num w:numId="129">
    <w:abstractNumId w:val="90"/>
  </w:num>
  <w:num w:numId="130">
    <w:abstractNumId w:val="91"/>
  </w:num>
  <w:num w:numId="131">
    <w:abstractNumId w:val="92"/>
  </w:num>
  <w:num w:numId="132">
    <w:abstractNumId w:val="93"/>
  </w:num>
  <w:num w:numId="133">
    <w:abstractNumId w:val="94"/>
  </w:num>
  <w:num w:numId="134">
    <w:abstractNumId w:val="95"/>
  </w:num>
  <w:num w:numId="135">
    <w:abstractNumId w:val="96"/>
  </w:num>
  <w:num w:numId="136">
    <w:abstractNumId w:val="97"/>
  </w:num>
  <w:num w:numId="137">
    <w:abstractNumId w:val="98"/>
  </w:num>
  <w:num w:numId="138">
    <w:abstractNumId w:val="99"/>
  </w:num>
  <w:num w:numId="139">
    <w:abstractNumId w:val="100"/>
  </w:num>
  <w:num w:numId="140">
    <w:abstractNumId w:val="101"/>
  </w:num>
  <w:num w:numId="141">
    <w:abstractNumId w:val="102"/>
  </w:num>
  <w:num w:numId="142">
    <w:abstractNumId w:val="103"/>
  </w:num>
  <w:num w:numId="143">
    <w:abstractNumId w:val="104"/>
  </w:num>
  <w:num w:numId="144">
    <w:abstractNumId w:val="105"/>
  </w:num>
  <w:num w:numId="145">
    <w:abstractNumId w:val="106"/>
  </w:num>
  <w:num w:numId="146">
    <w:abstractNumId w:val="107"/>
  </w:num>
  <w:num w:numId="147">
    <w:abstractNumId w:val="108"/>
  </w:num>
  <w:num w:numId="148">
    <w:abstractNumId w:val="109"/>
  </w:num>
  <w:num w:numId="149">
    <w:abstractNumId w:val="110"/>
  </w:num>
  <w:num w:numId="150">
    <w:abstractNumId w:val="111"/>
  </w:num>
  <w:num w:numId="151">
    <w:abstractNumId w:val="112"/>
  </w:num>
  <w:num w:numId="152">
    <w:abstractNumId w:val="113"/>
  </w:num>
  <w:num w:numId="153">
    <w:abstractNumId w:val="114"/>
  </w:num>
  <w:num w:numId="154">
    <w:abstractNumId w:val="115"/>
  </w:num>
  <w:num w:numId="155">
    <w:abstractNumId w:val="116"/>
  </w:num>
  <w:num w:numId="156">
    <w:abstractNumId w:val="117"/>
  </w:num>
  <w:num w:numId="157">
    <w:abstractNumId w:val="118"/>
  </w:num>
  <w:num w:numId="158">
    <w:abstractNumId w:val="119"/>
  </w:num>
  <w:num w:numId="159">
    <w:abstractNumId w:val="120"/>
  </w:num>
  <w:num w:numId="160">
    <w:abstractNumId w:val="121"/>
  </w:num>
  <w:num w:numId="161">
    <w:abstractNumId w:val="122"/>
  </w:num>
  <w:num w:numId="162">
    <w:abstractNumId w:val="123"/>
  </w:num>
  <w:num w:numId="163">
    <w:abstractNumId w:val="124"/>
  </w:num>
  <w:num w:numId="164">
    <w:abstractNumId w:val="125"/>
  </w:num>
  <w:num w:numId="165">
    <w:abstractNumId w:val="126"/>
  </w:num>
  <w:num w:numId="166">
    <w:abstractNumId w:val="127"/>
  </w:num>
  <w:num w:numId="167">
    <w:abstractNumId w:val="128"/>
  </w:num>
  <w:num w:numId="168">
    <w:abstractNumId w:val="129"/>
  </w:num>
  <w:num w:numId="169">
    <w:abstractNumId w:val="130"/>
  </w:num>
  <w:num w:numId="170">
    <w:abstractNumId w:val="131"/>
  </w:num>
  <w:num w:numId="171">
    <w:abstractNumId w:val="135"/>
  </w:num>
  <w:num w:numId="172">
    <w:abstractNumId w:val="16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F7T-S781-F06F-23XY-00000-00&amp;context=" TargetMode="External" /><Relationship Id="rId100" Type="http://schemas.openxmlformats.org/officeDocument/2006/relationships/hyperlink" Target="https://advance.lexis.com/api/document?collection=cases-ca&amp;id=urn:contentItem:5F8T-N3V1-JF75-M3WX-00000-00&amp;context=" TargetMode="External" /><Relationship Id="rId1000" Type="http://schemas.openxmlformats.org/officeDocument/2006/relationships/hyperlink" Target="https://advance.lexis.com/api/document?collection=cases-ca&amp;id=urn:contentItem:5F7T-S6X1-FCCX-60V6-00000-00&amp;context=" TargetMode="External" /><Relationship Id="rId1001" Type="http://schemas.openxmlformats.org/officeDocument/2006/relationships/numbering" Target="numbering.xml" /><Relationship Id="rId1002" Type="http://schemas.openxmlformats.org/officeDocument/2006/relationships/styles" Target="styles.xml" /><Relationship Id="rId101" Type="http://schemas.openxmlformats.org/officeDocument/2006/relationships/hyperlink" Target="https://advance.lexis.com/api/document?collection=cases-ca&amp;id=urn:contentItem:5F7T-S721-F8D9-M153-00000-00&amp;context=" TargetMode="External" /><Relationship Id="rId102" Type="http://schemas.openxmlformats.org/officeDocument/2006/relationships/hyperlink" Target="https://advance.lexis.com/api/document?collection=cases-ca&amp;id=urn:contentItem:5F7T-S7P1-JNJT-B2B5-00000-00&amp;context=" TargetMode="External" /><Relationship Id="rId103" Type="http://schemas.openxmlformats.org/officeDocument/2006/relationships/header" Target="header19.xml" /><Relationship Id="rId104" Type="http://schemas.openxmlformats.org/officeDocument/2006/relationships/header" Target="header20.xml" /><Relationship Id="rId105" Type="http://schemas.openxmlformats.org/officeDocument/2006/relationships/footer" Target="footer19.xml" /><Relationship Id="rId106" Type="http://schemas.openxmlformats.org/officeDocument/2006/relationships/footer" Target="footer20.xml" /><Relationship Id="rId107" Type="http://schemas.openxmlformats.org/officeDocument/2006/relationships/header" Target="header21.xml" /><Relationship Id="rId108" Type="http://schemas.openxmlformats.org/officeDocument/2006/relationships/footer" Target="footer21.xml" /><Relationship Id="rId109" Type="http://schemas.openxmlformats.org/officeDocument/2006/relationships/hyperlink" Target="https://advance.lexis.com/api/document?collection=cases-ca&amp;id=urn:contentItem:5PTJ-X351-FD4T-B2T2-00000-00&amp;context=" TargetMode="External" /><Relationship Id="rId11" Type="http://schemas.openxmlformats.org/officeDocument/2006/relationships/hyperlink" Target="https://advance.lexis.com/api/document?collection=legislation-ca&amp;id=urn:contentItem:5F41-1FG1-DXHD-G1GY-00000-00&amp;context=" TargetMode="External" /><Relationship Id="rId110" Type="http://schemas.openxmlformats.org/officeDocument/2006/relationships/hyperlink" Target="https://advance.lexis.com/api/document?collection=cases-ca&amp;id=urn:contentItem:5F7T-S7D1-JS5Y-B2M0-00000-00&amp;context=" TargetMode="External" /><Relationship Id="rId111" Type="http://schemas.openxmlformats.org/officeDocument/2006/relationships/hyperlink" Target="https://advance.lexis.com/api/document?collection=cases-ca&amp;id=urn:contentItem:5F8T-N3V1-JTGH-B1C7-00000-00&amp;context=" TargetMode="External" /><Relationship Id="rId112" Type="http://schemas.openxmlformats.org/officeDocument/2006/relationships/hyperlink" Target="https://advance.lexis.com/api/document?collection=cases-ca&amp;id=urn:contentItem:5F7T-S701-JF75-M4DD-00000-00&amp;context=" TargetMode="External" /><Relationship Id="rId113" Type="http://schemas.openxmlformats.org/officeDocument/2006/relationships/header" Target="header22.xml" /><Relationship Id="rId114" Type="http://schemas.openxmlformats.org/officeDocument/2006/relationships/header" Target="header23.xml" /><Relationship Id="rId115" Type="http://schemas.openxmlformats.org/officeDocument/2006/relationships/footer" Target="footer22.xml" /><Relationship Id="rId116" Type="http://schemas.openxmlformats.org/officeDocument/2006/relationships/footer" Target="footer23.xml" /><Relationship Id="rId117" Type="http://schemas.openxmlformats.org/officeDocument/2006/relationships/header" Target="header24.xml" /><Relationship Id="rId118" Type="http://schemas.openxmlformats.org/officeDocument/2006/relationships/footer" Target="footer24.xml" /><Relationship Id="rId119" Type="http://schemas.openxmlformats.org/officeDocument/2006/relationships/hyperlink" Target="https://advance.lexis.com/api/document?collection=cases-ca&amp;id=urn:contentItem:5F7T-S7H1-FCSB-S3MD-00000-00&amp;context=" TargetMode="External" /><Relationship Id="rId12" Type="http://schemas.openxmlformats.org/officeDocument/2006/relationships/hyperlink" Target="https://advance.lexis.com/api/document?collection=cases-ca&amp;id=urn:contentItem:5F7T-S721-F956-S1RM-00000-00&amp;context=" TargetMode="External" /><Relationship Id="rId120" Type="http://schemas.openxmlformats.org/officeDocument/2006/relationships/hyperlink" Target="https://advance.lexis.com/api/document?collection=cases-ca&amp;id=urn:contentItem:5F7T-S7B1-JSRM-608F-00000-00&amp;context=" TargetMode="External" /><Relationship Id="rId121" Type="http://schemas.openxmlformats.org/officeDocument/2006/relationships/hyperlink" Target="https://advance.lexis.com/api/document?collection=cases-ca&amp;id=urn:contentItem:5F7T-S7B1-F7ND-G544-00000-00&amp;context=" TargetMode="External" /><Relationship Id="rId122" Type="http://schemas.openxmlformats.org/officeDocument/2006/relationships/hyperlink" Target="https://advance.lexis.com/api/document?collection=cases-ca&amp;id=urn:contentItem:5F7T-S7D1-JS5Y-B21H-00000-00&amp;context=" TargetMode="External" /><Relationship Id="rId123" Type="http://schemas.openxmlformats.org/officeDocument/2006/relationships/hyperlink" Target="https://advance.lexis.com/api/document?collection=cases-ca&amp;id=urn:contentItem:5F7T-S7G1-JNY7-X3R4-00000-00&amp;context=" TargetMode="External" /><Relationship Id="rId124" Type="http://schemas.openxmlformats.org/officeDocument/2006/relationships/hyperlink" Target="https://advance.lexis.com/api/document?collection=cases-ca&amp;id=urn:contentItem:5F7T-S771-JW5H-X23V-00000-00&amp;context=" TargetMode="External" /><Relationship Id="rId125" Type="http://schemas.openxmlformats.org/officeDocument/2006/relationships/hyperlink" Target="https://advance.lexis.com/api/document?collection=cases-ca&amp;id=urn:contentItem:5F7T-S7F1-FJTD-G3HG-00000-00&amp;context=" TargetMode="External" /><Relationship Id="rId126" Type="http://schemas.openxmlformats.org/officeDocument/2006/relationships/hyperlink" Target="https://advance.lexis.com/api/document?collection=cases-ca&amp;id=urn:contentItem:5F7T-S7C1-F7VM-S3GS-00000-00&amp;context=" TargetMode="External" /><Relationship Id="rId127" Type="http://schemas.openxmlformats.org/officeDocument/2006/relationships/hyperlink" Target="https://advance.lexis.com/api/document?collection=cases-ca&amp;id=urn:contentItem:5F7T-S771-JSJC-X0KS-00000-00&amp;context=" TargetMode="External" /><Relationship Id="rId128" Type="http://schemas.openxmlformats.org/officeDocument/2006/relationships/hyperlink" Target="https://advance.lexis.com/api/document?collection=cases-ca&amp;id=urn:contentItem:5F7T-S791-JCJ5-252X-00000-00&amp;context=" TargetMode="External" /><Relationship Id="rId129" Type="http://schemas.openxmlformats.org/officeDocument/2006/relationships/hyperlink" Target="https://advance.lexis.com/api/document?collection=cases-ca&amp;id=urn:contentItem:5F7T-S7D1-FC6N-X0G7-00000-00&amp;context=" TargetMode="External" /><Relationship Id="rId13" Type="http://schemas.openxmlformats.org/officeDocument/2006/relationships/hyperlink" Target="https://advance.lexis.com/api/document?collection=cases-ca&amp;id=urn:contentItem:5F7T-S731-FG12-62D7-00000-00&amp;context=" TargetMode="External" /><Relationship Id="rId130" Type="http://schemas.openxmlformats.org/officeDocument/2006/relationships/hyperlink" Target="https://advance.lexis.com/api/document?collection=cases-ca&amp;id=urn:contentItem:5F7T-S6T1-F528-G11Y-00000-00&amp;context=" TargetMode="External" /><Relationship Id="rId131" Type="http://schemas.openxmlformats.org/officeDocument/2006/relationships/hyperlink" Target="https://advance.lexis.com/api/document?collection=cases-ca&amp;id=urn:contentItem:5F7T-S6X1-JTNR-M42Y-00000-00&amp;context=" TargetMode="External" /><Relationship Id="rId132" Type="http://schemas.openxmlformats.org/officeDocument/2006/relationships/hyperlink" Target="https://advance.lexis.com/api/document?collection=cases-ca&amp;id=urn:contentItem:5F7T-S7H1-F4GK-M3BG-00000-00&amp;context=" TargetMode="External" /><Relationship Id="rId133" Type="http://schemas.openxmlformats.org/officeDocument/2006/relationships/hyperlink" Target="https://advance.lexis.com/api/document?collection=cases-ca&amp;id=urn:contentItem:5F7T-S7F1-FBN1-21VC-00000-00&amp;context=" TargetMode="External" /><Relationship Id="rId134" Type="http://schemas.openxmlformats.org/officeDocument/2006/relationships/hyperlink" Target="https://advance.lexis.com/api/document?collection=cases-ca&amp;id=urn:contentItem:5F7T-S7F1-F7VM-S4DC-00000-00&amp;context=" TargetMode="External" /><Relationship Id="rId135" Type="http://schemas.openxmlformats.org/officeDocument/2006/relationships/hyperlink" Target="https://advance.lexis.com/api/document?collection=cases-ca&amp;id=urn:contentItem:5F7T-S781-JSC5-M4FB-00000-00&amp;context=" TargetMode="External" /><Relationship Id="rId136" Type="http://schemas.openxmlformats.org/officeDocument/2006/relationships/hyperlink" Target="https://advance.lexis.com/api/document?collection=cases-ca&amp;id=urn:contentItem:5F7T-S781-F06F-23YG-00000-00&amp;context=" TargetMode="External" /><Relationship Id="rId137" Type="http://schemas.openxmlformats.org/officeDocument/2006/relationships/hyperlink" Target="https://advance.lexis.com/api/document?collection=cases-ca&amp;id=urn:contentItem:5F7T-S6X1-FJDY-X1DB-00000-00&amp;context=" TargetMode="External" /><Relationship Id="rId138" Type="http://schemas.openxmlformats.org/officeDocument/2006/relationships/hyperlink" Target="https://advance.lexis.com/api/document?collection=cases-ca&amp;id=urn:contentItem:5F7T-S731-F1WF-M2DW-00000-00&amp;context=" TargetMode="External" /><Relationship Id="rId139" Type="http://schemas.openxmlformats.org/officeDocument/2006/relationships/hyperlink" Target="https://advance.lexis.com/api/document?collection=cases-ca&amp;id=urn:contentItem:5F7T-S731-FFFC-B0FH-00000-00&amp;context=" TargetMode="External" /><Relationship Id="rId14" Type="http://schemas.openxmlformats.org/officeDocument/2006/relationships/hyperlink" Target="https://advance.lexis.com/api/document?collection=cases-ca&amp;id=urn:contentItem:5F7T-S761-JCBX-S0DR-00000-00&amp;context=" TargetMode="External" /><Relationship Id="rId140" Type="http://schemas.openxmlformats.org/officeDocument/2006/relationships/header" Target="header25.xml" /><Relationship Id="rId141" Type="http://schemas.openxmlformats.org/officeDocument/2006/relationships/header" Target="header26.xml" /><Relationship Id="rId142" Type="http://schemas.openxmlformats.org/officeDocument/2006/relationships/footer" Target="footer25.xml" /><Relationship Id="rId143" Type="http://schemas.openxmlformats.org/officeDocument/2006/relationships/footer" Target="footer26.xml" /><Relationship Id="rId144" Type="http://schemas.openxmlformats.org/officeDocument/2006/relationships/header" Target="header27.xml" /><Relationship Id="rId145" Type="http://schemas.openxmlformats.org/officeDocument/2006/relationships/footer" Target="footer27.xml" /><Relationship Id="rId146" Type="http://schemas.openxmlformats.org/officeDocument/2006/relationships/hyperlink" Target="https://advance.lexis.com/api/document?collection=cases-ca&amp;id=urn:contentItem:5HWC-YXF1-F60C-X4P5-00000-00&amp;context=" TargetMode="External" /><Relationship Id="rId147" Type="http://schemas.openxmlformats.org/officeDocument/2006/relationships/hyperlink" Target="https://advance.lexis.com/api/document?collection=legislation-ca&amp;id=urn:contentItem:5F41-1FH1-F361-M0F4-00000-00&amp;context=" TargetMode="External" /><Relationship Id="rId148" Type="http://schemas.openxmlformats.org/officeDocument/2006/relationships/image" Target="media/image1.jpeg" /><Relationship Id="rId149" Type="http://schemas.openxmlformats.org/officeDocument/2006/relationships/hyperlink" Target="https://advance.lexis.com/api/document?collection=cases-ca&amp;id=urn:contentItem:5F7T-S7K1-JKHB-62YV-00000-00&amp;context=" TargetMode="External" /><Relationship Id="rId15" Type="http://schemas.openxmlformats.org/officeDocument/2006/relationships/hyperlink" Target="https://advance.lexis.com/api/document?collection=cases-ca&amp;id=urn:contentItem:5F7T-S7G1-JBT7-X4D3-00000-00&amp;context=" TargetMode="External" /><Relationship Id="rId150" Type="http://schemas.openxmlformats.org/officeDocument/2006/relationships/hyperlink" Target="https://advance.lexis.com/api/document?collection=cases-ca&amp;id=urn:contentItem:5F7T-S7M1-JCRC-B1BF-00000-00&amp;context=" TargetMode="External" /><Relationship Id="rId151" Type="http://schemas.openxmlformats.org/officeDocument/2006/relationships/header" Target="header28.xml" /><Relationship Id="rId152" Type="http://schemas.openxmlformats.org/officeDocument/2006/relationships/header" Target="header29.xml" /><Relationship Id="rId153" Type="http://schemas.openxmlformats.org/officeDocument/2006/relationships/footer" Target="footer28.xml" /><Relationship Id="rId154" Type="http://schemas.openxmlformats.org/officeDocument/2006/relationships/footer" Target="footer29.xml" /><Relationship Id="rId155" Type="http://schemas.openxmlformats.org/officeDocument/2006/relationships/header" Target="header30.xml" /><Relationship Id="rId156" Type="http://schemas.openxmlformats.org/officeDocument/2006/relationships/footer" Target="footer30.xml" /><Relationship Id="rId157" Type="http://schemas.openxmlformats.org/officeDocument/2006/relationships/hyperlink" Target="https://advance.lexis.com/api/document?collection=cases-ca&amp;id=urn:contentItem:5F7T-S7N1-JW09-M0WR-00000-00&amp;context=" TargetMode="External" /><Relationship Id="rId158" Type="http://schemas.openxmlformats.org/officeDocument/2006/relationships/hyperlink" Target="https://advance.lexis.com/api/document?collection=legislation-ca&amp;id=urn:contentItem:5F41-1FG1-F4NT-X0GW-00000-00&amp;context=" TargetMode="External" /><Relationship Id="rId159" Type="http://schemas.openxmlformats.org/officeDocument/2006/relationships/hyperlink" Target="https://advance.lexis.com/api/document?collection=cases-ca&amp;id=urn:contentItem:5F8W-M4F1-JF75-M48D-00000-00&amp;context=" TargetMode="External" /><Relationship Id="rId16" Type="http://schemas.openxmlformats.org/officeDocument/2006/relationships/hyperlink" Target="https://advance.lexis.com/api/document?collection=cases-ca&amp;id=urn:contentItem:5F7T-S6X1-K0BB-S0MB-00000-00&amp;context=" TargetMode="External" /><Relationship Id="rId160" Type="http://schemas.openxmlformats.org/officeDocument/2006/relationships/hyperlink" Target="https://advance.lexis.com/api/document?collection=cases-ca&amp;id=urn:contentItem:5F7F-5RF1-F4W2-60G9-00000-00&amp;context=" TargetMode="External" /><Relationship Id="rId161" Type="http://schemas.openxmlformats.org/officeDocument/2006/relationships/hyperlink" Target="https://advance.lexis.com/api/document?collection=cases-ca&amp;id=urn:contentItem:5F8W-M3Y1-FFMK-M2D2-00000-00&amp;context=" TargetMode="External" /><Relationship Id="rId162" Type="http://schemas.openxmlformats.org/officeDocument/2006/relationships/hyperlink" Target="https://advance.lexis.com/api/document?collection=cases-ca&amp;id=urn:contentItem:5F7F-5RH1-JTGH-B01B-00000-00&amp;context=" TargetMode="External" /><Relationship Id="rId163" Type="http://schemas.openxmlformats.org/officeDocument/2006/relationships/hyperlink" Target="https://advance.lexis.com/api/document?collection=cases-ca&amp;id=urn:contentItem:5F7T-S711-F5KY-B0VV-00000-00&amp;context=" TargetMode="External" /><Relationship Id="rId164" Type="http://schemas.openxmlformats.org/officeDocument/2006/relationships/hyperlink" Target="https://advance.lexis.com/api/document?collection=cases-ca&amp;id=urn:contentItem:5F7T-S711-JNS1-M0W7-00000-00&amp;context=" TargetMode="External" /><Relationship Id="rId165" Type="http://schemas.openxmlformats.org/officeDocument/2006/relationships/hyperlink" Target="https://advance.lexis.com/api/document?collection=cases-ca&amp;id=urn:contentItem:5F7T-S7H1-JS5Y-B2YV-00000-00&amp;context=" TargetMode="External" /><Relationship Id="rId166" Type="http://schemas.openxmlformats.org/officeDocument/2006/relationships/hyperlink" Target="https://advance.lexis.com/api/document?collection=cases-ca&amp;id=urn:contentItem:5F7T-S7J1-JYYX-62CN-00000-00&amp;context=" TargetMode="External" /><Relationship Id="rId167" Type="http://schemas.openxmlformats.org/officeDocument/2006/relationships/hyperlink" Target="https://advance.lexis.com/api/document?collection=cases-ca&amp;id=urn:contentItem:5F7T-S721-FG12-627C-00000-00&amp;context=" TargetMode="External" /><Relationship Id="rId168" Type="http://schemas.openxmlformats.org/officeDocument/2006/relationships/hyperlink" Target="https://advance.lexis.com/api/document?collection=cases-ca&amp;id=urn:contentItem:5F7T-S731-F016-S31K-00000-00&amp;context=" TargetMode="External" /><Relationship Id="rId169" Type="http://schemas.openxmlformats.org/officeDocument/2006/relationships/hyperlink" Target="https://advance.lexis.com/api/document?collection=cases-ca&amp;id=urn:contentItem:5F7T-S7M1-JNCK-228M-00000-00&amp;context=" TargetMode="External" /><Relationship Id="rId17" Type="http://schemas.openxmlformats.org/officeDocument/2006/relationships/hyperlink" Target="https://advance.lexis.com/api/document?collection=cases-ca&amp;id=urn:contentItem:5F8T-N3V1-JF75-M3R4-00000-00&amp;context=" TargetMode="External" /><Relationship Id="rId170" Type="http://schemas.openxmlformats.org/officeDocument/2006/relationships/hyperlink" Target="https://advance.lexis.com/api/document?collection=cases-ca&amp;id=urn:contentItem:5F7T-S7N1-JC5P-G21N-00000-00&amp;context=" TargetMode="External" /><Relationship Id="rId171" Type="http://schemas.openxmlformats.org/officeDocument/2006/relationships/header" Target="header31.xml" /><Relationship Id="rId172" Type="http://schemas.openxmlformats.org/officeDocument/2006/relationships/header" Target="header32.xml" /><Relationship Id="rId173" Type="http://schemas.openxmlformats.org/officeDocument/2006/relationships/footer" Target="footer31.xml" /><Relationship Id="rId174" Type="http://schemas.openxmlformats.org/officeDocument/2006/relationships/footer" Target="footer32.xml" /><Relationship Id="rId175" Type="http://schemas.openxmlformats.org/officeDocument/2006/relationships/header" Target="header33.xml" /><Relationship Id="rId176" Type="http://schemas.openxmlformats.org/officeDocument/2006/relationships/footer" Target="footer33.xml" /><Relationship Id="rId177" Type="http://schemas.openxmlformats.org/officeDocument/2006/relationships/hyperlink" Target="https://advance.lexis.com/api/document?collection=cases-ca&amp;id=urn:contentItem:5F7T-S7C1-JCJ5-20RN-00000-00&amp;context=" TargetMode="External" /><Relationship Id="rId178" Type="http://schemas.openxmlformats.org/officeDocument/2006/relationships/header" Target="header34.xml" /><Relationship Id="rId179" Type="http://schemas.openxmlformats.org/officeDocument/2006/relationships/header" Target="header35.xml" /><Relationship Id="rId18" Type="http://schemas.openxmlformats.org/officeDocument/2006/relationships/hyperlink" Target="https://advance.lexis.com/api/document?collection=cases-ca&amp;id=urn:contentItem:5F7T-S751-JP4G-6172-00000-00&amp;context=" TargetMode="External" /><Relationship Id="rId180" Type="http://schemas.openxmlformats.org/officeDocument/2006/relationships/footer" Target="footer34.xml" /><Relationship Id="rId181" Type="http://schemas.openxmlformats.org/officeDocument/2006/relationships/footer" Target="footer35.xml" /><Relationship Id="rId182" Type="http://schemas.openxmlformats.org/officeDocument/2006/relationships/header" Target="header36.xml" /><Relationship Id="rId183" Type="http://schemas.openxmlformats.org/officeDocument/2006/relationships/footer" Target="footer36.xml" /><Relationship Id="rId184" Type="http://schemas.openxmlformats.org/officeDocument/2006/relationships/hyperlink" Target="https://advance.lexis.com/api/document?collection=cases-ca&amp;id=urn:contentItem:5F7T-S7H1-FCSB-S3PB-00000-00&amp;context=" TargetMode="External" /><Relationship Id="rId185" Type="http://schemas.openxmlformats.org/officeDocument/2006/relationships/hyperlink" Target="https://advance.lexis.com/api/document?collection=cases-ca&amp;id=urn:contentItem:5F7T-S7F1-JBT7-X35P-00000-00&amp;context=" TargetMode="External" /><Relationship Id="rId186" Type="http://schemas.openxmlformats.org/officeDocument/2006/relationships/hyperlink" Target="https://advance.lexis.com/api/document?collection=cases-ca&amp;id=urn:contentItem:5F7T-S7F1-JK4W-M1CC-00000-00&amp;context=" TargetMode="External" /><Relationship Id="rId187" Type="http://schemas.openxmlformats.org/officeDocument/2006/relationships/hyperlink" Target="https://advance.lexis.com/api/document?collection=cases-ca&amp;id=urn:contentItem:5F7T-S7F1-FBN1-21H5-00000-00&amp;context=" TargetMode="External" /><Relationship Id="rId188" Type="http://schemas.openxmlformats.org/officeDocument/2006/relationships/hyperlink" Target="https://advance.lexis.com/api/document?collection=cases-ca&amp;id=urn:contentItem:5F7T-S7G1-F5KY-B1B9-00000-00&amp;context=" TargetMode="External" /><Relationship Id="rId189" Type="http://schemas.openxmlformats.org/officeDocument/2006/relationships/hyperlink" Target="https://advance.lexis.com/api/document?collection=cases-ca&amp;id=urn:contentItem:5F7T-S7C1-F4NT-X389-00000-00&amp;context=" TargetMode="External" /><Relationship Id="rId19" Type="http://schemas.openxmlformats.org/officeDocument/2006/relationships/hyperlink" Target="https://advance.lexis.com/api/document?collection=cases-ca&amp;id=urn:contentItem:5F8T-N3T1-JJSF-23BN-00000-00&amp;context=" TargetMode="External" /><Relationship Id="rId190" Type="http://schemas.openxmlformats.org/officeDocument/2006/relationships/hyperlink" Target="https://advance.lexis.com/api/document?collection=cases-ca&amp;id=urn:contentItem:5F7T-S781-F900-G170-00000-00&amp;context=" TargetMode="External" /><Relationship Id="rId191" Type="http://schemas.openxmlformats.org/officeDocument/2006/relationships/hyperlink" Target="https://advance.lexis.com/api/document?collection=cases-ca&amp;id=urn:contentItem:5F7T-S7C1-JS0R-227S-00000-00&amp;context=" TargetMode="External" /><Relationship Id="rId192" Type="http://schemas.openxmlformats.org/officeDocument/2006/relationships/hyperlink" Target="https://advance.lexis.com/api/document?collection=cases-ca&amp;id=urn:contentItem:5F7T-S7C1-F7VM-S3TM-00000-00&amp;context=" TargetMode="External" /><Relationship Id="rId193" Type="http://schemas.openxmlformats.org/officeDocument/2006/relationships/hyperlink" Target="https://advance.lexis.com/api/document?collection=cases-ca&amp;id=urn:contentItem:5F7T-S7C1-FCSB-S25J-00000-00&amp;context=" TargetMode="External" /><Relationship Id="rId194" Type="http://schemas.openxmlformats.org/officeDocument/2006/relationships/hyperlink" Target="https://advance.lexis.com/api/document?collection=cases-ca&amp;id=urn:contentItem:5F7T-S7G1-JPP5-21NF-00000-00&amp;context=" TargetMode="External" /><Relationship Id="rId195" Type="http://schemas.openxmlformats.org/officeDocument/2006/relationships/hyperlink" Target="https://advance.lexis.com/api/document?collection=cases-ca&amp;id=urn:contentItem:5F7T-S7F1-F7VM-S475-00000-00&amp;context=" TargetMode="External" /><Relationship Id="rId196" Type="http://schemas.openxmlformats.org/officeDocument/2006/relationships/header" Target="header37.xml" /><Relationship Id="rId197" Type="http://schemas.openxmlformats.org/officeDocument/2006/relationships/header" Target="header38.xml" /><Relationship Id="rId198" Type="http://schemas.openxmlformats.org/officeDocument/2006/relationships/footer" Target="footer37.xml" /><Relationship Id="rId199" Type="http://schemas.openxmlformats.org/officeDocument/2006/relationships/footer" Target="footer38.xml" /><Relationship Id="rId2" Type="http://schemas.openxmlformats.org/officeDocument/2006/relationships/webSettings" Target="webSettings.xml" /><Relationship Id="rId20" Type="http://schemas.openxmlformats.org/officeDocument/2006/relationships/hyperlink" Target="https://advance.lexis.com/api/document?collection=cases-ca&amp;id=urn:contentItem:5F8T-N3N1-FCYK-23NX-00000-00&amp;context=" TargetMode="External" /><Relationship Id="rId200" Type="http://schemas.openxmlformats.org/officeDocument/2006/relationships/header" Target="header39.xml" /><Relationship Id="rId201" Type="http://schemas.openxmlformats.org/officeDocument/2006/relationships/footer" Target="footer39.xml" /><Relationship Id="rId202" Type="http://schemas.openxmlformats.org/officeDocument/2006/relationships/hyperlink" Target="https://advance.lexis.com/api/document?collection=cases-ca&amp;id=urn:contentItem:5F7T-S7D1-DY89-M44T-00000-00&amp;context=" TargetMode="External" /><Relationship Id="rId203" Type="http://schemas.openxmlformats.org/officeDocument/2006/relationships/hyperlink" Target="https://advance.lexis.com/api/document?collection=cases-ca&amp;id=urn:contentItem:5F7T-S771-JW5H-X22W-00000-00&amp;context=" TargetMode="External" /><Relationship Id="rId204" Type="http://schemas.openxmlformats.org/officeDocument/2006/relationships/hyperlink" Target="https://advance.lexis.com/api/document?collection=cases-ca&amp;id=urn:contentItem:5F8T-N3R1-FJDY-X2TD-00000-00&amp;context=" TargetMode="External" /><Relationship Id="rId205" Type="http://schemas.openxmlformats.org/officeDocument/2006/relationships/hyperlink" Target="https://advance.lexis.com/api/document?collection=cases-ca&amp;id=urn:contentItem:5F7T-S731-FG12-6298-00000-00&amp;context=" TargetMode="External" /><Relationship Id="rId206" Type="http://schemas.openxmlformats.org/officeDocument/2006/relationships/hyperlink" Target="https://advance.lexis.com/api/document?collection=cases-ca&amp;id=urn:contentItem:5F7T-S731-FFFC-B0FN-00000-00&amp;context=" TargetMode="External" /><Relationship Id="rId207" Type="http://schemas.openxmlformats.org/officeDocument/2006/relationships/header" Target="header40.xml" /><Relationship Id="rId208" Type="http://schemas.openxmlformats.org/officeDocument/2006/relationships/header" Target="header41.xml" /><Relationship Id="rId209" Type="http://schemas.openxmlformats.org/officeDocument/2006/relationships/footer" Target="footer40.xml" /><Relationship Id="rId21" Type="http://schemas.openxmlformats.org/officeDocument/2006/relationships/hyperlink" Target="https://advance.lexis.com/api/document?collection=cases-ca&amp;id=urn:contentItem:5F7T-S721-F956-S1HF-00000-00&amp;context=" TargetMode="External" /><Relationship Id="rId210" Type="http://schemas.openxmlformats.org/officeDocument/2006/relationships/footer" Target="footer41.xml" /><Relationship Id="rId211" Type="http://schemas.openxmlformats.org/officeDocument/2006/relationships/header" Target="header42.xml" /><Relationship Id="rId212" Type="http://schemas.openxmlformats.org/officeDocument/2006/relationships/footer" Target="footer42.xml" /><Relationship Id="rId213" Type="http://schemas.openxmlformats.org/officeDocument/2006/relationships/hyperlink" Target="https://advance.lexis.com/api/document?collection=cases-ca&amp;id=urn:contentItem:5F7T-S7K1-F1H1-2226-00000-00&amp;context=" TargetMode="External" /><Relationship Id="rId214" Type="http://schemas.openxmlformats.org/officeDocument/2006/relationships/hyperlink" Target="https://advance.lexis.com/api/document?collection=cases-ca&amp;id=urn:contentItem:5F7T-S711-JNY7-X38K-00000-00&amp;context=" TargetMode="External" /><Relationship Id="rId215" Type="http://schemas.openxmlformats.org/officeDocument/2006/relationships/hyperlink" Target="https://advance.lexis.com/api/document?collection=cases-ca&amp;id=urn:contentItem:5F7T-S6X1-K0BB-S06T-00000-00&amp;context=" TargetMode="External" /><Relationship Id="rId216" Type="http://schemas.openxmlformats.org/officeDocument/2006/relationships/hyperlink" Target="https://advance.lexis.com/api/document?collection=cases-ca&amp;id=urn:contentItem:5F7T-S7D1-JG02-S34C-00000-00&amp;context=" TargetMode="External" /><Relationship Id="rId217" Type="http://schemas.openxmlformats.org/officeDocument/2006/relationships/hyperlink" Target="https://advance.lexis.com/api/document?collection=cases-ca&amp;id=urn:contentItem:5F7T-S6V1-F956-S05B-00000-00&amp;context=" TargetMode="External" /><Relationship Id="rId218" Type="http://schemas.openxmlformats.org/officeDocument/2006/relationships/hyperlink" Target="https://advance.lexis.com/api/document?collection=cases-ca&amp;id=urn:contentItem:5F7T-S761-JX8W-M2RX-00000-00&amp;context=" TargetMode="External" /><Relationship Id="rId219" Type="http://schemas.openxmlformats.org/officeDocument/2006/relationships/hyperlink" Target="https://advance.lexis.com/api/document?collection=cases-ca&amp;id=urn:contentItem:5F7T-S6W1-JB7K-21HW-00000-00&amp;context=" TargetMode="External" /><Relationship Id="rId22" Type="http://schemas.openxmlformats.org/officeDocument/2006/relationships/header" Target="header4.xml" /><Relationship Id="rId220" Type="http://schemas.openxmlformats.org/officeDocument/2006/relationships/hyperlink" Target="https://advance.lexis.com/api/document?collection=cases-ca&amp;id=urn:contentItem:5F7T-S711-JC0G-633C-00000-00&amp;context=" TargetMode="External" /><Relationship Id="rId221" Type="http://schemas.openxmlformats.org/officeDocument/2006/relationships/hyperlink" Target="https://advance.lexis.com/api/document?collection=cases-ca&amp;id=urn:contentItem:5F7T-S741-F1H1-21WH-00000-00&amp;context=" TargetMode="External" /><Relationship Id="rId222" Type="http://schemas.openxmlformats.org/officeDocument/2006/relationships/hyperlink" Target="https://advance.lexis.com/api/document?collection=cases-ca&amp;id=urn:contentItem:5F7T-S751-JBM1-M2DV-00000-00&amp;context=" TargetMode="External" /><Relationship Id="rId223" Type="http://schemas.openxmlformats.org/officeDocument/2006/relationships/hyperlink" Target="https://advance.lexis.com/api/document?collection=cases-ca&amp;id=urn:contentItem:5F7T-S6X1-JXNB-62NC-00000-00&amp;context=" TargetMode="External" /><Relationship Id="rId224" Type="http://schemas.openxmlformats.org/officeDocument/2006/relationships/hyperlink" Target="https://advance.lexis.com/api/document?collection=cases-ca&amp;id=urn:contentItem:5F7T-S711-F27X-60BB-00000-00&amp;context=" TargetMode="External" /><Relationship Id="rId225" Type="http://schemas.openxmlformats.org/officeDocument/2006/relationships/hyperlink" Target="https://advance.lexis.com/api/document?collection=cases-ca&amp;id=urn:contentItem:5F7T-S7C1-F7VM-S3F8-00000-00&amp;context=" TargetMode="External" /><Relationship Id="rId226" Type="http://schemas.openxmlformats.org/officeDocument/2006/relationships/hyperlink" Target="https://advance.lexis.com/api/document?collection=cases-ca&amp;id=urn:contentItem:5F7T-S751-JGHR-M1SG-00000-00&amp;context=" TargetMode="External" /><Relationship Id="rId227" Type="http://schemas.openxmlformats.org/officeDocument/2006/relationships/hyperlink" Target="https://advance.lexis.com/api/document?collection=cases-ca&amp;id=urn:contentItem:5F7T-S7H1-JS5Y-B32N-00000-00&amp;context=" TargetMode="External" /><Relationship Id="rId228" Type="http://schemas.openxmlformats.org/officeDocument/2006/relationships/header" Target="header43.xml" /><Relationship Id="rId229" Type="http://schemas.openxmlformats.org/officeDocument/2006/relationships/header" Target="header44.xml" /><Relationship Id="rId23" Type="http://schemas.openxmlformats.org/officeDocument/2006/relationships/header" Target="header5.xml" /><Relationship Id="rId230" Type="http://schemas.openxmlformats.org/officeDocument/2006/relationships/footer" Target="footer43.xml" /><Relationship Id="rId231" Type="http://schemas.openxmlformats.org/officeDocument/2006/relationships/footer" Target="footer44.xml" /><Relationship Id="rId232" Type="http://schemas.openxmlformats.org/officeDocument/2006/relationships/header" Target="header45.xml" /><Relationship Id="rId233" Type="http://schemas.openxmlformats.org/officeDocument/2006/relationships/footer" Target="footer45.xml" /><Relationship Id="rId234" Type="http://schemas.openxmlformats.org/officeDocument/2006/relationships/hyperlink" Target="https://advance.lexis.com/api/document?collection=cases-ca&amp;id=urn:contentItem:5F7T-S781-F27X-612F-00000-00&amp;context=" TargetMode="External" /><Relationship Id="rId235" Type="http://schemas.openxmlformats.org/officeDocument/2006/relationships/hyperlink" Target="https://advance.lexis.com/api/document?collection=legislation-ca&amp;id=urn:contentItem:5TBM-3RM1-F7VM-S13S-00000-00&amp;context=" TargetMode="External" /><Relationship Id="rId236" Type="http://schemas.openxmlformats.org/officeDocument/2006/relationships/hyperlink" Target="https://advance.lexis.com/api/document?collection=cases-ca&amp;id=urn:contentItem:5F7T-S701-JJYN-B2WC-00000-00&amp;context=" TargetMode="External" /><Relationship Id="rId237" Type="http://schemas.openxmlformats.org/officeDocument/2006/relationships/hyperlink" Target="https://advance.lexis.com/api/document?collection=cases-ca&amp;id=urn:contentItem:5F81-VJX1-F5T5-M4HH-00000-00&amp;context=" TargetMode="External" /><Relationship Id="rId238" Type="http://schemas.openxmlformats.org/officeDocument/2006/relationships/hyperlink" Target="https://advance.lexis.com/api/document?collection=cases-ca&amp;id=urn:contentItem:5F81-VJX1-JX3N-B1CG-00000-00&amp;context=" TargetMode="External" /><Relationship Id="rId239" Type="http://schemas.openxmlformats.org/officeDocument/2006/relationships/hyperlink" Target="https://advance.lexis.com/api/document?collection=cases-ca&amp;id=urn:contentItem:5F82-1SB1-F8SS-6449-00000-00&amp;context=" TargetMode="External" /><Relationship Id="rId24" Type="http://schemas.openxmlformats.org/officeDocument/2006/relationships/footer" Target="footer4.xml" /><Relationship Id="rId240" Type="http://schemas.openxmlformats.org/officeDocument/2006/relationships/hyperlink" Target="https://advance.lexis.com/api/document?collection=cases-ca&amp;id=urn:contentItem:5F8T-N3V1-JFKM-607D-00000-00&amp;context=" TargetMode="External" /><Relationship Id="rId241" Type="http://schemas.openxmlformats.org/officeDocument/2006/relationships/hyperlink" Target="https://advance.lexis.com/api/document?collection=cases-ca&amp;id=urn:contentItem:5F8P-SCT1-FCCX-642G-00000-00&amp;context=" TargetMode="External" /><Relationship Id="rId242" Type="http://schemas.openxmlformats.org/officeDocument/2006/relationships/hyperlink" Target="https://advance.lexis.com/api/document?collection=cases-ca&amp;id=urn:contentItem:5F8T-N3S1-JBDT-B08K-00000-00&amp;context=" TargetMode="External" /><Relationship Id="rId243" Type="http://schemas.openxmlformats.org/officeDocument/2006/relationships/hyperlink" Target="https://advance.lexis.com/api/document?collection=cases-ca&amp;id=urn:contentItem:5F8P-SC81-FFMK-M4R1-00000-00&amp;context=" TargetMode="External" /><Relationship Id="rId244" Type="http://schemas.openxmlformats.org/officeDocument/2006/relationships/hyperlink" Target="https://advance.lexis.com/api/document?collection=cases-ca&amp;id=urn:contentItem:5F8P-SBT1-F8KH-X2F1-00000-00&amp;context=" TargetMode="External" /><Relationship Id="rId245" Type="http://schemas.openxmlformats.org/officeDocument/2006/relationships/hyperlink" Target="https://advance.lexis.com/api/document?collection=cases-ca&amp;id=urn:contentItem:5F7T-S731-FG12-62D5-00000-00&amp;context=" TargetMode="External" /><Relationship Id="rId246" Type="http://schemas.openxmlformats.org/officeDocument/2006/relationships/hyperlink" Target="https://advance.lexis.com/api/document?collection=cases-ca&amp;id=urn:contentItem:5F7T-S781-F7G6-63N4-00000-00&amp;context=" TargetMode="External" /><Relationship Id="rId247" Type="http://schemas.openxmlformats.org/officeDocument/2006/relationships/hyperlink" Target="https://advance.lexis.com/api/document?collection=cases-ca&amp;id=urn:contentItem:5F7T-S771-JTGH-B1KF-00000-00&amp;context=" TargetMode="External" /><Relationship Id="rId248" Type="http://schemas.openxmlformats.org/officeDocument/2006/relationships/hyperlink" Target="https://advance.lexis.com/api/document?collection=cases-ca&amp;id=urn:contentItem:5F8P-SD51-F1H1-24BV-00000-00&amp;context=" TargetMode="External" /><Relationship Id="rId249" Type="http://schemas.openxmlformats.org/officeDocument/2006/relationships/hyperlink" Target="https://advance.lexis.com/api/document?collection=cases-ca&amp;id=urn:contentItem:5F7T-S751-F361-M0R6-00000-00&amp;context=" TargetMode="External" /><Relationship Id="rId25" Type="http://schemas.openxmlformats.org/officeDocument/2006/relationships/footer" Target="footer5.xml" /><Relationship Id="rId250" Type="http://schemas.openxmlformats.org/officeDocument/2006/relationships/hyperlink" Target="https://advance.lexis.com/api/document?collection=cases-ca&amp;id=urn:contentItem:5F7T-S771-JJD0-G1DB-00000-00&amp;context=" TargetMode="External" /><Relationship Id="rId251" Type="http://schemas.openxmlformats.org/officeDocument/2006/relationships/hyperlink" Target="https://advance.lexis.com/api/document?collection=cases-ca&amp;id=urn:contentItem:5F7T-S771-JW5H-X25Y-00000-00&amp;context=" TargetMode="External" /><Relationship Id="rId252" Type="http://schemas.openxmlformats.org/officeDocument/2006/relationships/hyperlink" Target="https://advance.lexis.com/api/document?collection=cases-ca&amp;id=urn:contentItem:5F7T-S751-JCJ5-24JJ-00000-00&amp;context=" TargetMode="External" /><Relationship Id="rId253" Type="http://schemas.openxmlformats.org/officeDocument/2006/relationships/hyperlink" Target="https://advance.lexis.com/api/document?collection=cases-ca&amp;id=urn:contentItem:5F7T-S741-FJM6-61C6-00000-00&amp;context=" TargetMode="External" /><Relationship Id="rId254" Type="http://schemas.openxmlformats.org/officeDocument/2006/relationships/hyperlink" Target="https://advance.lexis.com/api/document?collection=cases-ca&amp;id=urn:contentItem:5F81-VJX1-JKPJ-G1J0-00000-00&amp;context=" TargetMode="External" /><Relationship Id="rId255" Type="http://schemas.openxmlformats.org/officeDocument/2006/relationships/hyperlink" Target="https://advance.lexis.com/api/document?collection=cases-ca&amp;id=urn:contentItem:5F7T-S761-F81W-2256-00000-00&amp;context=" TargetMode="External" /><Relationship Id="rId256" Type="http://schemas.openxmlformats.org/officeDocument/2006/relationships/hyperlink" Target="https://advance.lexis.com/api/document?collection=cases-ca&amp;id=urn:contentItem:5F7T-S751-FJDY-X419-00000-00&amp;context=" TargetMode="External" /><Relationship Id="rId257" Type="http://schemas.openxmlformats.org/officeDocument/2006/relationships/hyperlink" Target="https://advance.lexis.com/api/document?collection=cases-ca&amp;id=urn:contentItem:5F81-VJX1-FFTT-X1XP-00000-00&amp;context=" TargetMode="External" /><Relationship Id="rId258" Type="http://schemas.openxmlformats.org/officeDocument/2006/relationships/header" Target="header46.xml" /><Relationship Id="rId259" Type="http://schemas.openxmlformats.org/officeDocument/2006/relationships/header" Target="header47.xml" /><Relationship Id="rId26" Type="http://schemas.openxmlformats.org/officeDocument/2006/relationships/header" Target="header6.xml" /><Relationship Id="rId260" Type="http://schemas.openxmlformats.org/officeDocument/2006/relationships/footer" Target="footer46.xml" /><Relationship Id="rId261" Type="http://schemas.openxmlformats.org/officeDocument/2006/relationships/footer" Target="footer47.xml" /><Relationship Id="rId262" Type="http://schemas.openxmlformats.org/officeDocument/2006/relationships/header" Target="header48.xml" /><Relationship Id="rId263" Type="http://schemas.openxmlformats.org/officeDocument/2006/relationships/footer" Target="footer48.xml" /><Relationship Id="rId264" Type="http://schemas.openxmlformats.org/officeDocument/2006/relationships/hyperlink" Target="https://advance.lexis.com/api/document?collection=cases-ca&amp;id=urn:contentItem:5F7T-S7B1-JSRM-60KV-00000-00&amp;context=" TargetMode="External" /><Relationship Id="rId265" Type="http://schemas.openxmlformats.org/officeDocument/2006/relationships/hyperlink" Target="https://advance.lexis.com/api/document?collection=cases-ca&amp;id=urn:contentItem:5F7T-S741-DXPM-S191-00000-00&amp;context=" TargetMode="External" /><Relationship Id="rId266" Type="http://schemas.openxmlformats.org/officeDocument/2006/relationships/hyperlink" Target="https://advance.lexis.com/api/document?collection=cases-ca&amp;id=urn:contentItem:5F7T-S701-JF75-M4G2-00000-00&amp;context=" TargetMode="External" /><Relationship Id="rId267" Type="http://schemas.openxmlformats.org/officeDocument/2006/relationships/hyperlink" Target="https://advance.lexis.com/api/document?collection=cases-ca&amp;id=urn:contentItem:5F7T-S6T1-JJ1H-X23V-00000-00&amp;context=" TargetMode="External" /><Relationship Id="rId268" Type="http://schemas.openxmlformats.org/officeDocument/2006/relationships/hyperlink" Target="https://advance.lexis.com/api/document?collection=cases-ca&amp;id=urn:contentItem:5F7T-S771-JN14-G2GC-00000-00&amp;context=" TargetMode="External" /><Relationship Id="rId269" Type="http://schemas.openxmlformats.org/officeDocument/2006/relationships/hyperlink" Target="https://advance.lexis.com/api/document?collection=cases-ca&amp;id=urn:contentItem:5F7T-S731-F016-S359-00000-00&amp;context=" TargetMode="External" /><Relationship Id="rId27" Type="http://schemas.openxmlformats.org/officeDocument/2006/relationships/footer" Target="footer6.xml" /><Relationship Id="rId270" Type="http://schemas.openxmlformats.org/officeDocument/2006/relationships/hyperlink" Target="https://advance.lexis.com/api/document?collection=cases-ca&amp;id=urn:contentItem:5F7T-S741-F7VM-S2SK-00000-00&amp;context=" TargetMode="External" /><Relationship Id="rId271" Type="http://schemas.openxmlformats.org/officeDocument/2006/relationships/hyperlink" Target="https://advance.lexis.com/api/document?collection=cases-ca&amp;id=urn:contentItem:5F81-VJX1-JKPJ-G1SY-00000-00&amp;context=" TargetMode="External" /><Relationship Id="rId272" Type="http://schemas.openxmlformats.org/officeDocument/2006/relationships/header" Target="header49.xml" /><Relationship Id="rId273" Type="http://schemas.openxmlformats.org/officeDocument/2006/relationships/header" Target="header50.xml" /><Relationship Id="rId274" Type="http://schemas.openxmlformats.org/officeDocument/2006/relationships/footer" Target="footer49.xml" /><Relationship Id="rId275" Type="http://schemas.openxmlformats.org/officeDocument/2006/relationships/footer" Target="footer50.xml" /><Relationship Id="rId276" Type="http://schemas.openxmlformats.org/officeDocument/2006/relationships/header" Target="header51.xml" /><Relationship Id="rId277" Type="http://schemas.openxmlformats.org/officeDocument/2006/relationships/footer" Target="footer51.xml" /><Relationship Id="rId278" Type="http://schemas.openxmlformats.org/officeDocument/2006/relationships/hyperlink" Target="https://advance.lexis.com/api/document?collection=cases-ca&amp;id=urn:contentItem:5F7T-S7M1-JNCK-22K4-00000-00&amp;context=" TargetMode="External" /><Relationship Id="rId279" Type="http://schemas.openxmlformats.org/officeDocument/2006/relationships/hyperlink" Target="https://advance.lexis.com/api/document?collection=legislation-ca&amp;id=urn:contentItem:5F41-1FN1-JB7K-21HJ-00000-00&amp;context=" TargetMode="External" /><Relationship Id="rId28" Type="http://schemas.openxmlformats.org/officeDocument/2006/relationships/hyperlink" Target="https://advance.lexis.com/api/document?collection=cases-ca&amp;id=urn:contentItem:5F7T-S7J1-JGBH-B26C-00000-00&amp;context=" TargetMode="External" /><Relationship Id="rId280" Type="http://schemas.openxmlformats.org/officeDocument/2006/relationships/hyperlink" Target="https://advance.lexis.com/api/document?collection=legislation-ca&amp;id=urn:contentItem:5F41-1FN1-JB7K-21RC-00000-00&amp;context=" TargetMode="External" /><Relationship Id="rId281" Type="http://schemas.openxmlformats.org/officeDocument/2006/relationships/hyperlink" Target="https://advance.lexis.com/api/document?collection=legislation-ca&amp;id=urn:contentItem:5F41-1FG1-FBN1-2169-00000-00&amp;context=" TargetMode="External" /><Relationship Id="rId282" Type="http://schemas.openxmlformats.org/officeDocument/2006/relationships/hyperlink" Target="https://advance.lexis.com/api/document?collection=legislation-ca&amp;id=urn:contentItem:5G4J-1511-JSC5-M2DB-00000-00&amp;context=" TargetMode="External" /><Relationship Id="rId283" Type="http://schemas.openxmlformats.org/officeDocument/2006/relationships/image" Target="media/image2.jpeg" /><Relationship Id="rId284" Type="http://schemas.openxmlformats.org/officeDocument/2006/relationships/hyperlink" Target="https://advance.lexis.com/api/document?collection=cases-ca&amp;id=urn:contentItem:5F7T-S761-JCBX-S0KW-00000-00&amp;context=" TargetMode="External" /><Relationship Id="rId285" Type="http://schemas.openxmlformats.org/officeDocument/2006/relationships/hyperlink" Target="https://advance.lexis.com/api/document?collection=legislation-ca&amp;id=urn:contentItem:5F41-1FG1-JGHR-M2X7-00000-00&amp;context=" TargetMode="External" /><Relationship Id="rId286" Type="http://schemas.openxmlformats.org/officeDocument/2006/relationships/hyperlink" Target="https://advance.lexis.com/api/document?collection=legislation-ca&amp;id=urn:contentItem:5F41-1FG1-FBN1-210D-00000-00&amp;context=" TargetMode="External" /><Relationship Id="rId287" Type="http://schemas.openxmlformats.org/officeDocument/2006/relationships/hyperlink" Target="https://advance.lexis.com/api/document?collection=cases-ca&amp;id=urn:contentItem:5F7T-S6X1-FCCX-60KK-00000-00&amp;context=" TargetMode="External" /><Relationship Id="rId288" Type="http://schemas.openxmlformats.org/officeDocument/2006/relationships/hyperlink" Target="https://advance.lexis.com/api/document?collection=cases-ca&amp;id=urn:contentItem:5F7T-S6W1-JJK6-S11V-00000-00&amp;context=" TargetMode="External" /><Relationship Id="rId289" Type="http://schemas.openxmlformats.org/officeDocument/2006/relationships/hyperlink" Target="https://advance.lexis.com/api/document?collection=cases-ca&amp;id=urn:contentItem:5F7T-S741-DY89-M3N4-00000-00&amp;context=" TargetMode="External" /><Relationship Id="rId29" Type="http://schemas.openxmlformats.org/officeDocument/2006/relationships/hyperlink" Target="https://advance.lexis.com/api/document?collection=legislation-ca&amp;id=urn:contentItem:5F41-1FJ1-JBDT-B06F-00000-00&amp;context=" TargetMode="External" /><Relationship Id="rId290" Type="http://schemas.openxmlformats.org/officeDocument/2006/relationships/hyperlink" Target="https://advance.lexis.com/api/document?collection=cases-ca&amp;id=urn:contentItem:5F7T-S7F1-DXWW-24H3-00000-00&amp;context=" TargetMode="External" /><Relationship Id="rId291" Type="http://schemas.openxmlformats.org/officeDocument/2006/relationships/hyperlink" Target="https://advance.lexis.com/api/document?collection=cases-ca&amp;id=urn:contentItem:5F7T-S6X1-F06F-22S5-00000-00&amp;context=" TargetMode="External" /><Relationship Id="rId292" Type="http://schemas.openxmlformats.org/officeDocument/2006/relationships/hyperlink" Target="https://advance.lexis.com/api/document?collection=cases-ca&amp;id=urn:contentItem:5F7T-S701-JF75-M4DR-00000-00&amp;context=" TargetMode="External" /><Relationship Id="rId293" Type="http://schemas.openxmlformats.org/officeDocument/2006/relationships/hyperlink" Target="https://advance.lexis.com/api/document?collection=cases-ca&amp;id=urn:contentItem:5F8T-N3V1-FC1F-M49J-00000-00&amp;context=" TargetMode="External" /><Relationship Id="rId294" Type="http://schemas.openxmlformats.org/officeDocument/2006/relationships/hyperlink" Target="https://advance.lexis.com/api/document?collection=cases-ca&amp;id=urn:contentItem:5F8T-N3V1-FC1F-M49K-00000-00&amp;context=" TargetMode="External" /><Relationship Id="rId295" Type="http://schemas.openxmlformats.org/officeDocument/2006/relationships/hyperlink" Target="https://advance.lexis.com/api/document?collection=cases-ca&amp;id=urn:contentItem:5F16-92W1-DXPM-S14X-00000-00&amp;context=" TargetMode="External" /><Relationship Id="rId296" Type="http://schemas.openxmlformats.org/officeDocument/2006/relationships/header" Target="header52.xml" /><Relationship Id="rId297" Type="http://schemas.openxmlformats.org/officeDocument/2006/relationships/header" Target="header53.xml" /><Relationship Id="rId298" Type="http://schemas.openxmlformats.org/officeDocument/2006/relationships/footer" Target="footer52.xml" /><Relationship Id="rId299" Type="http://schemas.openxmlformats.org/officeDocument/2006/relationships/footer" Target="footer53.xml" /><Relationship Id="rId3" Type="http://schemas.openxmlformats.org/officeDocument/2006/relationships/fontTable" Target="fontTable.xml" /><Relationship Id="rId30" Type="http://schemas.openxmlformats.org/officeDocument/2006/relationships/hyperlink" Target="https://advance.lexis.com/api/document?collection=cases-ca&amp;id=urn:contentItem:5F7T-S7D1-FC6N-X111-00000-00&amp;context=" TargetMode="External" /><Relationship Id="rId300" Type="http://schemas.openxmlformats.org/officeDocument/2006/relationships/header" Target="header54.xml" /><Relationship Id="rId301" Type="http://schemas.openxmlformats.org/officeDocument/2006/relationships/footer" Target="footer54.xml" /><Relationship Id="rId302" Type="http://schemas.openxmlformats.org/officeDocument/2006/relationships/hyperlink" Target="https://advance.lexis.com/api/document?collection=cases-ca&amp;id=urn:contentItem:5F7T-S7P1-JSJC-X1VF-00000-00&amp;context=" TargetMode="External" /><Relationship Id="rId303" Type="http://schemas.openxmlformats.org/officeDocument/2006/relationships/hyperlink" Target="https://advance.lexis.com/api/document?collection=cases-ca&amp;id=urn:contentItem:5F8T-N3V1-JF75-M3DT-00000-00&amp;context=" TargetMode="External" /><Relationship Id="rId304" Type="http://schemas.openxmlformats.org/officeDocument/2006/relationships/hyperlink" Target="https://advance.lexis.com/api/document?collection=cases-ca&amp;id=urn:contentItem:5F8P-SBV1-JKB3-X43C-00000-00&amp;context=" TargetMode="External" /><Relationship Id="rId305" Type="http://schemas.openxmlformats.org/officeDocument/2006/relationships/hyperlink" Target="https://advance.lexis.com/api/document?collection=cases-ca&amp;id=urn:contentItem:5F7T-S7H1-F4GK-M2XK-00000-00&amp;context=" TargetMode="External" /><Relationship Id="rId306" Type="http://schemas.openxmlformats.org/officeDocument/2006/relationships/hyperlink" Target="https://advance.lexis.com/api/document?collection=cases-ca&amp;id=urn:contentItem:5F7T-S7H1-JG02-S3TT-00000-00&amp;context=" TargetMode="External" /><Relationship Id="rId307" Type="http://schemas.openxmlformats.org/officeDocument/2006/relationships/hyperlink" Target="https://advance.lexis.com/api/document?collection=cases-ca&amp;id=urn:contentItem:5F7T-S6Y1-JNY7-X2P3-00000-00&amp;context=" TargetMode="External" /><Relationship Id="rId308" Type="http://schemas.openxmlformats.org/officeDocument/2006/relationships/hyperlink" Target="https://advance.lexis.com/api/document?collection=cases-ca&amp;id=urn:contentItem:5F7T-S7H1-JFSV-G34D-00000-00&amp;context=" TargetMode="External" /><Relationship Id="rId309" Type="http://schemas.openxmlformats.org/officeDocument/2006/relationships/hyperlink" Target="https://advance.lexis.com/api/document?collection=cases-ca&amp;id=urn:contentItem:5F81-VJV1-DYFH-X4NB-00000-00&amp;context=" TargetMode="External" /><Relationship Id="rId31" Type="http://schemas.openxmlformats.org/officeDocument/2006/relationships/hyperlink" Target="https://advance.lexis.com/api/document?collection=cases-ca&amp;id=urn:contentItem:5F7T-S6T1-FJTD-G17V-00000-00&amp;context=" TargetMode="External" /><Relationship Id="rId310" Type="http://schemas.openxmlformats.org/officeDocument/2006/relationships/header" Target="header55.xml" /><Relationship Id="rId311" Type="http://schemas.openxmlformats.org/officeDocument/2006/relationships/header" Target="header56.xml" /><Relationship Id="rId312" Type="http://schemas.openxmlformats.org/officeDocument/2006/relationships/footer" Target="footer55.xml" /><Relationship Id="rId313" Type="http://schemas.openxmlformats.org/officeDocument/2006/relationships/footer" Target="footer56.xml" /><Relationship Id="rId314" Type="http://schemas.openxmlformats.org/officeDocument/2006/relationships/header" Target="header57.xml" /><Relationship Id="rId315" Type="http://schemas.openxmlformats.org/officeDocument/2006/relationships/footer" Target="footer57.xml" /><Relationship Id="rId316" Type="http://schemas.openxmlformats.org/officeDocument/2006/relationships/hyperlink" Target="https://advance.lexis.com/api/document?collection=cases-ca&amp;id=urn:contentItem:5F7T-S7F1-DXWW-24HS-00000-00&amp;context=" TargetMode="External" /><Relationship Id="rId317" Type="http://schemas.openxmlformats.org/officeDocument/2006/relationships/hyperlink" Target="https://advance.lexis.com/api/document?collection=legislation-ca&amp;id=urn:contentItem:5F41-1FM1-FCK4-G01C-00000-00&amp;context=" TargetMode="External" /><Relationship Id="rId318" Type="http://schemas.openxmlformats.org/officeDocument/2006/relationships/hyperlink" Target="https://advance.lexis.com/api/document?collection=cases-ca&amp;id=urn:contentItem:5F7T-S7G1-JBT7-X3C1-00000-00&amp;context=" TargetMode="External" /><Relationship Id="rId319" Type="http://schemas.openxmlformats.org/officeDocument/2006/relationships/hyperlink" Target="https://advance.lexis.com/api/document?collection=cases-ca&amp;id=urn:contentItem:5F8P-T8W1-F5DR-22JS-00000-00&amp;context=" TargetMode="External" /><Relationship Id="rId32" Type="http://schemas.openxmlformats.org/officeDocument/2006/relationships/hyperlink" Target="https://advance.lexis.com/api/document?collection=cases-ca&amp;id=urn:contentItem:5F7T-S781-F7G6-63BD-00000-00&amp;context=" TargetMode="External" /><Relationship Id="rId320" Type="http://schemas.openxmlformats.org/officeDocument/2006/relationships/hyperlink" Target="https://advance.lexis.com/api/document?collection=cases-ca&amp;id=urn:contentItem:5F7T-S7C1-FCSB-S2C9-00000-00&amp;context=" TargetMode="External" /><Relationship Id="rId321" Type="http://schemas.openxmlformats.org/officeDocument/2006/relationships/hyperlink" Target="https://advance.lexis.com/api/document?collection=cases-ca&amp;id=urn:contentItem:5F7T-S7B1-JSRM-60KK-00000-00&amp;context=" TargetMode="External" /><Relationship Id="rId322" Type="http://schemas.openxmlformats.org/officeDocument/2006/relationships/hyperlink" Target="https://advance.lexis.com/api/document?collection=cases-ca&amp;id=urn:contentItem:5F7T-S7D1-JN6B-S184-00000-00&amp;context=" TargetMode="External" /><Relationship Id="rId323" Type="http://schemas.openxmlformats.org/officeDocument/2006/relationships/hyperlink" Target="https://advance.lexis.com/api/document?collection=cases-ca&amp;id=urn:contentItem:5F7T-S771-JWBS-61D1-00000-00&amp;context=" TargetMode="External" /><Relationship Id="rId324" Type="http://schemas.openxmlformats.org/officeDocument/2006/relationships/hyperlink" Target="https://advance.lexis.com/api/document?collection=cases-ca&amp;id=urn:contentItem:5F7T-S7F1-JFKM-61K6-00000-00&amp;context=" TargetMode="External" /><Relationship Id="rId325" Type="http://schemas.openxmlformats.org/officeDocument/2006/relationships/hyperlink" Target="https://advance.lexis.com/api/document?collection=cases-ca&amp;id=urn:contentItem:5F7T-S7D1-DY89-M463-00000-00&amp;context=" TargetMode="External" /><Relationship Id="rId326" Type="http://schemas.openxmlformats.org/officeDocument/2006/relationships/hyperlink" Target="https://advance.lexis.com/api/document?collection=cases-ca&amp;id=urn:contentItem:5F7T-S7B1-F7ND-G50F-00000-00&amp;context=" TargetMode="External" /><Relationship Id="rId327" Type="http://schemas.openxmlformats.org/officeDocument/2006/relationships/hyperlink" Target="https://advance.lexis.com/api/document?collection=cases-ca&amp;id=urn:contentItem:5F81-VJV1-F8D9-M0SJ-00000-00&amp;context=" TargetMode="External" /><Relationship Id="rId328" Type="http://schemas.openxmlformats.org/officeDocument/2006/relationships/hyperlink" Target="https://advance.lexis.com/api/document?collection=cases-ca&amp;id=urn:contentItem:5F7T-S6W1-JF75-M300-00000-00&amp;context=" TargetMode="External" /><Relationship Id="rId329" Type="http://schemas.openxmlformats.org/officeDocument/2006/relationships/hyperlink" Target="https://advance.lexis.com/api/document?collection=cases-ca&amp;id=urn:contentItem:5F7T-S6V1-F956-S08V-00000-00&amp;context=" TargetMode="External" /><Relationship Id="rId33" Type="http://schemas.openxmlformats.org/officeDocument/2006/relationships/hyperlink" Target="https://advance.lexis.com/api/document?collection=cases-ca&amp;id=urn:contentItem:5F7T-S781-JSC5-M402-00000-00&amp;context=" TargetMode="External" /><Relationship Id="rId330" Type="http://schemas.openxmlformats.org/officeDocument/2006/relationships/hyperlink" Target="https://advance.lexis.com/api/document?collection=cases-ca&amp;id=urn:contentItem:5F7T-S721-F8D9-M16V-00000-00&amp;context=" TargetMode="External" /><Relationship Id="rId331" Type="http://schemas.openxmlformats.org/officeDocument/2006/relationships/hyperlink" Target="https://advance.lexis.com/api/document?collection=cases-ca&amp;id=urn:contentItem:5F7T-S7D1-F7ND-G0MH-00000-00&amp;context=" TargetMode="External" /><Relationship Id="rId332" Type="http://schemas.openxmlformats.org/officeDocument/2006/relationships/hyperlink" Target="https://advance.lexis.com/api/document?collection=cases-ca&amp;id=urn:contentItem:5F7T-S701-JF75-M4N2-00000-00&amp;context=" TargetMode="External" /><Relationship Id="rId333" Type="http://schemas.openxmlformats.org/officeDocument/2006/relationships/hyperlink" Target="https://advance.lexis.com/api/document?collection=cases-ca&amp;id=urn:contentItem:5F8T-N3T1-JJSF-2361-00000-00&amp;context=" TargetMode="External" /><Relationship Id="rId334" Type="http://schemas.openxmlformats.org/officeDocument/2006/relationships/hyperlink" Target="https://advance.lexis.com/api/document?collection=cases-ca&amp;id=urn:contentItem:5F7T-S7G1-JBT7-X48T-00000-00&amp;context=" TargetMode="External" /><Relationship Id="rId335" Type="http://schemas.openxmlformats.org/officeDocument/2006/relationships/hyperlink" Target="https://advance.lexis.com/api/document?collection=cases-ca&amp;id=urn:contentItem:5F8T-N3S1-JT99-250W-00000-00&amp;context=" TargetMode="External" /><Relationship Id="rId336" Type="http://schemas.openxmlformats.org/officeDocument/2006/relationships/hyperlink" Target="https://advance.lexis.com/api/document?collection=cases-ca&amp;id=urn:contentItem:5F7T-S771-JWBS-61KD-00000-00&amp;context=" TargetMode="External" /><Relationship Id="rId337" Type="http://schemas.openxmlformats.org/officeDocument/2006/relationships/hyperlink" Target="https://advance.lexis.com/api/document?collection=cases-ca&amp;id=urn:contentItem:5F8T-N3V1-FC1F-M4BC-00000-00&amp;context=" TargetMode="External" /><Relationship Id="rId338" Type="http://schemas.openxmlformats.org/officeDocument/2006/relationships/hyperlink" Target="https://advance.lexis.com/api/document?collection=cases-ca&amp;id=urn:contentItem:5F7T-S6W1-JB7K-21F4-00000-00&amp;context=" TargetMode="External" /><Relationship Id="rId339" Type="http://schemas.openxmlformats.org/officeDocument/2006/relationships/header" Target="header58.xml" /><Relationship Id="rId34" Type="http://schemas.openxmlformats.org/officeDocument/2006/relationships/hyperlink" Target="https://advance.lexis.com/api/document?collection=cases-ca&amp;id=urn:contentItem:5F7T-S7D1-F7ND-G0NP-00000-00&amp;context=" TargetMode="External" /><Relationship Id="rId340" Type="http://schemas.openxmlformats.org/officeDocument/2006/relationships/header" Target="header59.xml" /><Relationship Id="rId341" Type="http://schemas.openxmlformats.org/officeDocument/2006/relationships/footer" Target="footer58.xml" /><Relationship Id="rId342" Type="http://schemas.openxmlformats.org/officeDocument/2006/relationships/footer" Target="footer59.xml" /><Relationship Id="rId343" Type="http://schemas.openxmlformats.org/officeDocument/2006/relationships/header" Target="header60.xml" /><Relationship Id="rId344" Type="http://schemas.openxmlformats.org/officeDocument/2006/relationships/footer" Target="footer60.xml" /><Relationship Id="rId345" Type="http://schemas.openxmlformats.org/officeDocument/2006/relationships/hyperlink" Target="https://advance.lexis.com/api/document?collection=cases-ca&amp;id=urn:contentItem:5F7T-S7P1-JG02-S4DF-00000-00&amp;context=" TargetMode="External" /><Relationship Id="rId346" Type="http://schemas.openxmlformats.org/officeDocument/2006/relationships/hyperlink" Target="https://advance.lexis.com/api/document?collection=cases-ca&amp;id=urn:contentItem:5F7T-S721-F57G-S13S-00000-00&amp;context=" TargetMode="External" /><Relationship Id="rId347" Type="http://schemas.openxmlformats.org/officeDocument/2006/relationships/hyperlink" Target="https://advance.lexis.com/api/document?collection=cases-ca&amp;id=urn:contentItem:5F7T-S7K1-JKHB-630S-00000-00&amp;context=" TargetMode="External" /><Relationship Id="rId348" Type="http://schemas.openxmlformats.org/officeDocument/2006/relationships/hyperlink" Target="https://advance.lexis.com/api/document?collection=cases-ca&amp;id=urn:contentItem:5F7T-S711-FJDY-X352-00000-00&amp;context=" TargetMode="External" /><Relationship Id="rId349" Type="http://schemas.openxmlformats.org/officeDocument/2006/relationships/hyperlink" Target="https://advance.lexis.com/api/document?collection=cases-ca&amp;id=urn:contentItem:5F7T-S6W1-F5T5-M1WC-00000-00&amp;context=" TargetMode="External" /><Relationship Id="rId35" Type="http://schemas.openxmlformats.org/officeDocument/2006/relationships/hyperlink" Target="https://advance.lexis.com/api/document?collection=cases-ca&amp;id=urn:contentItem:5F7T-S7D1-DY89-M3V9-00000-00&amp;context=" TargetMode="External" /><Relationship Id="rId350" Type="http://schemas.openxmlformats.org/officeDocument/2006/relationships/hyperlink" Target="https://advance.lexis.com/api/document?collection=cases-ca&amp;id=urn:contentItem:5F7T-S7K1-DY33-B1N9-00000-00&amp;context=" TargetMode="External" /><Relationship Id="rId351" Type="http://schemas.openxmlformats.org/officeDocument/2006/relationships/hyperlink" Target="https://advance.lexis.com/api/document?collection=cases-ca&amp;id=urn:contentItem:5F7T-S721-F06F-23K9-00000-00&amp;context=" TargetMode="External" /><Relationship Id="rId352" Type="http://schemas.openxmlformats.org/officeDocument/2006/relationships/hyperlink" Target="https://advance.lexis.com/api/document?collection=cases-ca&amp;id=urn:contentItem:5F7T-S721-JSC5-M3SB-00000-00&amp;context=" TargetMode="External" /><Relationship Id="rId353" Type="http://schemas.openxmlformats.org/officeDocument/2006/relationships/hyperlink" Target="https://advance.lexis.com/api/document?collection=cases-ca&amp;id=urn:contentItem:5F7T-S791-JCJ5-250K-00000-00&amp;context=" TargetMode="External" /><Relationship Id="rId354" Type="http://schemas.openxmlformats.org/officeDocument/2006/relationships/hyperlink" Target="https://advance.lexis.com/api/document?collection=cases-ca&amp;id=urn:contentItem:5F7T-S771-F361-M1JS-00000-00&amp;context=" TargetMode="External" /><Relationship Id="rId355" Type="http://schemas.openxmlformats.org/officeDocument/2006/relationships/hyperlink" Target="https://advance.lexis.com/api/document?collection=cases-ca&amp;id=urn:contentItem:5F82-1SD1-F8D9-M2KT-00000-00&amp;context=" TargetMode="External" /><Relationship Id="rId356" Type="http://schemas.openxmlformats.org/officeDocument/2006/relationships/hyperlink" Target="https://advance.lexis.com/api/document?collection=cases-ca&amp;id=urn:contentItem:5F7T-S7F1-DXWW-24B3-00000-00&amp;context=" TargetMode="External" /><Relationship Id="rId357" Type="http://schemas.openxmlformats.org/officeDocument/2006/relationships/hyperlink" Target="https://advance.lexis.com/api/document?collection=cases-ca&amp;id=urn:contentItem:5F7T-S6Y1-FJDY-X23K-00000-00&amp;context=" TargetMode="External" /><Relationship Id="rId358" Type="http://schemas.openxmlformats.org/officeDocument/2006/relationships/hyperlink" Target="https://advance.lexis.com/api/document?collection=cases-ca&amp;id=urn:contentItem:5F7T-S7N1-JC5P-G29R-00000-00&amp;context=" TargetMode="External" /><Relationship Id="rId359" Type="http://schemas.openxmlformats.org/officeDocument/2006/relationships/hyperlink" Target="https://advance.lexis.com/api/document?collection=cases-ca&amp;id=urn:contentItem:5F7T-S7D1-FCSB-S33F-00000-00&amp;context=" TargetMode="External" /><Relationship Id="rId36" Type="http://schemas.openxmlformats.org/officeDocument/2006/relationships/hyperlink" Target="https://advance.lexis.com/api/document?collection=cases-ca&amp;id=urn:contentItem:5F7T-S721-F06F-2327-00000-00&amp;context=" TargetMode="External" /><Relationship Id="rId360" Type="http://schemas.openxmlformats.org/officeDocument/2006/relationships/hyperlink" Target="https://advance.lexis.com/api/document?collection=cases-ca&amp;id=urn:contentItem:5F7T-S781-JC5P-G1HX-00000-00&amp;context=" TargetMode="External" /><Relationship Id="rId361" Type="http://schemas.openxmlformats.org/officeDocument/2006/relationships/hyperlink" Target="https://advance.lexis.com/api/document?collection=cases-ca&amp;id=urn:contentItem:5F7T-S711-F27X-60G8-00000-00&amp;context=" TargetMode="External" /><Relationship Id="rId362" Type="http://schemas.openxmlformats.org/officeDocument/2006/relationships/hyperlink" Target="https://advance.lexis.com/api/document?collection=cases-ca&amp;id=urn:contentItem:5F7T-S6X1-JXNB-62WD-00000-00&amp;context=" TargetMode="External" /><Relationship Id="rId363" Type="http://schemas.openxmlformats.org/officeDocument/2006/relationships/hyperlink" Target="https://advance.lexis.com/api/document?collection=cases-ca&amp;id=urn:contentItem:5F8T-N3R1-JJSF-22GB-00000-00&amp;context=" TargetMode="External" /><Relationship Id="rId364" Type="http://schemas.openxmlformats.org/officeDocument/2006/relationships/hyperlink" Target="https://advance.lexis.com/api/document?collection=cases-ca&amp;id=urn:contentItem:5F7T-S7K1-JNY7-X4JT-00000-00&amp;context=" TargetMode="External" /><Relationship Id="rId365" Type="http://schemas.openxmlformats.org/officeDocument/2006/relationships/hyperlink" Target="https://advance.lexis.com/api/document?collection=cases-ca&amp;id=urn:contentItem:5F7T-S7M1-JFSV-G3TC-00000-00&amp;context=" TargetMode="External" /><Relationship Id="rId366" Type="http://schemas.openxmlformats.org/officeDocument/2006/relationships/hyperlink" Target="https://advance.lexis.com/api/document?collection=cases-ca&amp;id=urn:contentItem:5F8T-N3T1-JGHR-M26G-00000-00&amp;context=" TargetMode="External" /><Relationship Id="rId367" Type="http://schemas.openxmlformats.org/officeDocument/2006/relationships/hyperlink" Target="https://advance.lexis.com/api/document?collection=cases-ca&amp;id=urn:contentItem:5F8T-N3R1-JNS1-M12W-00000-00&amp;context=" TargetMode="External" /><Relationship Id="rId368" Type="http://schemas.openxmlformats.org/officeDocument/2006/relationships/hyperlink" Target="https://advance.lexis.com/api/document?collection=cases-ca&amp;id=urn:contentItem:5F7V-3DF1-JWR6-S39T-00000-00&amp;context=" TargetMode="External" /><Relationship Id="rId369" Type="http://schemas.openxmlformats.org/officeDocument/2006/relationships/header" Target="header61.xml" /><Relationship Id="rId37" Type="http://schemas.openxmlformats.org/officeDocument/2006/relationships/hyperlink" Target="https://advance.lexis.com/api/document?collection=cases-ca&amp;id=urn:contentItem:5F7T-S741-F1H1-21RG-00000-00&amp;context=" TargetMode="External" /><Relationship Id="rId370" Type="http://schemas.openxmlformats.org/officeDocument/2006/relationships/header" Target="header62.xml" /><Relationship Id="rId371" Type="http://schemas.openxmlformats.org/officeDocument/2006/relationships/footer" Target="footer61.xml" /><Relationship Id="rId372" Type="http://schemas.openxmlformats.org/officeDocument/2006/relationships/footer" Target="footer62.xml" /><Relationship Id="rId373" Type="http://schemas.openxmlformats.org/officeDocument/2006/relationships/header" Target="header63.xml" /><Relationship Id="rId374" Type="http://schemas.openxmlformats.org/officeDocument/2006/relationships/footer" Target="footer63.xml" /><Relationship Id="rId375" Type="http://schemas.openxmlformats.org/officeDocument/2006/relationships/hyperlink" Target="https://advance.lexis.com/api/document?collection=cases-ca&amp;id=urn:contentItem:5F7T-S7K1-JSJC-X0T7-00000-00&amp;context=" TargetMode="External" /><Relationship Id="rId376" Type="http://schemas.openxmlformats.org/officeDocument/2006/relationships/hyperlink" Target="https://advance.lexis.com/api/document?collection=cases-ca&amp;id=urn:contentItem:5F7T-S7K1-F528-G2W5-00000-00&amp;context=" TargetMode="External" /><Relationship Id="rId377" Type="http://schemas.openxmlformats.org/officeDocument/2006/relationships/hyperlink" Target="https://advance.lexis.com/api/document?collection=cases-ca&amp;id=urn:contentItem:5F7T-S7K1-DY33-B1W7-00000-00&amp;context=" TargetMode="External" /><Relationship Id="rId378" Type="http://schemas.openxmlformats.org/officeDocument/2006/relationships/hyperlink" Target="https://advance.lexis.com/api/document?collection=legislation-ca&amp;id=urn:contentItem:5F41-1FK1-JSJC-X1D1-00000-00&amp;context=" TargetMode="External" /><Relationship Id="rId379" Type="http://schemas.openxmlformats.org/officeDocument/2006/relationships/hyperlink" Target="https://advance.lexis.com/api/document?collection=cases-ca&amp;id=urn:contentItem:5F8T-N3V1-JTGH-B1D5-00000-00&amp;context=" TargetMode="External" /><Relationship Id="rId38" Type="http://schemas.openxmlformats.org/officeDocument/2006/relationships/hyperlink" Target="https://advance.lexis.com/api/document?collection=cases-ca&amp;id=urn:contentItem:5F7T-S7C1-FGRY-B04H-00000-00&amp;context=" TargetMode="External" /><Relationship Id="rId380" Type="http://schemas.openxmlformats.org/officeDocument/2006/relationships/hyperlink" Target="https://advance.lexis.com/api/document?collection=cases-ca&amp;id=urn:contentItem:5F7T-S7J1-FGCG-S07P-00000-00&amp;context=" TargetMode="External" /><Relationship Id="rId381" Type="http://schemas.openxmlformats.org/officeDocument/2006/relationships/hyperlink" Target="https://advance.lexis.com/api/document?collection=cases-ca&amp;id=urn:contentItem:5F8T-N3V1-FC1F-M455-00000-00&amp;context=" TargetMode="External" /><Relationship Id="rId382" Type="http://schemas.openxmlformats.org/officeDocument/2006/relationships/hyperlink" Target="https://advance.lexis.com/api/document?collection=cases-ca&amp;id=urn:contentItem:5F7T-S6X1-F06F-22HG-00000-00&amp;context=" TargetMode="External" /><Relationship Id="rId383" Type="http://schemas.openxmlformats.org/officeDocument/2006/relationships/hyperlink" Target="https://advance.lexis.com/api/document?collection=cases-ca&amp;id=urn:contentItem:5F8N-K731-F361-M0WK-00000-00&amp;context=" TargetMode="External" /><Relationship Id="rId384" Type="http://schemas.openxmlformats.org/officeDocument/2006/relationships/hyperlink" Target="https://advance.lexis.com/api/document?collection=cases-ca&amp;id=urn:contentItem:5F7T-S7H1-F4GK-M33F-00000-00&amp;context=" TargetMode="External" /><Relationship Id="rId385" Type="http://schemas.openxmlformats.org/officeDocument/2006/relationships/hyperlink" Target="https://advance.lexis.com/api/document?collection=cases-ca&amp;id=urn:contentItem:5F16-9361-FK0M-S2S6-00000-00&amp;context=" TargetMode="External" /><Relationship Id="rId386" Type="http://schemas.openxmlformats.org/officeDocument/2006/relationships/hyperlink" Target="https://advance.lexis.com/api/document?collection=cases-ca&amp;id=urn:contentItem:5F7T-S7H1-JG02-S3KW-00000-00&amp;context=" TargetMode="External" /><Relationship Id="rId387" Type="http://schemas.openxmlformats.org/officeDocument/2006/relationships/hyperlink" Target="https://advance.lexis.com/api/document?collection=cases-ca&amp;id=urn:contentItem:5F16-9321-FC6N-X251-00000-00&amp;context=" TargetMode="External" /><Relationship Id="rId388" Type="http://schemas.openxmlformats.org/officeDocument/2006/relationships/hyperlink" Target="https://advance.lexis.com/api/document?collection=cases-ca&amp;id=urn:contentItem:5F8N-K731-JS0R-24DJ-00000-00&amp;context=" TargetMode="External" /><Relationship Id="rId389" Type="http://schemas.openxmlformats.org/officeDocument/2006/relationships/hyperlink" Target="https://advance.lexis.com/api/document?collection=cases-ca&amp;id=urn:contentItem:5F81-VJV1-JSC5-M14B-00000-00&amp;context=" TargetMode="External" /><Relationship Id="rId39" Type="http://schemas.openxmlformats.org/officeDocument/2006/relationships/hyperlink" Target="https://advance.lexis.com/api/document?collection=cases-ca&amp;id=urn:contentItem:5F7T-S7D1-FC6N-X0GX-00000-00&amp;context=" TargetMode="External" /><Relationship Id="rId390" Type="http://schemas.openxmlformats.org/officeDocument/2006/relationships/hyperlink" Target="https://advance.lexis.com/api/document?collection=cases-ca&amp;id=urn:contentItem:5F7T-S7J1-DXWW-24X6-00000-00&amp;context=" TargetMode="External" /><Relationship Id="rId391" Type="http://schemas.openxmlformats.org/officeDocument/2006/relationships/hyperlink" Target="https://advance.lexis.com/api/document?collection=cases-ca&amp;id=urn:contentItem:5F7T-S7D1-JXG3-X0Y9-00000-00&amp;context=" TargetMode="External" /><Relationship Id="rId392" Type="http://schemas.openxmlformats.org/officeDocument/2006/relationships/hyperlink" Target="https://advance.lexis.com/api/document?collection=cases-ca&amp;id=urn:contentItem:5F8P-SBT1-F7ND-G40X-00000-00&amp;context=" TargetMode="External" /><Relationship Id="rId393" Type="http://schemas.openxmlformats.org/officeDocument/2006/relationships/hyperlink" Target="https://advance.lexis.com/api/document?collection=cases-ca&amp;id=urn:contentItem:5F8T-N3P1-K0BB-S0GJ-00000-00&amp;context=" TargetMode="External" /><Relationship Id="rId394" Type="http://schemas.openxmlformats.org/officeDocument/2006/relationships/hyperlink" Target="https://advance.lexis.com/api/document?collection=cases-ca&amp;id=urn:contentItem:5F7T-S7C1-F4NT-X2Y4-00000-00&amp;context=" TargetMode="External" /><Relationship Id="rId395" Type="http://schemas.openxmlformats.org/officeDocument/2006/relationships/hyperlink" Target="https://advance.lexis.com/api/document?collection=cases-ca&amp;id=urn:contentItem:5F8T-N3S1-JT99-24SX-00000-00&amp;context=" TargetMode="External" /><Relationship Id="rId396" Type="http://schemas.openxmlformats.org/officeDocument/2006/relationships/hyperlink" Target="https://advance.lexis.com/api/document?collection=cases-ca&amp;id=urn:contentItem:5F8T-N3V1-JF75-M3B2-00000-00&amp;context=" TargetMode="External" /><Relationship Id="rId397" Type="http://schemas.openxmlformats.org/officeDocument/2006/relationships/hyperlink" Target="https://advance.lexis.com/api/document?collection=cases-ca&amp;id=urn:contentItem:5F8T-N3T1-JJSF-236N-00000-00&amp;context=" TargetMode="External" /><Relationship Id="rId398" Type="http://schemas.openxmlformats.org/officeDocument/2006/relationships/hyperlink" Target="https://advance.lexis.com/api/document?collection=cases-ca&amp;id=urn:contentItem:5F7T-S771-JN14-G2NK-00000-00&amp;context=" TargetMode="External" /><Relationship Id="rId399" Type="http://schemas.openxmlformats.org/officeDocument/2006/relationships/hyperlink" Target="https://advance.lexis.com/api/document?collection=cases-ca&amp;id=urn:contentItem:5F8T-N3V1-JFKM-6052-00000-00&amp;context=" TargetMode="External" /><Relationship Id="rId4" Type="http://schemas.openxmlformats.org/officeDocument/2006/relationships/header" Target="header1.xml" /><Relationship Id="rId40" Type="http://schemas.openxmlformats.org/officeDocument/2006/relationships/hyperlink" Target="https://advance.lexis.com/api/document?collection=cases-ca&amp;id=urn:contentItem:5F7T-S781-DYMS-61P7-00000-00&amp;context=" TargetMode="External" /><Relationship Id="rId400" Type="http://schemas.openxmlformats.org/officeDocument/2006/relationships/hyperlink" Target="https://advance.lexis.com/api/document?collection=cases-ca&amp;id=urn:contentItem:5F8N-K731-JS0R-24KK-00000-00&amp;context=" TargetMode="External" /><Relationship Id="rId401" Type="http://schemas.openxmlformats.org/officeDocument/2006/relationships/hyperlink" Target="https://advance.lexis.com/api/document?collection=cases-ca&amp;id=urn:contentItem:5F7T-S6V1-JTNR-M3CW-00000-00&amp;context=" TargetMode="External" /><Relationship Id="rId402" Type="http://schemas.openxmlformats.org/officeDocument/2006/relationships/hyperlink" Target="https://advance.lexis.com/api/document?collection=cases-ca&amp;id=urn:contentItem:5F8P-SBT1-JWBS-64XB-00000-00&amp;context=" TargetMode="External" /><Relationship Id="rId403" Type="http://schemas.openxmlformats.org/officeDocument/2006/relationships/hyperlink" Target="https://advance.lexis.com/api/document?collection=cases-ca&amp;id=urn:contentItem:5F16-9361-FK0M-S319-00000-00&amp;context=" TargetMode="External" /><Relationship Id="rId404" Type="http://schemas.openxmlformats.org/officeDocument/2006/relationships/hyperlink" Target="https://advance.lexis.com/api/document?collection=cases-ca&amp;id=urn:contentItem:5F8P-SD11-JGHR-M41S-00000-00&amp;context=" TargetMode="External" /><Relationship Id="rId405" Type="http://schemas.openxmlformats.org/officeDocument/2006/relationships/hyperlink" Target="https://advance.lexis.com/api/document?collection=cases-ca&amp;id=urn:contentItem:5F81-VJX1-JYYX-603T-00000-00&amp;context=" TargetMode="External" /><Relationship Id="rId406" Type="http://schemas.openxmlformats.org/officeDocument/2006/relationships/hyperlink" Target="https://advance.lexis.com/api/document?collection=cases-ca&amp;id=urn:contentItem:5F8P-SD51-JB2B-S09N-00000-00&amp;context=" TargetMode="External" /><Relationship Id="rId407" Type="http://schemas.openxmlformats.org/officeDocument/2006/relationships/hyperlink" Target="https://advance.lexis.com/api/document?collection=cases-ca&amp;id=urn:contentItem:5F8P-SF01-JNY7-X4W1-00000-00&amp;context=" TargetMode="External" /><Relationship Id="rId408" Type="http://schemas.openxmlformats.org/officeDocument/2006/relationships/hyperlink" Target="https://advance.lexis.com/api/document?collection=cases-ca&amp;id=urn:contentItem:5F7T-S7H1-JG02-S39D-00000-00&amp;context=" TargetMode="External" /><Relationship Id="rId409" Type="http://schemas.openxmlformats.org/officeDocument/2006/relationships/hyperlink" Target="https://advance.lexis.com/api/document?collection=cases-ca&amp;id=urn:contentItem:5F7T-S7B1-JSRM-60K0-00000-00&amp;context=" TargetMode="External" /><Relationship Id="rId41" Type="http://schemas.openxmlformats.org/officeDocument/2006/relationships/hyperlink" Target="https://advance.lexis.com/api/document?collection=cases-ca&amp;id=urn:contentItem:5F7T-S771-F361-M1HH-00000-00&amp;context=" TargetMode="External" /><Relationship Id="rId410" Type="http://schemas.openxmlformats.org/officeDocument/2006/relationships/hyperlink" Target="https://advance.lexis.com/api/document?collection=cases-ca&amp;id=urn:contentItem:5F7T-S7G1-FCYK-205N-00000-00&amp;context=" TargetMode="External" /><Relationship Id="rId411" Type="http://schemas.openxmlformats.org/officeDocument/2006/relationships/hyperlink" Target="https://advance.lexis.com/api/document?collection=cases-ca&amp;id=urn:contentItem:5F7T-S6R1-JCJ5-23YT-00000-00&amp;context=" TargetMode="External" /><Relationship Id="rId412" Type="http://schemas.openxmlformats.org/officeDocument/2006/relationships/header" Target="header64.xml" /><Relationship Id="rId413" Type="http://schemas.openxmlformats.org/officeDocument/2006/relationships/header" Target="header65.xml" /><Relationship Id="rId414" Type="http://schemas.openxmlformats.org/officeDocument/2006/relationships/footer" Target="footer64.xml" /><Relationship Id="rId415" Type="http://schemas.openxmlformats.org/officeDocument/2006/relationships/footer" Target="footer65.xml" /><Relationship Id="rId416" Type="http://schemas.openxmlformats.org/officeDocument/2006/relationships/header" Target="header66.xml" /><Relationship Id="rId417" Type="http://schemas.openxmlformats.org/officeDocument/2006/relationships/footer" Target="footer66.xml" /><Relationship Id="rId418" Type="http://schemas.openxmlformats.org/officeDocument/2006/relationships/hyperlink" Target="https://advance.lexis.com/api/document?collection=cases-ca&amp;id=urn:contentItem:5F7T-S7P1-JSJC-X1VX-00000-00&amp;context=" TargetMode="External" /><Relationship Id="rId419" Type="http://schemas.openxmlformats.org/officeDocument/2006/relationships/hyperlink" Target="https://advance.lexis.com/api/document?collection=cases-ca&amp;id=urn:contentItem:5F7T-S7N1-F06F-24KX-00000-00&amp;context=" TargetMode="External" /><Relationship Id="rId42" Type="http://schemas.openxmlformats.org/officeDocument/2006/relationships/hyperlink" Target="https://advance.lexis.com/api/document?collection=cases-ca&amp;id=urn:contentItem:5F8T-N3V1-JF75-M3RD-00000-00&amp;context=" TargetMode="External" /><Relationship Id="rId420" Type="http://schemas.openxmlformats.org/officeDocument/2006/relationships/hyperlink" Target="https://advance.lexis.com/api/document?collection=cases-ca&amp;id=urn:contentItem:5F7T-S7C1-JCJ5-20R7-00000-00&amp;context=" TargetMode="External" /><Relationship Id="rId421" Type="http://schemas.openxmlformats.org/officeDocument/2006/relationships/hyperlink" Target="https://advance.lexis.com/api/document?collection=cases-ca&amp;id=urn:contentItem:5F7T-S7N1-JGHR-M3DB-00000-00&amp;context=" TargetMode="External" /><Relationship Id="rId422" Type="http://schemas.openxmlformats.org/officeDocument/2006/relationships/hyperlink" Target="https://advance.lexis.com/api/document?collection=cases-ca&amp;id=urn:contentItem:5F7T-S7N1-F57G-S25T-00000-00&amp;context=" TargetMode="External" /><Relationship Id="rId423" Type="http://schemas.openxmlformats.org/officeDocument/2006/relationships/hyperlink" Target="https://advance.lexis.com/api/document?collection=cases-ca&amp;id=urn:contentItem:5F7T-S7N1-F06F-24CV-00000-00&amp;context=" TargetMode="External" /><Relationship Id="rId424" Type="http://schemas.openxmlformats.org/officeDocument/2006/relationships/hyperlink" Target="https://advance.lexis.com/api/document?collection=cases-ca&amp;id=urn:contentItem:5F7T-S7C1-F7VM-S3T7-00000-00&amp;context=" TargetMode="External" /><Relationship Id="rId425" Type="http://schemas.openxmlformats.org/officeDocument/2006/relationships/hyperlink" Target="https://advance.lexis.com/api/document?collection=cases-ca&amp;id=urn:contentItem:5F7T-S7D1-FBFS-S1M7-00000-00&amp;context=" TargetMode="External" /><Relationship Id="rId426" Type="http://schemas.openxmlformats.org/officeDocument/2006/relationships/header" Target="header67.xml" /><Relationship Id="rId427" Type="http://schemas.openxmlformats.org/officeDocument/2006/relationships/header" Target="header68.xml" /><Relationship Id="rId428" Type="http://schemas.openxmlformats.org/officeDocument/2006/relationships/footer" Target="footer67.xml" /><Relationship Id="rId429" Type="http://schemas.openxmlformats.org/officeDocument/2006/relationships/footer" Target="footer68.xml" /><Relationship Id="rId43" Type="http://schemas.openxmlformats.org/officeDocument/2006/relationships/hyperlink" Target="https://advance.lexis.com/api/document?collection=cases-ca&amp;id=urn:contentItem:5F8T-N3V1-JTGH-B12R-00000-00&amp;context=" TargetMode="External" /><Relationship Id="rId430" Type="http://schemas.openxmlformats.org/officeDocument/2006/relationships/header" Target="header69.xml" /><Relationship Id="rId431" Type="http://schemas.openxmlformats.org/officeDocument/2006/relationships/footer" Target="footer69.xml" /><Relationship Id="rId432" Type="http://schemas.openxmlformats.org/officeDocument/2006/relationships/hyperlink" Target="https://advance.lexis.com/api/document?collection=cases-ca&amp;id=urn:contentItem:5MXP-54B1-JJD0-G4C5-00000-00&amp;context=" TargetMode="External" /><Relationship Id="rId433" Type="http://schemas.openxmlformats.org/officeDocument/2006/relationships/hyperlink" Target="https://advance.lexis.com/api/document?collection=cases-ca&amp;id=urn:contentItem:5F7T-S701-F8KH-X1KK-00000-00&amp;context=" TargetMode="External" /><Relationship Id="rId434" Type="http://schemas.openxmlformats.org/officeDocument/2006/relationships/hyperlink" Target="https://advance.lexis.com/api/document?collection=cases-ca&amp;id=urn:contentItem:5F7T-S711-F5KY-B0VX-00000-00&amp;context=" TargetMode="External" /><Relationship Id="rId435" Type="http://schemas.openxmlformats.org/officeDocument/2006/relationships/hyperlink" Target="https://advance.lexis.com/api/document?collection=cases-ca&amp;id=urn:contentItem:5F7T-S781-FH4C-X2NN-00000-00&amp;context=" TargetMode="External" /><Relationship Id="rId436" Type="http://schemas.openxmlformats.org/officeDocument/2006/relationships/hyperlink" Target="https://advance.lexis.com/api/document?collection=cases-ca&amp;id=urn:contentItem:5F7T-S731-FG12-62M3-00000-00&amp;context=" TargetMode="External" /><Relationship Id="rId437" Type="http://schemas.openxmlformats.org/officeDocument/2006/relationships/hyperlink" Target="https://advance.lexis.com/api/document?collection=cases-ca&amp;id=urn:contentItem:5F7T-S761-JS5Y-B1SV-00000-00&amp;context=" TargetMode="External" /><Relationship Id="rId438" Type="http://schemas.openxmlformats.org/officeDocument/2006/relationships/hyperlink" Target="https://advance.lexis.com/api/document?collection=cases-ca&amp;id=urn:contentItem:5F7T-S7B1-JCJ5-2072-00000-00&amp;context=" TargetMode="External" /><Relationship Id="rId439" Type="http://schemas.openxmlformats.org/officeDocument/2006/relationships/hyperlink" Target="https://advance.lexis.com/api/document?collection=cases-ca&amp;id=urn:contentItem:5F7T-S7C1-FCSB-S26F-00000-00&amp;context=" TargetMode="External" /><Relationship Id="rId44" Type="http://schemas.openxmlformats.org/officeDocument/2006/relationships/hyperlink" Target="https://advance.lexis.com/api/document?collection=cases-ca&amp;id=urn:contentItem:5F7T-S761-JGHR-M2VX-00000-00&amp;context=" TargetMode="External" /><Relationship Id="rId440" Type="http://schemas.openxmlformats.org/officeDocument/2006/relationships/hyperlink" Target="https://advance.lexis.com/api/document?collection=cases-ca&amp;id=urn:contentItem:5F7T-S7K1-JSJC-X0WH-00000-00&amp;context=" TargetMode="External" /><Relationship Id="rId441" Type="http://schemas.openxmlformats.org/officeDocument/2006/relationships/hyperlink" Target="https://advance.lexis.com/api/document?collection=cases-ca&amp;id=urn:contentItem:5F7T-S7K1-JSJC-X176-00000-00&amp;context=" TargetMode="External" /><Relationship Id="rId442" Type="http://schemas.openxmlformats.org/officeDocument/2006/relationships/hyperlink" Target="https://advance.lexis.com/api/document?collection=cases-ca&amp;id=urn:contentItem:5F7T-S7M1-JJK6-S1R9-00000-00&amp;context=" TargetMode="External" /><Relationship Id="rId443" Type="http://schemas.openxmlformats.org/officeDocument/2006/relationships/hyperlink" Target="https://advance.lexis.com/api/document?collection=cases-ca&amp;id=urn:contentItem:5F7T-S7P1-JNJT-B2FM-00000-00&amp;context=" TargetMode="External" /><Relationship Id="rId444" Type="http://schemas.openxmlformats.org/officeDocument/2006/relationships/hyperlink" Target="https://advance.lexis.com/api/document?collection=cases-ca&amp;id=urn:contentItem:5F7T-S7G1-F5KY-B1V4-00000-00&amp;context=" TargetMode="External" /><Relationship Id="rId445" Type="http://schemas.openxmlformats.org/officeDocument/2006/relationships/hyperlink" Target="https://advance.lexis.com/api/document?collection=cases-ca&amp;id=urn:contentItem:5F7T-S7M1-JPP5-22B4-00000-00&amp;context=" TargetMode="External" /><Relationship Id="rId446" Type="http://schemas.openxmlformats.org/officeDocument/2006/relationships/hyperlink" Target="https://advance.lexis.com/api/document?collection=cases-ca&amp;id=urn:contentItem:5F7T-S7D1-FFFC-B1DT-00000-00&amp;context=" TargetMode="External" /><Relationship Id="rId447" Type="http://schemas.openxmlformats.org/officeDocument/2006/relationships/hyperlink" Target="https://advance.lexis.com/api/document?collection=cases-ca&amp;id=urn:contentItem:5F7T-S7F1-FJTD-G3D8-00000-00&amp;context=" TargetMode="External" /><Relationship Id="rId448" Type="http://schemas.openxmlformats.org/officeDocument/2006/relationships/hyperlink" Target="https://advance.lexis.com/api/document?collection=cases-ca&amp;id=urn:contentItem:5F7T-S7N1-JGHR-M38N-00000-00&amp;context=" TargetMode="External" /><Relationship Id="rId449" Type="http://schemas.openxmlformats.org/officeDocument/2006/relationships/hyperlink" Target="https://advance.lexis.com/api/document?collection=cases-ca&amp;id=urn:contentItem:5F8T-N3V1-FH4C-X252-00000-00&amp;context=" TargetMode="External" /><Relationship Id="rId45" Type="http://schemas.openxmlformats.org/officeDocument/2006/relationships/header" Target="header7.xml" /><Relationship Id="rId450" Type="http://schemas.openxmlformats.org/officeDocument/2006/relationships/hyperlink" Target="https://advance.lexis.com/api/document?collection=cases-ca&amp;id=urn:contentItem:5HKY-0HS1-JPP5-2001-00000-00&amp;context=" TargetMode="External" /><Relationship Id="rId451" Type="http://schemas.openxmlformats.org/officeDocument/2006/relationships/hyperlink" Target="https://advance.lexis.com/api/document?collection=cases-ca&amp;id=urn:contentItem:5G3H-VVF1-JSRM-62N3-00000-00&amp;context=" TargetMode="External" /><Relationship Id="rId452" Type="http://schemas.openxmlformats.org/officeDocument/2006/relationships/hyperlink" Target="https://advance.lexis.com/api/document?collection=cases-ca&amp;id=urn:contentItem:5F7T-S751-JNS1-M1BR-00000-00&amp;context=" TargetMode="External" /><Relationship Id="rId453" Type="http://schemas.openxmlformats.org/officeDocument/2006/relationships/hyperlink" Target="https://advance.lexis.com/api/document?collection=cases-ca&amp;id=urn:contentItem:5F7T-S7B1-JCJ5-206F-00000-00&amp;context=" TargetMode="External" /><Relationship Id="rId454" Type="http://schemas.openxmlformats.org/officeDocument/2006/relationships/header" Target="header70.xml" /><Relationship Id="rId455" Type="http://schemas.openxmlformats.org/officeDocument/2006/relationships/header" Target="header71.xml" /><Relationship Id="rId456" Type="http://schemas.openxmlformats.org/officeDocument/2006/relationships/footer" Target="footer70.xml" /><Relationship Id="rId457" Type="http://schemas.openxmlformats.org/officeDocument/2006/relationships/footer" Target="footer71.xml" /><Relationship Id="rId458" Type="http://schemas.openxmlformats.org/officeDocument/2006/relationships/header" Target="header72.xml" /><Relationship Id="rId459" Type="http://schemas.openxmlformats.org/officeDocument/2006/relationships/footer" Target="footer72.xml" /><Relationship Id="rId46" Type="http://schemas.openxmlformats.org/officeDocument/2006/relationships/header" Target="header8.xml" /><Relationship Id="rId460" Type="http://schemas.openxmlformats.org/officeDocument/2006/relationships/hyperlink" Target="https://advance.lexis.com/api/document?collection=cases-ca&amp;id=urn:contentItem:5F7T-S7K1-F1H1-221V-00000-00&amp;context=" TargetMode="External" /><Relationship Id="rId461" Type="http://schemas.openxmlformats.org/officeDocument/2006/relationships/hyperlink" Target="https://advance.lexis.com/api/document?collection=cases-ca&amp;id=urn:contentItem:5F7T-S7F1-JFKM-61YH-00000-00&amp;context=" TargetMode="External" /><Relationship Id="rId462" Type="http://schemas.openxmlformats.org/officeDocument/2006/relationships/hyperlink" Target="https://advance.lexis.com/api/document?collection=cases-ca&amp;id=urn:contentItem:5F7T-S7J1-DXWW-2562-00000-00&amp;context=" TargetMode="External" /><Relationship Id="rId463" Type="http://schemas.openxmlformats.org/officeDocument/2006/relationships/hyperlink" Target="https://advance.lexis.com/api/document?collection=cases-ca&amp;id=urn:contentItem:5F7T-S7D1-JN6B-S131-00000-00&amp;context=" TargetMode="External" /><Relationship Id="rId464" Type="http://schemas.openxmlformats.org/officeDocument/2006/relationships/hyperlink" Target="https://advance.lexis.com/api/document?collection=cases-ca&amp;id=urn:contentItem:5F7T-S7H1-F016-S3P3-00000-00&amp;context=" TargetMode="External" /><Relationship Id="rId465" Type="http://schemas.openxmlformats.org/officeDocument/2006/relationships/hyperlink" Target="https://advance.lexis.com/api/document?collection=cases-ca&amp;id=urn:contentItem:5F7T-S771-JJD0-G16H-00000-00&amp;context=" TargetMode="External" /><Relationship Id="rId466" Type="http://schemas.openxmlformats.org/officeDocument/2006/relationships/hyperlink" Target="https://advance.lexis.com/api/document?collection=cases-ca&amp;id=urn:contentItem:5F7T-S7C1-F4NT-X2XW-00000-00&amp;context=" TargetMode="External" /><Relationship Id="rId467" Type="http://schemas.openxmlformats.org/officeDocument/2006/relationships/hyperlink" Target="https://advance.lexis.com/api/document?collection=cases-ca&amp;id=urn:contentItem:5F7T-S7J1-JNS1-M2CH-00000-00&amp;context=" TargetMode="External" /><Relationship Id="rId468" Type="http://schemas.openxmlformats.org/officeDocument/2006/relationships/hyperlink" Target="https://advance.lexis.com/api/document?collection=cases-ca&amp;id=urn:contentItem:5F7T-S7J1-JGBH-B21V-00000-00&amp;context=" TargetMode="External" /><Relationship Id="rId469" Type="http://schemas.openxmlformats.org/officeDocument/2006/relationships/hyperlink" Target="https://advance.lexis.com/api/document?collection=cases-ca&amp;id=urn:contentItem:5F7T-S7H1-F016-S46T-00000-00&amp;context=" TargetMode="External" /><Relationship Id="rId47" Type="http://schemas.openxmlformats.org/officeDocument/2006/relationships/footer" Target="footer7.xml" /><Relationship Id="rId470" Type="http://schemas.openxmlformats.org/officeDocument/2006/relationships/hyperlink" Target="https://advance.lexis.com/api/document?collection=cases-ca&amp;id=urn:contentItem:5F7T-S7F1-JFKM-61F5-00000-00&amp;context=" TargetMode="External" /><Relationship Id="rId471" Type="http://schemas.openxmlformats.org/officeDocument/2006/relationships/hyperlink" Target="https://advance.lexis.com/api/document?collection=cases-ca&amp;id=urn:contentItem:5F7T-S781-F7G6-63NT-00000-00&amp;context=" TargetMode="External" /><Relationship Id="rId472" Type="http://schemas.openxmlformats.org/officeDocument/2006/relationships/hyperlink" Target="https://advance.lexis.com/api/document?collection=cases-ca&amp;id=urn:contentItem:5F82-1SF1-JXG3-X2CR-00000-00&amp;context=" TargetMode="External" /><Relationship Id="rId473" Type="http://schemas.openxmlformats.org/officeDocument/2006/relationships/hyperlink" Target="https://advance.lexis.com/api/document?collection=cases-ca&amp;id=urn:contentItem:5F7T-S7K1-JSJC-X168-00000-00&amp;context=" TargetMode="External" /><Relationship Id="rId474" Type="http://schemas.openxmlformats.org/officeDocument/2006/relationships/hyperlink" Target="https://advance.lexis.com/api/document?collection=cases-ca&amp;id=urn:contentItem:5F7T-S771-JSJC-X05N-00000-00&amp;context=" TargetMode="External" /><Relationship Id="rId475" Type="http://schemas.openxmlformats.org/officeDocument/2006/relationships/hyperlink" Target="https://advance.lexis.com/api/document?collection=cases-ca&amp;id=urn:contentItem:5F7T-S731-F60C-X11W-00000-00&amp;context=" TargetMode="External" /><Relationship Id="rId476" Type="http://schemas.openxmlformats.org/officeDocument/2006/relationships/hyperlink" Target="https://advance.lexis.com/api/document?collection=cases-ca&amp;id=urn:contentItem:5F7T-S7B1-FH4C-X381-00000-00&amp;context=" TargetMode="External" /><Relationship Id="rId477" Type="http://schemas.openxmlformats.org/officeDocument/2006/relationships/header" Target="header73.xml" /><Relationship Id="rId478" Type="http://schemas.openxmlformats.org/officeDocument/2006/relationships/header" Target="header74.xml" /><Relationship Id="rId479" Type="http://schemas.openxmlformats.org/officeDocument/2006/relationships/footer" Target="footer73.xml" /><Relationship Id="rId48" Type="http://schemas.openxmlformats.org/officeDocument/2006/relationships/footer" Target="footer8.xml" /><Relationship Id="rId480" Type="http://schemas.openxmlformats.org/officeDocument/2006/relationships/footer" Target="footer74.xml" /><Relationship Id="rId481" Type="http://schemas.openxmlformats.org/officeDocument/2006/relationships/header" Target="header75.xml" /><Relationship Id="rId482" Type="http://schemas.openxmlformats.org/officeDocument/2006/relationships/footer" Target="footer75.xml" /><Relationship Id="rId483" Type="http://schemas.openxmlformats.org/officeDocument/2006/relationships/hyperlink" Target="https://advance.lexis.com/api/document?collection=cases-ca&amp;id=urn:contentItem:5F7T-S781-F900-G0W0-00000-00&amp;context=" TargetMode="External" /><Relationship Id="rId484" Type="http://schemas.openxmlformats.org/officeDocument/2006/relationships/hyperlink" Target="https://advance.lexis.com/api/document?collection=legislation-ca&amp;id=urn:contentItem:5F41-1FH1-JSRM-6012-00000-00&amp;context=" TargetMode="External" /><Relationship Id="rId485" Type="http://schemas.openxmlformats.org/officeDocument/2006/relationships/hyperlink" Target="https://advance.lexis.com/api/document?collection=cases-ca&amp;id=urn:contentItem:5F7T-S781-FH4C-X2R3-00000-00&amp;context=" TargetMode="External" /><Relationship Id="rId486" Type="http://schemas.openxmlformats.org/officeDocument/2006/relationships/hyperlink" Target="https://advance.lexis.com/api/document?collection=cases-ca&amp;id=urn:contentItem:5F7T-S781-FH4C-X2R5-00000-00&amp;context=" TargetMode="External" /><Relationship Id="rId487" Type="http://schemas.openxmlformats.org/officeDocument/2006/relationships/hyperlink" Target="https://advance.lexis.com/api/document?collection=cases-ca&amp;id=urn:contentItem:5F7T-S741-FJM6-61BF-00000-00&amp;context=" TargetMode="External" /><Relationship Id="rId488" Type="http://schemas.openxmlformats.org/officeDocument/2006/relationships/hyperlink" Target="https://advance.lexis.com/api/document?collection=cases-ca&amp;id=urn:contentItem:5F7T-S781-F06F-23X7-00000-00&amp;context=" TargetMode="External" /><Relationship Id="rId489" Type="http://schemas.openxmlformats.org/officeDocument/2006/relationships/hyperlink" Target="https://advance.lexis.com/api/document?collection=cases-ca&amp;id=urn:contentItem:5F7T-S781-F06F-23N7-00000-00&amp;context=" TargetMode="External" /><Relationship Id="rId49" Type="http://schemas.openxmlformats.org/officeDocument/2006/relationships/header" Target="header9.xml" /><Relationship Id="rId490" Type="http://schemas.openxmlformats.org/officeDocument/2006/relationships/hyperlink" Target="https://advance.lexis.com/api/document?collection=cases-ca&amp;id=urn:contentItem:5F7T-S761-FGJR-22H0-00000-00&amp;context=" TargetMode="External" /><Relationship Id="rId491" Type="http://schemas.openxmlformats.org/officeDocument/2006/relationships/hyperlink" Target="https://advance.lexis.com/api/document?collection=cases-ca&amp;id=urn:contentItem:5F7T-S761-FFMK-M0YM-00000-00&amp;context=" TargetMode="External" /><Relationship Id="rId492" Type="http://schemas.openxmlformats.org/officeDocument/2006/relationships/hyperlink" Target="https://advance.lexis.com/api/document?collection=cases-ca&amp;id=urn:contentItem:5F7T-S761-FGJR-228H-00000-00&amp;context=" TargetMode="External" /><Relationship Id="rId493" Type="http://schemas.openxmlformats.org/officeDocument/2006/relationships/hyperlink" Target="https://advance.lexis.com/api/document?collection=cases-ca&amp;id=urn:contentItem:5F7T-S761-FFMK-M0YH-00000-00&amp;context=" TargetMode="External" /><Relationship Id="rId494" Type="http://schemas.openxmlformats.org/officeDocument/2006/relationships/hyperlink" Target="https://advance.lexis.com/api/document?collection=cases-ca&amp;id=urn:contentItem:5F7T-S761-JGHR-M29G-00000-00&amp;context=" TargetMode="External" /><Relationship Id="rId495" Type="http://schemas.openxmlformats.org/officeDocument/2006/relationships/hyperlink" Target="https://advance.lexis.com/api/document?collection=cases-ca&amp;id=urn:contentItem:5F7T-S761-F7ND-G4D2-00000-00&amp;context=" TargetMode="External" /><Relationship Id="rId496" Type="http://schemas.openxmlformats.org/officeDocument/2006/relationships/hyperlink" Target="https://advance.lexis.com/api/document?collection=cases-ca&amp;id=urn:contentItem:5F7T-S721-FG12-61T6-00000-00&amp;context=" TargetMode="External" /><Relationship Id="rId497" Type="http://schemas.openxmlformats.org/officeDocument/2006/relationships/header" Target="header76.xml" /><Relationship Id="rId498" Type="http://schemas.openxmlformats.org/officeDocument/2006/relationships/header" Target="header77.xml" /><Relationship Id="rId499" Type="http://schemas.openxmlformats.org/officeDocument/2006/relationships/footer" Target="footer76.xml" /><Relationship Id="rId5" Type="http://schemas.openxmlformats.org/officeDocument/2006/relationships/header" Target="header2.xml" /><Relationship Id="rId50" Type="http://schemas.openxmlformats.org/officeDocument/2006/relationships/footer" Target="footer9.xml" /><Relationship Id="rId500" Type="http://schemas.openxmlformats.org/officeDocument/2006/relationships/footer" Target="footer77.xml" /><Relationship Id="rId501" Type="http://schemas.openxmlformats.org/officeDocument/2006/relationships/header" Target="header78.xml" /><Relationship Id="rId502" Type="http://schemas.openxmlformats.org/officeDocument/2006/relationships/footer" Target="footer78.xml" /><Relationship Id="rId503" Type="http://schemas.openxmlformats.org/officeDocument/2006/relationships/hyperlink" Target="https://advance.lexis.com/api/document?collection=cases-ca&amp;id=urn:contentItem:5F7T-S7P1-F2TK-23C8-00000-00&amp;context=" TargetMode="External" /><Relationship Id="rId504" Type="http://schemas.openxmlformats.org/officeDocument/2006/relationships/hyperlink" Target="https://advance.lexis.com/api/document?collection=cases-ca&amp;id=urn:contentItem:5F7T-S7H1-JFSV-G2P6-00000-00&amp;context=" TargetMode="External" /><Relationship Id="rId505" Type="http://schemas.openxmlformats.org/officeDocument/2006/relationships/hyperlink" Target="https://advance.lexis.com/api/document?collection=cases-ca&amp;id=urn:contentItem:5F7T-S701-F8KH-X150-00000-00&amp;context=" TargetMode="External" /><Relationship Id="rId506" Type="http://schemas.openxmlformats.org/officeDocument/2006/relationships/hyperlink" Target="https://advance.lexis.com/api/document?collection=cases-ca&amp;id=urn:contentItem:5F7T-S7G1-FCYK-20FM-00000-00&amp;context=" TargetMode="External" /><Relationship Id="rId507" Type="http://schemas.openxmlformats.org/officeDocument/2006/relationships/hyperlink" Target="https://advance.lexis.com/api/document?collection=cases-ca&amp;id=urn:contentItem:5F7T-S7K1-JKHB-6305-00000-00&amp;context=" TargetMode="External" /><Relationship Id="rId508" Type="http://schemas.openxmlformats.org/officeDocument/2006/relationships/hyperlink" Target="https://advance.lexis.com/api/document?collection=cases-ca&amp;id=urn:contentItem:5F7T-S7M1-JJK6-S1NF-00000-00&amp;context=" TargetMode="External" /><Relationship Id="rId509" Type="http://schemas.openxmlformats.org/officeDocument/2006/relationships/hyperlink" Target="https://advance.lexis.com/api/document?collection=cases-ca&amp;id=urn:contentItem:5F7T-S6V1-JWR6-S0Y6-00000-00&amp;context=" TargetMode="External" /><Relationship Id="rId51" Type="http://schemas.openxmlformats.org/officeDocument/2006/relationships/hyperlink" Target="https://advance.lexis.com/api/document?collection=cases-ca&amp;id=urn:contentItem:5F7T-S7K1-JKHB-631J-00000-00&amp;context=" TargetMode="External" /><Relationship Id="rId510" Type="http://schemas.openxmlformats.org/officeDocument/2006/relationships/header" Target="header79.xml" /><Relationship Id="rId511" Type="http://schemas.openxmlformats.org/officeDocument/2006/relationships/header" Target="header80.xml" /><Relationship Id="rId512" Type="http://schemas.openxmlformats.org/officeDocument/2006/relationships/footer" Target="footer79.xml" /><Relationship Id="rId513" Type="http://schemas.openxmlformats.org/officeDocument/2006/relationships/footer" Target="footer80.xml" /><Relationship Id="rId514" Type="http://schemas.openxmlformats.org/officeDocument/2006/relationships/header" Target="header81.xml" /><Relationship Id="rId515" Type="http://schemas.openxmlformats.org/officeDocument/2006/relationships/footer" Target="footer81.xml" /><Relationship Id="rId516" Type="http://schemas.openxmlformats.org/officeDocument/2006/relationships/hyperlink" Target="https://advance.lexis.com/api/document?collection=cases-ca&amp;id=urn:contentItem:5F7T-S771-F81W-22SN-00000-00&amp;context=" TargetMode="External" /><Relationship Id="rId517" Type="http://schemas.openxmlformats.org/officeDocument/2006/relationships/hyperlink" Target="https://advance.lexis.com/api/document?collection=cases-ca&amp;id=urn:contentItem:5F8T-N3V1-JF75-M3JV-00000-00&amp;context=" TargetMode="External" /><Relationship Id="rId518" Type="http://schemas.openxmlformats.org/officeDocument/2006/relationships/hyperlink" Target="https://advance.lexis.com/api/document?collection=cases-ca&amp;id=urn:contentItem:5F7T-S741-FJM6-61FS-00000-00&amp;context=" TargetMode="External" /><Relationship Id="rId519" Type="http://schemas.openxmlformats.org/officeDocument/2006/relationships/hyperlink" Target="https://advance.lexis.com/api/document?collection=cases-ca&amp;id=urn:contentItem:5F7T-S721-FG12-61XM-00000-00&amp;context=" TargetMode="External" /><Relationship Id="rId52" Type="http://schemas.openxmlformats.org/officeDocument/2006/relationships/hyperlink" Target="https://advance.lexis.com/api/document?collection=cases-ca&amp;id=urn:contentItem:5F7T-S7D1-DY89-M3VJ-00000-00&amp;context=" TargetMode="External" /><Relationship Id="rId520" Type="http://schemas.openxmlformats.org/officeDocument/2006/relationships/hyperlink" Target="https://advance.lexis.com/api/document?collection=cases-ca&amp;id=urn:contentItem:5F81-VJX1-JX3N-B1HH-00000-00&amp;context=" TargetMode="External" /><Relationship Id="rId521" Type="http://schemas.openxmlformats.org/officeDocument/2006/relationships/hyperlink" Target="https://advance.lexis.com/api/document?collection=cases-ca&amp;id=urn:contentItem:5F7T-S761-FGJR-22GM-00000-00&amp;context=" TargetMode="External" /><Relationship Id="rId522" Type="http://schemas.openxmlformats.org/officeDocument/2006/relationships/hyperlink" Target="https://advance.lexis.com/api/document?collection=cases-ca&amp;id=urn:contentItem:5F8P-SCY1-F528-G1B8-00000-00&amp;context=" TargetMode="External" /><Relationship Id="rId523" Type="http://schemas.openxmlformats.org/officeDocument/2006/relationships/hyperlink" Target="https://advance.lexis.com/api/document?collection=cases-ca&amp;id=urn:contentItem:5F7V-3DJ1-JJSF-22KG-00000-00&amp;context=" TargetMode="External" /><Relationship Id="rId524" Type="http://schemas.openxmlformats.org/officeDocument/2006/relationships/hyperlink" Target="https://advance.lexis.com/api/document?collection=cases-ca&amp;id=urn:contentItem:5F8P-SD31-DYMS-64MS-00000-00&amp;context=" TargetMode="External" /><Relationship Id="rId525" Type="http://schemas.openxmlformats.org/officeDocument/2006/relationships/hyperlink" Target="https://advance.lexis.com/api/document?collection=cases-ca&amp;id=urn:contentItem:5F81-VJX1-FFTT-X1SX-00000-00&amp;context=" TargetMode="External" /><Relationship Id="rId526" Type="http://schemas.openxmlformats.org/officeDocument/2006/relationships/hyperlink" Target="https://advance.lexis.com/api/document?collection=cases-ca&amp;id=urn:contentItem:5F7H-SCP1-F1P7-B0K5-00000-00&amp;context=" TargetMode="External" /><Relationship Id="rId527" Type="http://schemas.openxmlformats.org/officeDocument/2006/relationships/hyperlink" Target="https://advance.lexis.com/api/document?collection=cases-ca&amp;id=urn:contentItem:5F8T-N3T1-JT99-200H-00000-00&amp;context=" TargetMode="External" /><Relationship Id="rId528" Type="http://schemas.openxmlformats.org/officeDocument/2006/relationships/hyperlink" Target="https://advance.lexis.com/api/document?collection=cases-ca&amp;id=urn:contentItem:5F81-VJX1-F5T5-M40W-00000-00&amp;context=" TargetMode="External" /><Relationship Id="rId529" Type="http://schemas.openxmlformats.org/officeDocument/2006/relationships/hyperlink" Target="https://advance.lexis.com/api/document?collection=cases-ca&amp;id=urn:contentItem:5F7T-S6Y1-DY33-B08V-00000-00&amp;context=" TargetMode="External" /><Relationship Id="rId53" Type="http://schemas.openxmlformats.org/officeDocument/2006/relationships/hyperlink" Target="https://advance.lexis.com/api/document?collection=cases-ca&amp;id=urn:contentItem:5F7T-S7F1-JK4W-M1CF-00000-00&amp;context=" TargetMode="External" /><Relationship Id="rId530" Type="http://schemas.openxmlformats.org/officeDocument/2006/relationships/hyperlink" Target="https://advance.lexis.com/api/document?collection=cases-ca&amp;id=urn:contentItem:5F7T-S701-JBT7-X26S-00000-00&amp;context=" TargetMode="External" /><Relationship Id="rId531" Type="http://schemas.openxmlformats.org/officeDocument/2006/relationships/header" Target="header82.xml" /><Relationship Id="rId532" Type="http://schemas.openxmlformats.org/officeDocument/2006/relationships/header" Target="header83.xml" /><Relationship Id="rId533" Type="http://schemas.openxmlformats.org/officeDocument/2006/relationships/footer" Target="footer82.xml" /><Relationship Id="rId534" Type="http://schemas.openxmlformats.org/officeDocument/2006/relationships/footer" Target="footer83.xml" /><Relationship Id="rId535" Type="http://schemas.openxmlformats.org/officeDocument/2006/relationships/header" Target="header84.xml" /><Relationship Id="rId536" Type="http://schemas.openxmlformats.org/officeDocument/2006/relationships/footer" Target="footer84.xml" /><Relationship Id="rId537" Type="http://schemas.openxmlformats.org/officeDocument/2006/relationships/hyperlink" Target="https://advance.lexis.com/api/document?collection=cases-ca&amp;id=urn:contentItem:5F7T-S7N1-JC5P-G1YK-00000-00&amp;context=" TargetMode="External" /><Relationship Id="rId538" Type="http://schemas.openxmlformats.org/officeDocument/2006/relationships/hyperlink" Target="https://advance.lexis.com/api/document?collection=cases-ca&amp;id=urn:contentItem:5F7T-S6X1-FBN1-20RY-00000-00&amp;context=" TargetMode="External" /><Relationship Id="rId539" Type="http://schemas.openxmlformats.org/officeDocument/2006/relationships/hyperlink" Target="https://advance.lexis.com/api/document?collection=cases-ca&amp;id=urn:contentItem:5F7T-S6V1-JNS1-M091-00000-00&amp;context=" TargetMode="External" /><Relationship Id="rId54" Type="http://schemas.openxmlformats.org/officeDocument/2006/relationships/hyperlink" Target="https://advance.lexis.com/api/document?collection=cases-ca&amp;id=urn:contentItem:5F8T-N3V1-JF75-M3S6-00000-00&amp;context=" TargetMode="External" /><Relationship Id="rId540" Type="http://schemas.openxmlformats.org/officeDocument/2006/relationships/hyperlink" Target="https://advance.lexis.com/api/document?collection=cases-ca&amp;id=urn:contentItem:5F8P-T8V1-F8SS-6010-00000-00&amp;context=" TargetMode="External" /><Relationship Id="rId541" Type="http://schemas.openxmlformats.org/officeDocument/2006/relationships/hyperlink" Target="https://advance.lexis.com/api/document?collection=cases-ca&amp;id=urn:contentItem:5F8P-SD51-F1H1-240M-00000-00&amp;context=" TargetMode="External" /><Relationship Id="rId542" Type="http://schemas.openxmlformats.org/officeDocument/2006/relationships/hyperlink" Target="https://advance.lexis.com/api/document?collection=cases-ca&amp;id=urn:contentItem:5F7F-5RH1-F873-B02T-00000-00&amp;context=" TargetMode="External" /><Relationship Id="rId543" Type="http://schemas.openxmlformats.org/officeDocument/2006/relationships/hyperlink" Target="https://advance.lexis.com/api/document?collection=cases-ca&amp;id=urn:contentItem:5F8W-M421-F900-G52H-00000-00&amp;context=" TargetMode="External" /><Relationship Id="rId544" Type="http://schemas.openxmlformats.org/officeDocument/2006/relationships/hyperlink" Target="https://advance.lexis.com/api/document?collection=cases-ca&amp;id=urn:contentItem:5F7T-S781-FH4C-X2NM-00000-00&amp;context=" TargetMode="External" /><Relationship Id="rId545" Type="http://schemas.openxmlformats.org/officeDocument/2006/relationships/hyperlink" Target="https://advance.lexis.com/api/document?collection=cases-ca&amp;id=urn:contentItem:5F16-93B1-JN14-G0VK-00000-00&amp;context=" TargetMode="External" /><Relationship Id="rId546" Type="http://schemas.openxmlformats.org/officeDocument/2006/relationships/hyperlink" Target="https://advance.lexis.com/api/document?collection=cases-ca&amp;id=urn:contentItem:5F7T-S701-JGPY-X1BN-00000-00&amp;context=" TargetMode="External" /><Relationship Id="rId547" Type="http://schemas.openxmlformats.org/officeDocument/2006/relationships/hyperlink" Target="https://advance.lexis.com/api/document?collection=cases-ca&amp;id=urn:contentItem:5F7T-S711-JNY7-X3HP-00000-00&amp;context=" TargetMode="External" /><Relationship Id="rId548" Type="http://schemas.openxmlformats.org/officeDocument/2006/relationships/hyperlink" Target="https://advance.lexis.com/api/document?collection=cases-ca&amp;id=urn:contentItem:5F7T-S7K1-JWXF-2141-00000-00&amp;context=" TargetMode="External" /><Relationship Id="rId549" Type="http://schemas.openxmlformats.org/officeDocument/2006/relationships/hyperlink" Target="https://advance.lexis.com/api/document?collection=cases-ca&amp;id=urn:contentItem:5F7T-S6R1-JCJ5-23S9-00000-00&amp;context=" TargetMode="External" /><Relationship Id="rId55" Type="http://schemas.openxmlformats.org/officeDocument/2006/relationships/hyperlink" Target="https://advance.lexis.com/api/document?collection=cases-ca&amp;id=urn:contentItem:5F8T-N3T1-JFKM-655K-00000-00&amp;context=" TargetMode="External" /><Relationship Id="rId550" Type="http://schemas.openxmlformats.org/officeDocument/2006/relationships/hyperlink" Target="https://advance.lexis.com/api/document?collection=cases-ca&amp;id=urn:contentItem:5F8T-N3V1-FC1F-M4BS-00000-00&amp;context=" TargetMode="External" /><Relationship Id="rId551" Type="http://schemas.openxmlformats.org/officeDocument/2006/relationships/hyperlink" Target="https://advance.lexis.com/api/document?collection=cases-ca&amp;id=urn:contentItem:5F8T-N3V1-JF75-M3K1-00000-00&amp;context=" TargetMode="External" /><Relationship Id="rId552" Type="http://schemas.openxmlformats.org/officeDocument/2006/relationships/header" Target="header85.xml" /><Relationship Id="rId553" Type="http://schemas.openxmlformats.org/officeDocument/2006/relationships/header" Target="header86.xml" /><Relationship Id="rId554" Type="http://schemas.openxmlformats.org/officeDocument/2006/relationships/footer" Target="footer85.xml" /><Relationship Id="rId555" Type="http://schemas.openxmlformats.org/officeDocument/2006/relationships/footer" Target="footer86.xml" /><Relationship Id="rId556" Type="http://schemas.openxmlformats.org/officeDocument/2006/relationships/header" Target="header87.xml" /><Relationship Id="rId557" Type="http://schemas.openxmlformats.org/officeDocument/2006/relationships/footer" Target="footer87.xml" /><Relationship Id="rId558" Type="http://schemas.openxmlformats.org/officeDocument/2006/relationships/hyperlink" Target="https://advance.lexis.com/api/document?collection=cases-ca&amp;id=urn:contentItem:5F7T-S7F1-DXWW-240H-00000-00&amp;context=" TargetMode="External" /><Relationship Id="rId559" Type="http://schemas.openxmlformats.org/officeDocument/2006/relationships/hyperlink" Target="https://advance.lexis.com/api/document?collection=cases-ca&amp;id=urn:contentItem:5F7T-S7F1-FFFC-B260-00000-00&amp;context=" TargetMode="External" /><Relationship Id="rId56" Type="http://schemas.openxmlformats.org/officeDocument/2006/relationships/hyperlink" Target="https://advance.lexis.com/api/document?collection=cases-ca&amp;id=urn:contentItem:5F8T-N3S1-JBDT-B01P-00000-00&amp;context=" TargetMode="External" /><Relationship Id="rId560" Type="http://schemas.openxmlformats.org/officeDocument/2006/relationships/hyperlink" Target="https://advance.lexis.com/api/document?collection=legislation-ca&amp;id=urn:contentItem:5F97-RCB1-FC1F-M1W0-00000-00&amp;context=" TargetMode="External" /><Relationship Id="rId561" Type="http://schemas.openxmlformats.org/officeDocument/2006/relationships/hyperlink" Target="https://advance.lexis.com/api/document?collection=legislation-ca&amp;id=urn:contentItem:5F41-1FH1-F361-M0M1-00000-00&amp;context=" TargetMode="External" /><Relationship Id="rId562" Type="http://schemas.openxmlformats.org/officeDocument/2006/relationships/hyperlink" Target="https://advance.lexis.com/api/document?collection=cases-ca&amp;id=urn:contentItem:5F7T-S7C1-JCJ5-20JW-00000-00&amp;context=" TargetMode="External" /><Relationship Id="rId563" Type="http://schemas.openxmlformats.org/officeDocument/2006/relationships/header" Target="header88.xml" /><Relationship Id="rId564" Type="http://schemas.openxmlformats.org/officeDocument/2006/relationships/header" Target="header89.xml" /><Relationship Id="rId565" Type="http://schemas.openxmlformats.org/officeDocument/2006/relationships/footer" Target="footer88.xml" /><Relationship Id="rId566" Type="http://schemas.openxmlformats.org/officeDocument/2006/relationships/footer" Target="footer89.xml" /><Relationship Id="rId567" Type="http://schemas.openxmlformats.org/officeDocument/2006/relationships/header" Target="header90.xml" /><Relationship Id="rId568" Type="http://schemas.openxmlformats.org/officeDocument/2006/relationships/footer" Target="footer90.xml" /><Relationship Id="rId569" Type="http://schemas.openxmlformats.org/officeDocument/2006/relationships/hyperlink" Target="https://advance.lexis.com/api/document?collection=cases-ca&amp;id=urn:contentItem:5X1M-SBW1-F1WF-M3WX-00000-00&amp;context=" TargetMode="External" /><Relationship Id="rId57" Type="http://schemas.openxmlformats.org/officeDocument/2006/relationships/hyperlink" Target="https://advance.lexis.com/api/document?collection=cases-ca&amp;id=urn:contentItem:5F8T-N3T1-JGHR-M21F-00000-00&amp;context=" TargetMode="External" /><Relationship Id="rId570" Type="http://schemas.openxmlformats.org/officeDocument/2006/relationships/hyperlink" Target="https://advance.lexis.com/api/document?collection=cases-ca&amp;id=urn:contentItem:5F8T-N3V1-FH4C-X20M-00000-00&amp;context=" TargetMode="External" /><Relationship Id="rId571" Type="http://schemas.openxmlformats.org/officeDocument/2006/relationships/hyperlink" Target="https://advance.lexis.com/api/document?collection=cases-ca&amp;id=urn:contentItem:5F8T-N3V1-JTGH-B153-00000-00&amp;context=" TargetMode="External" /><Relationship Id="rId572" Type="http://schemas.openxmlformats.org/officeDocument/2006/relationships/hyperlink" Target="https://advance.lexis.com/api/document?collection=cases-ca&amp;id=urn:contentItem:5F7T-S7K1-F1H1-22C1-00000-00&amp;context=" TargetMode="External" /><Relationship Id="rId573" Type="http://schemas.openxmlformats.org/officeDocument/2006/relationships/hyperlink" Target="https://advance.lexis.com/api/document?collection=cases-ca&amp;id=urn:contentItem:5F7T-S7M1-F4W2-62BF-00000-00&amp;context=" TargetMode="External" /><Relationship Id="rId574" Type="http://schemas.openxmlformats.org/officeDocument/2006/relationships/hyperlink" Target="https://advance.lexis.com/api/document?collection=cases-ca&amp;id=urn:contentItem:5RTY-1871-JCBX-S0TG-00000-00&amp;context=" TargetMode="External" /><Relationship Id="rId575" Type="http://schemas.openxmlformats.org/officeDocument/2006/relationships/hyperlink" Target="https://advance.lexis.com/api/document?collection=cases-ca&amp;id=urn:contentItem:5PF4-4KK1-JJ6S-64SR-00000-00&amp;context=" TargetMode="External" /><Relationship Id="rId576" Type="http://schemas.openxmlformats.org/officeDocument/2006/relationships/hyperlink" Target="https://advance.lexis.com/api/document?collection=cases-ca&amp;id=urn:contentItem:5F7T-S7N1-DXWW-206B-00000-00&amp;context=" TargetMode="External" /><Relationship Id="rId577" Type="http://schemas.openxmlformats.org/officeDocument/2006/relationships/hyperlink" Target="https://advance.lexis.com/api/document?collection=cases-ca&amp;id=urn:contentItem:5F7T-S7N1-DXWW-202J-00000-00&amp;context=" TargetMode="External" /><Relationship Id="rId578" Type="http://schemas.openxmlformats.org/officeDocument/2006/relationships/hyperlink" Target="https://advance.lexis.com/api/document?collection=cases-ca&amp;id=urn:contentItem:5F7T-S7M1-JCRC-B1P9-00000-00&amp;context=" TargetMode="External" /><Relationship Id="rId579" Type="http://schemas.openxmlformats.org/officeDocument/2006/relationships/hyperlink" Target="https://advance.lexis.com/api/document?collection=cases-ca&amp;id=urn:contentItem:5F7T-S7N1-F06F-24M7-00000-00&amp;context=" TargetMode="External" /><Relationship Id="rId58" Type="http://schemas.openxmlformats.org/officeDocument/2006/relationships/hyperlink" Target="https://advance.lexis.com/api/document?collection=cases-ca&amp;id=urn:contentItem:5F7T-S6Y1-JNY7-X2P6-00000-00&amp;context=" TargetMode="External" /><Relationship Id="rId580" Type="http://schemas.openxmlformats.org/officeDocument/2006/relationships/hyperlink" Target="https://advance.lexis.com/api/document?collection=cases-ca&amp;id=urn:contentItem:5F7T-S7N1-JW09-M12P-00000-00&amp;context=" TargetMode="External" /><Relationship Id="rId581" Type="http://schemas.openxmlformats.org/officeDocument/2006/relationships/hyperlink" Target="https://advance.lexis.com/api/document?collection=cases-ca&amp;id=urn:contentItem:5NDB-4M41-F956-S0BN-00000-00&amp;context=" TargetMode="External" /><Relationship Id="rId582" Type="http://schemas.openxmlformats.org/officeDocument/2006/relationships/hyperlink" Target="https://advance.lexis.com/api/document?collection=cases-ca&amp;id=urn:contentItem:5JW3-TKC1-JGPY-X4PG-00000-00&amp;context=" TargetMode="External" /><Relationship Id="rId583" Type="http://schemas.openxmlformats.org/officeDocument/2006/relationships/hyperlink" Target="https://advance.lexis.com/api/document?collection=cases-ca&amp;id=urn:contentItem:5F7T-S6W1-JYYX-61TX-00000-00&amp;context=" TargetMode="External" /><Relationship Id="rId584" Type="http://schemas.openxmlformats.org/officeDocument/2006/relationships/hyperlink" Target="https://advance.lexis.com/api/document?collection=cases-ca&amp;id=urn:contentItem:5GW7-N221-JW5H-X0MT-00000-00&amp;context=" TargetMode="External" /><Relationship Id="rId585" Type="http://schemas.openxmlformats.org/officeDocument/2006/relationships/hyperlink" Target="https://advance.lexis.com/api/document?collection=cases-ca&amp;id=urn:contentItem:5F7T-S781-JSC5-M4GC-00000-00&amp;context=" TargetMode="External" /><Relationship Id="rId586" Type="http://schemas.openxmlformats.org/officeDocument/2006/relationships/hyperlink" Target="https://advance.lexis.com/api/document?collection=cases-ca&amp;id=urn:contentItem:5F7T-S7N1-F06F-24BC-00000-00&amp;context=" TargetMode="External" /><Relationship Id="rId587" Type="http://schemas.openxmlformats.org/officeDocument/2006/relationships/hyperlink" Target="https://advance.lexis.com/api/document?collection=cases-ca&amp;id=urn:contentItem:5F7T-S6X1-JTNR-M3X3-00000-00&amp;context=" TargetMode="External" /><Relationship Id="rId588" Type="http://schemas.openxmlformats.org/officeDocument/2006/relationships/hyperlink" Target="https://advance.lexis.com/api/document?collection=cases-ca&amp;id=urn:contentItem:5F7T-S7K1-DXWW-2018-00000-00&amp;context=" TargetMode="External" /><Relationship Id="rId589" Type="http://schemas.openxmlformats.org/officeDocument/2006/relationships/hyperlink" Target="https://advance.lexis.com/api/document?collection=cases-ca&amp;id=urn:contentItem:5F7T-S7J1-DXWW-24R0-00000-00&amp;context=" TargetMode="External" /><Relationship Id="rId59" Type="http://schemas.openxmlformats.org/officeDocument/2006/relationships/hyperlink" Target="https://advance.lexis.com/api/document?collection=cases-ca&amp;id=urn:contentItem:5F8T-N3T1-JFKM-6524-00000-00&amp;context=" TargetMode="External" /><Relationship Id="rId590" Type="http://schemas.openxmlformats.org/officeDocument/2006/relationships/header" Target="header91.xml" /><Relationship Id="rId591" Type="http://schemas.openxmlformats.org/officeDocument/2006/relationships/header" Target="header92.xml" /><Relationship Id="rId592" Type="http://schemas.openxmlformats.org/officeDocument/2006/relationships/footer" Target="footer91.xml" /><Relationship Id="rId593" Type="http://schemas.openxmlformats.org/officeDocument/2006/relationships/footer" Target="footer92.xml" /><Relationship Id="rId594" Type="http://schemas.openxmlformats.org/officeDocument/2006/relationships/header" Target="header93.xml" /><Relationship Id="rId595" Type="http://schemas.openxmlformats.org/officeDocument/2006/relationships/footer" Target="footer93.xml" /><Relationship Id="rId596" Type="http://schemas.openxmlformats.org/officeDocument/2006/relationships/hyperlink" Target="https://advance.lexis.com/api/document?collection=cases-ca&amp;id=urn:contentItem:5NG8-K2H1-DY89-M2FW-00000-00&amp;context=" TargetMode="External" /><Relationship Id="rId597" Type="http://schemas.openxmlformats.org/officeDocument/2006/relationships/hyperlink" Target="https://advance.lexis.com/api/document?collection=legislation-ca&amp;id=urn:contentItem:5F41-1FK1-JSJC-X1VJ-00000-00&amp;context=" TargetMode="External" /><Relationship Id="rId598" Type="http://schemas.openxmlformats.org/officeDocument/2006/relationships/hyperlink" Target="https://advance.lexis.com/api/document?collection=cases-ca&amp;id=urn:contentItem:5MBP-67G1-F2MB-S3V0-00000-00&amp;context=" TargetMode="External" /><Relationship Id="rId599" Type="http://schemas.openxmlformats.org/officeDocument/2006/relationships/hyperlink" Target="https://advance.lexis.com/api/document?collection=cases-ca&amp;id=urn:contentItem:5F8T-N3V1-FH4C-X1XK-00000-00&amp;context=" TargetMode="External" /><Relationship Id="rId6" Type="http://schemas.openxmlformats.org/officeDocument/2006/relationships/footer" Target="footer1.xml" /><Relationship Id="rId60" Type="http://schemas.openxmlformats.org/officeDocument/2006/relationships/hyperlink" Target="https://advance.lexis.com/api/document?collection=cases-ca&amp;id=urn:contentItem:5F8T-N3V1-JTGH-B18F-00000-00&amp;context=" TargetMode="External" /><Relationship Id="rId600" Type="http://schemas.openxmlformats.org/officeDocument/2006/relationships/hyperlink" Target="https://advance.lexis.com/api/document?collection=cases-ca&amp;id=urn:contentItem:5F7T-S7N1-JGHR-M3F0-00000-00&amp;context=" TargetMode="External" /><Relationship Id="rId601" Type="http://schemas.openxmlformats.org/officeDocument/2006/relationships/hyperlink" Target="https://advance.lexis.com/api/document?collection=cases-ca&amp;id=urn:contentItem:5G77-HXG1-FCK4-G3X9-00000-00&amp;context=" TargetMode="External" /><Relationship Id="rId602" Type="http://schemas.openxmlformats.org/officeDocument/2006/relationships/hyperlink" Target="https://advance.lexis.com/api/document?collection=cases-ca&amp;id=urn:contentItem:5F7T-S7K1-JWXF-20SM-00000-00&amp;context=" TargetMode="External" /><Relationship Id="rId603" Type="http://schemas.openxmlformats.org/officeDocument/2006/relationships/hyperlink" Target="https://advance.lexis.com/api/document?collection=cases-ca&amp;id=urn:contentItem:5F7T-S7G1-JWR6-S1R8-00000-00&amp;context=" TargetMode="External" /><Relationship Id="rId604" Type="http://schemas.openxmlformats.org/officeDocument/2006/relationships/hyperlink" Target="https://advance.lexis.com/api/document?collection=cases-ca&amp;id=urn:contentItem:5F7T-S7N1-JW09-M0YW-00000-00&amp;context=" TargetMode="External" /><Relationship Id="rId605" Type="http://schemas.openxmlformats.org/officeDocument/2006/relationships/hyperlink" Target="https://advance.lexis.com/api/document?collection=cases-ca&amp;id=urn:contentItem:5HG9-CT61-FGJR-22WM-00000-00&amp;context=" TargetMode="External" /><Relationship Id="rId606" Type="http://schemas.openxmlformats.org/officeDocument/2006/relationships/hyperlink" Target="https://advance.lexis.com/api/document?collection=cases-ca&amp;id=urn:contentItem:5F7T-S721-F4NT-X2W2-00000-00&amp;context=" TargetMode="External" /><Relationship Id="rId607" Type="http://schemas.openxmlformats.org/officeDocument/2006/relationships/hyperlink" Target="https://advance.lexis.com/api/document?collection=cases-ca&amp;id=urn:contentItem:5F8T-N3T1-JGHR-M29X-00000-00&amp;context=" TargetMode="External" /><Relationship Id="rId608" Type="http://schemas.openxmlformats.org/officeDocument/2006/relationships/hyperlink" Target="https://advance.lexis.com/api/document?collection=cases-ca&amp;id=urn:contentItem:5F8T-N3V1-JTGH-B111-00000-00&amp;context=" TargetMode="External" /><Relationship Id="rId609" Type="http://schemas.openxmlformats.org/officeDocument/2006/relationships/hyperlink" Target="https://advance.lexis.com/api/document?collection=cases-ca&amp;id=urn:contentItem:5F7T-S7K1-JKHB-631K-00000-00&amp;context=" TargetMode="External" /><Relationship Id="rId61" Type="http://schemas.openxmlformats.org/officeDocument/2006/relationships/header" Target="header10.xml" /><Relationship Id="rId610" Type="http://schemas.openxmlformats.org/officeDocument/2006/relationships/hyperlink" Target="https://advance.lexis.com/api/document?collection=cases-ca&amp;id=urn:contentItem:5F8T-N3V1-FH4C-X1XY-00000-00&amp;context=" TargetMode="External" /><Relationship Id="rId611" Type="http://schemas.openxmlformats.org/officeDocument/2006/relationships/hyperlink" Target="https://advance.lexis.com/api/document?collection=cases-ca&amp;id=urn:contentItem:5F8T-N3V1-FH4C-X1VX-00000-00&amp;context=" TargetMode="External" /><Relationship Id="rId612" Type="http://schemas.openxmlformats.org/officeDocument/2006/relationships/hyperlink" Target="https://advance.lexis.com/api/document?collection=cases-ca&amp;id=urn:contentItem:5J4V-Y9D1-DXPM-S4P5-00000-00&amp;context=" TargetMode="External" /><Relationship Id="rId613" Type="http://schemas.openxmlformats.org/officeDocument/2006/relationships/hyperlink" Target="https://advance.lexis.com/api/document?collection=cases-ca&amp;id=urn:contentItem:5F8T-N3V1-FH4C-X234-00000-00&amp;context=" TargetMode="External" /><Relationship Id="rId614" Type="http://schemas.openxmlformats.org/officeDocument/2006/relationships/hyperlink" Target="https://advance.lexis.com/api/document?collection=cases-ca&amp;id=urn:contentItem:5F8T-N3V1-JTGH-B1HX-00000-00&amp;context=" TargetMode="External" /><Relationship Id="rId615" Type="http://schemas.openxmlformats.org/officeDocument/2006/relationships/hyperlink" Target="https://advance.lexis.com/api/document?collection=cases-ca&amp;id=urn:contentItem:5F8T-N3V1-JTGH-B103-00000-00&amp;context=" TargetMode="External" /><Relationship Id="rId616" Type="http://schemas.openxmlformats.org/officeDocument/2006/relationships/hyperlink" Target="https://advance.lexis.com/api/document?collection=cases-ca&amp;id=urn:contentItem:5F8T-N3V1-FC1F-M45W-00000-00&amp;context=" TargetMode="External" /><Relationship Id="rId617" Type="http://schemas.openxmlformats.org/officeDocument/2006/relationships/hyperlink" Target="https://advance.lexis.com/api/document?collection=cases-ca&amp;id=urn:contentItem:5F8T-N3T1-JJSF-2367-00000-00&amp;context=" TargetMode="External" /><Relationship Id="rId618" Type="http://schemas.openxmlformats.org/officeDocument/2006/relationships/hyperlink" Target="https://advance.lexis.com/api/document?collection=cases-ca&amp;id=urn:contentItem:5F81-RHV1-F361-M3GB-00000-00&amp;context=" TargetMode="External" /><Relationship Id="rId619" Type="http://schemas.openxmlformats.org/officeDocument/2006/relationships/hyperlink" Target="https://advance.lexis.com/api/document?collection=cases-ca&amp;id=urn:contentItem:5K86-HSW1-JW5H-X325-00000-00&amp;context=" TargetMode="External" /><Relationship Id="rId62" Type="http://schemas.openxmlformats.org/officeDocument/2006/relationships/header" Target="header11.xml" /><Relationship Id="rId620" Type="http://schemas.openxmlformats.org/officeDocument/2006/relationships/hyperlink" Target="https://advance.lexis.com/api/document?collection=cases-ca&amp;id=urn:contentItem:5F7T-S7P1-JP4G-61W8-00000-00&amp;context=" TargetMode="External" /><Relationship Id="rId621" Type="http://schemas.openxmlformats.org/officeDocument/2006/relationships/header" Target="header94.xml" /><Relationship Id="rId622" Type="http://schemas.openxmlformats.org/officeDocument/2006/relationships/header" Target="header95.xml" /><Relationship Id="rId623" Type="http://schemas.openxmlformats.org/officeDocument/2006/relationships/footer" Target="footer94.xml" /><Relationship Id="rId624" Type="http://schemas.openxmlformats.org/officeDocument/2006/relationships/footer" Target="footer95.xml" /><Relationship Id="rId625" Type="http://schemas.openxmlformats.org/officeDocument/2006/relationships/header" Target="header96.xml" /><Relationship Id="rId626" Type="http://schemas.openxmlformats.org/officeDocument/2006/relationships/footer" Target="footer96.xml" /><Relationship Id="rId627" Type="http://schemas.openxmlformats.org/officeDocument/2006/relationships/hyperlink" Target="https://advance.lexis.com/api/document?collection=cases-ca&amp;id=urn:contentItem:5F7T-S7F1-DXWW-23YS-00000-00&amp;context=" TargetMode="External" /><Relationship Id="rId628" Type="http://schemas.openxmlformats.org/officeDocument/2006/relationships/hyperlink" Target="https://advance.lexis.com/api/document?collection=legislation-ca&amp;id=urn:contentItem:5F41-1FN1-JBDT-B0J5-00000-00&amp;context=" TargetMode="External" /><Relationship Id="rId629" Type="http://schemas.openxmlformats.org/officeDocument/2006/relationships/hyperlink" Target="https://advance.lexis.com/api/document?collection=legislation-ca&amp;id=urn:contentItem:5F41-1FG1-F4NT-X0C3-00000-00&amp;context=" TargetMode="External" /><Relationship Id="rId63" Type="http://schemas.openxmlformats.org/officeDocument/2006/relationships/footer" Target="footer10.xml" /><Relationship Id="rId630" Type="http://schemas.openxmlformats.org/officeDocument/2006/relationships/hyperlink" Target="https://advance.lexis.com/api/document?collection=cases-ca&amp;id=urn:contentItem:5F7T-S6X1-FBN1-217D-00000-00&amp;context=" TargetMode="External" /><Relationship Id="rId631" Type="http://schemas.openxmlformats.org/officeDocument/2006/relationships/hyperlink" Target="https://advance.lexis.com/api/document?collection=cases-ca&amp;id=urn:contentItem:5F7T-S7C1-F4NT-X3KK-00000-00&amp;context=" TargetMode="External" /><Relationship Id="rId632" Type="http://schemas.openxmlformats.org/officeDocument/2006/relationships/hyperlink" Target="https://advance.lexis.com/api/document?collection=cases-ca&amp;id=urn:contentItem:5F8T-N3T1-JJSF-23F8-00000-00&amp;context=" TargetMode="External" /><Relationship Id="rId633" Type="http://schemas.openxmlformats.org/officeDocument/2006/relationships/hyperlink" Target="https://advance.lexis.com/api/document?collection=cases-ca&amp;id=urn:contentItem:5F16-9371-FJM6-62B2-00000-00&amp;context=" TargetMode="External" /><Relationship Id="rId634" Type="http://schemas.openxmlformats.org/officeDocument/2006/relationships/hyperlink" Target="https://advance.lexis.com/api/document?collection=cases-ca&amp;id=urn:contentItem:5F8P-SC81-JWJ0-G0J0-00000-00&amp;context=" TargetMode="External" /><Relationship Id="rId635" Type="http://schemas.openxmlformats.org/officeDocument/2006/relationships/hyperlink" Target="https://advance.lexis.com/api/document?collection=cases-ca&amp;id=urn:contentItem:5F81-VJS1-JBDT-B38X-00000-00&amp;context=" TargetMode="External" /><Relationship Id="rId636" Type="http://schemas.openxmlformats.org/officeDocument/2006/relationships/hyperlink" Target="https://advance.lexis.com/api/document?collection=cases-ca&amp;id=urn:contentItem:5F81-VJS1-JT99-22XJ-00000-00&amp;context=" TargetMode="External" /><Relationship Id="rId637" Type="http://schemas.openxmlformats.org/officeDocument/2006/relationships/hyperlink" Target="https://advance.lexis.com/api/document?collection=cases-ca&amp;id=urn:contentItem:5F8P-SDD1-FFTT-X1W2-00000-00&amp;context=" TargetMode="External" /><Relationship Id="rId638" Type="http://schemas.openxmlformats.org/officeDocument/2006/relationships/hyperlink" Target="https://advance.lexis.com/api/document?collection=cases-ca&amp;id=urn:contentItem:5F7T-S771-JSJC-X05W-00000-00&amp;context=" TargetMode="External" /><Relationship Id="rId639" Type="http://schemas.openxmlformats.org/officeDocument/2006/relationships/hyperlink" Target="https://advance.lexis.com/api/document?collection=cases-ca&amp;id=urn:contentItem:5F81-VJX1-JKPJ-G1HD-00000-00&amp;context=" TargetMode="External" /><Relationship Id="rId64" Type="http://schemas.openxmlformats.org/officeDocument/2006/relationships/footer" Target="footer11.xml" /><Relationship Id="rId640" Type="http://schemas.openxmlformats.org/officeDocument/2006/relationships/hyperlink" Target="https://advance.lexis.com/api/document?collection=cases-ca&amp;id=urn:contentItem:5F81-VJX1-FGY5-M382-00000-00&amp;context=" TargetMode="External" /><Relationship Id="rId641" Type="http://schemas.openxmlformats.org/officeDocument/2006/relationships/hyperlink" Target="https://advance.lexis.com/api/document?collection=cases-ca&amp;id=urn:contentItem:5F8P-SDN1-F65M-6447-00000-00&amp;context=" TargetMode="External" /><Relationship Id="rId642" Type="http://schemas.openxmlformats.org/officeDocument/2006/relationships/hyperlink" Target="https://advance.lexis.com/api/document?collection=cases-ca&amp;id=urn:contentItem:5F7T-S6W1-JB7K-21C1-00000-00&amp;context=" TargetMode="External" /><Relationship Id="rId643" Type="http://schemas.openxmlformats.org/officeDocument/2006/relationships/hyperlink" Target="https://advance.lexis.com/api/document?collection=cases-ca&amp;id=urn:contentItem:5F16-92X1-FFFC-B2B2-00000-00&amp;context=" TargetMode="External" /><Relationship Id="rId644" Type="http://schemas.openxmlformats.org/officeDocument/2006/relationships/hyperlink" Target="https://advance.lexis.com/api/document?collection=cases-ca&amp;id=urn:contentItem:5F16-93F1-JJK6-S2WS-00000-00&amp;context=" TargetMode="External" /><Relationship Id="rId645" Type="http://schemas.openxmlformats.org/officeDocument/2006/relationships/hyperlink" Target="https://advance.lexis.com/api/document?collection=cases-ca&amp;id=urn:contentItem:5F8P-SCG1-F2MB-S3K8-00000-00&amp;context=" TargetMode="External" /><Relationship Id="rId646" Type="http://schemas.openxmlformats.org/officeDocument/2006/relationships/hyperlink" Target="https://advance.lexis.com/api/document?collection=cases-ca&amp;id=urn:contentItem:5F8P-SD51-F1H1-24H8-00000-00&amp;context=" TargetMode="External" /><Relationship Id="rId647" Type="http://schemas.openxmlformats.org/officeDocument/2006/relationships/header" Target="header97.xml" /><Relationship Id="rId648" Type="http://schemas.openxmlformats.org/officeDocument/2006/relationships/header" Target="header98.xml" /><Relationship Id="rId649" Type="http://schemas.openxmlformats.org/officeDocument/2006/relationships/footer" Target="footer97.xml" /><Relationship Id="rId65" Type="http://schemas.openxmlformats.org/officeDocument/2006/relationships/header" Target="header12.xml" /><Relationship Id="rId650" Type="http://schemas.openxmlformats.org/officeDocument/2006/relationships/footer" Target="footer98.xml" /><Relationship Id="rId651" Type="http://schemas.openxmlformats.org/officeDocument/2006/relationships/header" Target="header99.xml" /><Relationship Id="rId652" Type="http://schemas.openxmlformats.org/officeDocument/2006/relationships/footer" Target="footer99.xml" /><Relationship Id="rId653" Type="http://schemas.openxmlformats.org/officeDocument/2006/relationships/hyperlink" Target="https://advance.lexis.com/api/document?collection=cases-ca&amp;id=urn:contentItem:5F7T-S7P1-JBDT-B16K-00000-00&amp;context=" TargetMode="External" /><Relationship Id="rId654" Type="http://schemas.openxmlformats.org/officeDocument/2006/relationships/hyperlink" Target="https://advance.lexis.com/api/document?collection=cases-ca&amp;id=urn:contentItem:5F7T-S771-F2TK-22TP-00000-00&amp;context=" TargetMode="External" /><Relationship Id="rId655" Type="http://schemas.openxmlformats.org/officeDocument/2006/relationships/hyperlink" Target="https://advance.lexis.com/api/document?collection=cases-ca&amp;id=urn:contentItem:5F7T-S731-JC0G-63GR-00000-00&amp;context=" TargetMode="External" /><Relationship Id="rId656" Type="http://schemas.openxmlformats.org/officeDocument/2006/relationships/hyperlink" Target="https://advance.lexis.com/api/document?collection=cases-ca&amp;id=urn:contentItem:5F7T-S761-JX8W-M326-00000-00&amp;context=" TargetMode="External" /><Relationship Id="rId657" Type="http://schemas.openxmlformats.org/officeDocument/2006/relationships/hyperlink" Target="https://advance.lexis.com/api/document?collection=legislation-ca&amp;id=urn:contentItem:5F41-1FN1-JSXV-G1VN-00000-00&amp;context=" TargetMode="External" /><Relationship Id="rId658" Type="http://schemas.openxmlformats.org/officeDocument/2006/relationships/hyperlink" Target="https://advance.lexis.com/api/document?collection=cases-ca&amp;id=urn:contentItem:5F7T-S791-FJTD-G2R1-00000-00&amp;context=" TargetMode="External" /><Relationship Id="rId659" Type="http://schemas.openxmlformats.org/officeDocument/2006/relationships/hyperlink" Target="https://advance.lexis.com/api/document?collection=cases-ca&amp;id=urn:contentItem:5F7T-S771-JWBS-61F8-00000-00&amp;context=" TargetMode="External" /><Relationship Id="rId66" Type="http://schemas.openxmlformats.org/officeDocument/2006/relationships/footer" Target="footer12.xml" /><Relationship Id="rId660" Type="http://schemas.openxmlformats.org/officeDocument/2006/relationships/header" Target="header100.xml" /><Relationship Id="rId661" Type="http://schemas.openxmlformats.org/officeDocument/2006/relationships/header" Target="header101.xml" /><Relationship Id="rId662" Type="http://schemas.openxmlformats.org/officeDocument/2006/relationships/footer" Target="footer100.xml" /><Relationship Id="rId663" Type="http://schemas.openxmlformats.org/officeDocument/2006/relationships/footer" Target="footer101.xml" /><Relationship Id="rId664" Type="http://schemas.openxmlformats.org/officeDocument/2006/relationships/header" Target="header102.xml" /><Relationship Id="rId665" Type="http://schemas.openxmlformats.org/officeDocument/2006/relationships/footer" Target="footer102.xml" /><Relationship Id="rId666" Type="http://schemas.openxmlformats.org/officeDocument/2006/relationships/hyperlink" Target="https://advance.lexis.com/api/document?collection=cases-ca&amp;id=urn:contentItem:5F7T-S7N1-DXWW-203J-00000-00&amp;context=" TargetMode="External" /><Relationship Id="rId667" Type="http://schemas.openxmlformats.org/officeDocument/2006/relationships/hyperlink" Target="https://advance.lexis.com/api/document?collection=cases-ca&amp;id=urn:contentItem:5F7T-S761-FFMK-M15W-00000-00&amp;context=" TargetMode="External" /><Relationship Id="rId668" Type="http://schemas.openxmlformats.org/officeDocument/2006/relationships/hyperlink" Target="https://advance.lexis.com/api/document?collection=cases-ca&amp;id=urn:contentItem:5F7T-S7C1-FGRY-B08S-00000-00&amp;context=" TargetMode="External" /><Relationship Id="rId669" Type="http://schemas.openxmlformats.org/officeDocument/2006/relationships/hyperlink" Target="https://advance.lexis.com/api/document?collection=cases-ca&amp;id=urn:contentItem:5F82-1SH1-F22N-X2CF-00000-00&amp;context=" TargetMode="External" /><Relationship Id="rId67" Type="http://schemas.openxmlformats.org/officeDocument/2006/relationships/hyperlink" Target="https://advance.lexis.com/api/document?collection=cases-ca&amp;id=urn:contentItem:5F7T-S7C1-JCJ5-20S0-00000-00&amp;context=" TargetMode="External" /><Relationship Id="rId670" Type="http://schemas.openxmlformats.org/officeDocument/2006/relationships/hyperlink" Target="https://advance.lexis.com/api/document?collection=cases-ca&amp;id=urn:contentItem:5F7T-S7H1-JS5Y-B306-00000-00&amp;context=" TargetMode="External" /><Relationship Id="rId671" Type="http://schemas.openxmlformats.org/officeDocument/2006/relationships/hyperlink" Target="https://advance.lexis.com/api/document?collection=cases-ca&amp;id=urn:contentItem:5F7T-S741-F7VM-S34P-00000-00&amp;context=" TargetMode="External" /><Relationship Id="rId672" Type="http://schemas.openxmlformats.org/officeDocument/2006/relationships/hyperlink" Target="https://advance.lexis.com/api/document?collection=cases-ca&amp;id=urn:contentItem:5F7T-S7J1-FGCG-S094-00000-00&amp;context=" TargetMode="External" /><Relationship Id="rId673" Type="http://schemas.openxmlformats.org/officeDocument/2006/relationships/hyperlink" Target="https://advance.lexis.com/api/document?collection=cases-ca&amp;id=urn:contentItem:5F7T-S6W1-JB7K-21HB-00000-00&amp;context=" TargetMode="External" /><Relationship Id="rId674" Type="http://schemas.openxmlformats.org/officeDocument/2006/relationships/hyperlink" Target="https://advance.lexis.com/api/document?collection=cases-ca&amp;id=urn:contentItem:5F7T-S731-DY33-B0X4-00000-00&amp;context=" TargetMode="External" /><Relationship Id="rId675" Type="http://schemas.openxmlformats.org/officeDocument/2006/relationships/hyperlink" Target="https://advance.lexis.com/api/document?collection=cases-ca&amp;id=urn:contentItem:5F8T-N3V1-FH4C-X1YX-00000-00&amp;context=" TargetMode="External" /><Relationship Id="rId676" Type="http://schemas.openxmlformats.org/officeDocument/2006/relationships/hyperlink" Target="https://advance.lexis.com/api/document?collection=cases-ca&amp;id=urn:contentItem:5F7T-S721-F956-S1DP-00000-00&amp;context=" TargetMode="External" /><Relationship Id="rId677" Type="http://schemas.openxmlformats.org/officeDocument/2006/relationships/header" Target="header103.xml" /><Relationship Id="rId678" Type="http://schemas.openxmlformats.org/officeDocument/2006/relationships/header" Target="header104.xml" /><Relationship Id="rId679" Type="http://schemas.openxmlformats.org/officeDocument/2006/relationships/footer" Target="footer103.xml" /><Relationship Id="rId68" Type="http://schemas.openxmlformats.org/officeDocument/2006/relationships/hyperlink" Target="https://advance.lexis.com/api/document?collection=cases-ca&amp;id=urn:contentItem:5F8T-N3T1-JJSF-235C-00000-00&amp;context=" TargetMode="External" /><Relationship Id="rId680" Type="http://schemas.openxmlformats.org/officeDocument/2006/relationships/footer" Target="footer104.xml" /><Relationship Id="rId681" Type="http://schemas.openxmlformats.org/officeDocument/2006/relationships/header" Target="header105.xml" /><Relationship Id="rId682" Type="http://schemas.openxmlformats.org/officeDocument/2006/relationships/footer" Target="footer105.xml" /><Relationship Id="rId683" Type="http://schemas.openxmlformats.org/officeDocument/2006/relationships/hyperlink" Target="https://advance.lexis.com/api/document?collection=cases-ca&amp;id=urn:contentItem:5F7T-S7K1-JNY7-X4JH-00000-00&amp;context=" TargetMode="External" /><Relationship Id="rId684" Type="http://schemas.openxmlformats.org/officeDocument/2006/relationships/hyperlink" Target="https://advance.lexis.com/api/document?collection=legislation-ca&amp;id=urn:contentItem:5VYK-W9V1-F1WF-M09J-00000-00&amp;context=" TargetMode="External" /><Relationship Id="rId685" Type="http://schemas.openxmlformats.org/officeDocument/2006/relationships/hyperlink" Target="https://advance.lexis.com/api/document?collection=legislation-ca&amp;id=urn:contentItem:5F3B-B7M1-F1WF-M13B-00000-00&amp;context=" TargetMode="External" /><Relationship Id="rId686" Type="http://schemas.openxmlformats.org/officeDocument/2006/relationships/hyperlink" Target="https://advance.lexis.com/api/document?collection=cases-ca&amp;id=urn:contentItem:5F7T-S7F1-JX3N-B1CY-00000-00&amp;context=" TargetMode="External" /><Relationship Id="rId687" Type="http://schemas.openxmlformats.org/officeDocument/2006/relationships/hyperlink" Target="https://advance.lexis.com/api/document?collection=cases-ca&amp;id=urn:contentItem:5F8T-N3V1-JF75-M3V1-00000-00&amp;context=" TargetMode="External" /><Relationship Id="rId688" Type="http://schemas.openxmlformats.org/officeDocument/2006/relationships/hyperlink" Target="https://advance.lexis.com/api/document?collection=cases-ca&amp;id=urn:contentItem:5F81-VJX1-F22N-X1RW-00000-00&amp;context=" TargetMode="External" /><Relationship Id="rId689" Type="http://schemas.openxmlformats.org/officeDocument/2006/relationships/hyperlink" Target="https://advance.lexis.com/api/document?collection=cases-ca&amp;id=urn:contentItem:5F7T-S7H1-JFSV-G2XB-00000-00&amp;context=" TargetMode="External" /><Relationship Id="rId69" Type="http://schemas.openxmlformats.org/officeDocument/2006/relationships/hyperlink" Target="https://advance.lexis.com/api/document?collection=cases-ca&amp;id=urn:contentItem:5F8T-N3R1-FJDY-X362-00000-00&amp;context=" TargetMode="External" /><Relationship Id="rId690" Type="http://schemas.openxmlformats.org/officeDocument/2006/relationships/hyperlink" Target="https://advance.lexis.com/api/document?collection=cases-ca&amp;id=urn:contentItem:5F7T-S7G1-JBT7-X3R4-00000-00&amp;context=" TargetMode="External" /><Relationship Id="rId691" Type="http://schemas.openxmlformats.org/officeDocument/2006/relationships/hyperlink" Target="https://advance.lexis.com/api/document?collection=cases-ca&amp;id=urn:contentItem:5F16-92X1-JK4W-M2M3-00000-00&amp;context=" TargetMode="External" /><Relationship Id="rId692" Type="http://schemas.openxmlformats.org/officeDocument/2006/relationships/hyperlink" Target="https://advance.lexis.com/api/document?collection=cases-ca&amp;id=urn:contentItem:5F8T-N3T1-JGHR-M253-00000-00&amp;context=" TargetMode="External" /><Relationship Id="rId693" Type="http://schemas.openxmlformats.org/officeDocument/2006/relationships/hyperlink" Target="https://advance.lexis.com/api/document?collection=cases-ca&amp;id=urn:contentItem:5F8T-N3S1-JBDT-B0C8-00000-00&amp;context=" TargetMode="External" /><Relationship Id="rId694" Type="http://schemas.openxmlformats.org/officeDocument/2006/relationships/hyperlink" Target="https://advance.lexis.com/api/document?collection=cases-ca&amp;id=urn:contentItem:5F8P-SCF1-F5KY-B219-00000-00&amp;context=" TargetMode="External" /><Relationship Id="rId695" Type="http://schemas.openxmlformats.org/officeDocument/2006/relationships/hyperlink" Target="https://advance.lexis.com/api/document?collection=cases-ca&amp;id=urn:contentItem:5F8P-SBV1-JBDT-B1PN-00000-00&amp;context=" TargetMode="External" /><Relationship Id="rId696" Type="http://schemas.openxmlformats.org/officeDocument/2006/relationships/hyperlink" Target="https://advance.lexis.com/api/document?collection=cases-ca&amp;id=urn:contentItem:5F7T-XPY1-F7G6-650P-00000-00&amp;context=" TargetMode="External" /><Relationship Id="rId697" Type="http://schemas.openxmlformats.org/officeDocument/2006/relationships/hyperlink" Target="https://advance.lexis.com/api/document?collection=cases-ca&amp;id=urn:contentItem:5F7T-S7G1-JN6B-S1F8-00000-00&amp;context=" TargetMode="External" /><Relationship Id="rId698" Type="http://schemas.openxmlformats.org/officeDocument/2006/relationships/hyperlink" Target="https://advance.lexis.com/api/document?collection=cases-ca&amp;id=urn:contentItem:5F8P-T8W1-FCK4-G0YX-00000-00&amp;context=" TargetMode="External" /><Relationship Id="rId699" Type="http://schemas.openxmlformats.org/officeDocument/2006/relationships/hyperlink" Target="https://advance.lexis.com/api/document?collection=cases-ca&amp;id=urn:contentItem:5F8N-K6W1-JNJT-B4PX-00000-00&amp;context=" TargetMode="External" /><Relationship Id="rId7" Type="http://schemas.openxmlformats.org/officeDocument/2006/relationships/footer" Target="footer2.xml" /><Relationship Id="rId70" Type="http://schemas.openxmlformats.org/officeDocument/2006/relationships/hyperlink" Target="https://advance.lexis.com/api/document?collection=cases-ca&amp;id=urn:contentItem:5F8T-N3R1-JNS1-M0P9-00000-00&amp;context=" TargetMode="External" /><Relationship Id="rId700" Type="http://schemas.openxmlformats.org/officeDocument/2006/relationships/hyperlink" Target="https://advance.lexis.com/api/document?collection=cases-ca&amp;id=urn:contentItem:5F8N-K711-F873-B42G-00000-00&amp;context=" TargetMode="External" /><Relationship Id="rId701" Type="http://schemas.openxmlformats.org/officeDocument/2006/relationships/hyperlink" Target="https://advance.lexis.com/api/document?collection=cases-ca&amp;id=urn:contentItem:5F81-VJT1-JK4W-M3XD-00000-00&amp;context=" TargetMode="External" /><Relationship Id="rId702" Type="http://schemas.openxmlformats.org/officeDocument/2006/relationships/hyperlink" Target="https://advance.lexis.com/api/document?collection=cases-ca&amp;id=urn:contentItem:5F8T-N3T1-JGHR-M28T-00000-00&amp;context=" TargetMode="External" /><Relationship Id="rId703" Type="http://schemas.openxmlformats.org/officeDocument/2006/relationships/hyperlink" Target="https://advance.lexis.com/api/document?collection=cases-ca&amp;id=urn:contentItem:5F8T-N3V1-JFKM-606H-00000-00&amp;context=" TargetMode="External" /><Relationship Id="rId704" Type="http://schemas.openxmlformats.org/officeDocument/2006/relationships/hyperlink" Target="https://advance.lexis.com/api/document?collection=cases-ca&amp;id=urn:contentItem:5F16-9301-JFDC-X1VG-00000-00&amp;context=" TargetMode="External" /><Relationship Id="rId705" Type="http://schemas.openxmlformats.org/officeDocument/2006/relationships/hyperlink" Target="https://advance.lexis.com/api/document?collection=cases-ca&amp;id=urn:contentItem:5F8T-N3N1-FCYK-233G-00000-00&amp;context=" TargetMode="External" /><Relationship Id="rId706" Type="http://schemas.openxmlformats.org/officeDocument/2006/relationships/hyperlink" Target="https://advance.lexis.com/api/document?collection=cases-ca&amp;id=urn:contentItem:5F8T-N3V1-FC1F-M3WF-00000-00&amp;context=" TargetMode="External" /><Relationship Id="rId707" Type="http://schemas.openxmlformats.org/officeDocument/2006/relationships/hyperlink" Target="https://advance.lexis.com/api/document?collection=cases-ca&amp;id=urn:contentItem:5F7T-S7G1-JNY7-X40C-00000-00&amp;context=" TargetMode="External" /><Relationship Id="rId708" Type="http://schemas.openxmlformats.org/officeDocument/2006/relationships/hyperlink" Target="https://advance.lexis.com/api/document?collection=cases-ca&amp;id=urn:contentItem:5F8P-T8X1-JTGH-B0HD-00000-00&amp;context=" TargetMode="External" /><Relationship Id="rId709" Type="http://schemas.openxmlformats.org/officeDocument/2006/relationships/hyperlink" Target="https://advance.lexis.com/api/document?collection=cases-ca&amp;id=urn:contentItem:5F7V-3DK1-JJD0-G1NB-00000-00&amp;context=" TargetMode="External" /><Relationship Id="rId71" Type="http://schemas.openxmlformats.org/officeDocument/2006/relationships/hyperlink" Target="https://advance.lexis.com/api/document?collection=cases-ca&amp;id=urn:contentItem:5F7T-S7C1-F4NT-X2WR-00000-00&amp;context=" TargetMode="External" /><Relationship Id="rId710" Type="http://schemas.openxmlformats.org/officeDocument/2006/relationships/hyperlink" Target="https://advance.lexis.com/api/document?collection=cases-ca&amp;id=urn:contentItem:5F7T-S7G1-JBT7-X38J-00000-00&amp;context=" TargetMode="External" /><Relationship Id="rId711" Type="http://schemas.openxmlformats.org/officeDocument/2006/relationships/hyperlink" Target="https://advance.lexis.com/api/document?collection=cases-ca&amp;id=urn:contentItem:5F8P-SCF1-JNJT-B2H3-00000-00&amp;context=" TargetMode="External" /><Relationship Id="rId712" Type="http://schemas.openxmlformats.org/officeDocument/2006/relationships/hyperlink" Target="https://advance.lexis.com/api/document?collection=cases-ca&amp;id=urn:contentItem:5F8P-SCF1-F900-G2T2-00000-00&amp;context=" TargetMode="External" /><Relationship Id="rId713" Type="http://schemas.openxmlformats.org/officeDocument/2006/relationships/hyperlink" Target="https://advance.lexis.com/api/document?collection=cases-ca&amp;id=urn:contentItem:5F8T-N3S1-JT99-252X-00000-00&amp;context=" TargetMode="External" /><Relationship Id="rId714" Type="http://schemas.openxmlformats.org/officeDocument/2006/relationships/hyperlink" Target="https://advance.lexis.com/api/document?collection=cases-ca&amp;id=urn:contentItem:5F8T-N3V1-JFKM-60BY-00000-00&amp;context=" TargetMode="External" /><Relationship Id="rId715" Type="http://schemas.openxmlformats.org/officeDocument/2006/relationships/hyperlink" Target="https://advance.lexis.com/api/document?collection=cases-ca&amp;id=urn:contentItem:5F8T-N3V1-JFKM-60C0-00000-00&amp;context=" TargetMode="External" /><Relationship Id="rId716" Type="http://schemas.openxmlformats.org/officeDocument/2006/relationships/hyperlink" Target="https://advance.lexis.com/api/document?collection=cases-ca&amp;id=urn:contentItem:5F7T-S7G1-JBT7-X3WY-00000-00&amp;context=" TargetMode="External" /><Relationship Id="rId717" Type="http://schemas.openxmlformats.org/officeDocument/2006/relationships/hyperlink" Target="https://advance.lexis.com/api/document?collection=cases-ca&amp;id=urn:contentItem:5F7T-XPW1-JK4W-M2KV-00000-00&amp;context=" TargetMode="External" /><Relationship Id="rId718" Type="http://schemas.openxmlformats.org/officeDocument/2006/relationships/hyperlink" Target="https://advance.lexis.com/api/document?collection=cases-ca&amp;id=urn:contentItem:5F7T-XPW1-JK4W-M2XM-00000-00&amp;context=" TargetMode="External" /><Relationship Id="rId719" Type="http://schemas.openxmlformats.org/officeDocument/2006/relationships/hyperlink" Target="https://advance.lexis.com/api/document?collection=cases-ca&amp;id=urn:contentItem:5F8P-T8X1-JTGH-B0RK-00000-00&amp;context=" TargetMode="External" /><Relationship Id="rId72" Type="http://schemas.openxmlformats.org/officeDocument/2006/relationships/header" Target="header13.xml" /><Relationship Id="rId720" Type="http://schemas.openxmlformats.org/officeDocument/2006/relationships/hyperlink" Target="https://advance.lexis.com/api/document?collection=cases-ca&amp;id=urn:contentItem:5F7T-S701-JK4W-M11R-00000-00&amp;context=" TargetMode="External" /><Relationship Id="rId721" Type="http://schemas.openxmlformats.org/officeDocument/2006/relationships/hyperlink" Target="https://advance.lexis.com/api/document?collection=cases-ca&amp;id=urn:contentItem:5F8T-N3V1-JTGH-B1CB-00000-00&amp;context=" TargetMode="External" /><Relationship Id="rId722" Type="http://schemas.openxmlformats.org/officeDocument/2006/relationships/hyperlink" Target="https://advance.lexis.com/api/document?collection=cases-ca&amp;id=urn:contentItem:5F8T-N3V1-FC1F-M46P-00000-00&amp;context=" TargetMode="External" /><Relationship Id="rId723" Type="http://schemas.openxmlformats.org/officeDocument/2006/relationships/hyperlink" Target="https://advance.lexis.com/api/document?collection=cases-ca&amp;id=urn:contentItem:5F8T-N3V1-JF75-M3FY-00000-00&amp;context=" TargetMode="External" /><Relationship Id="rId724" Type="http://schemas.openxmlformats.org/officeDocument/2006/relationships/hyperlink" Target="https://advance.lexis.com/api/document?collection=cases-ca&amp;id=urn:contentItem:5F8T-N3V1-FC1F-M466-00000-00&amp;context=" TargetMode="External" /><Relationship Id="rId725" Type="http://schemas.openxmlformats.org/officeDocument/2006/relationships/header" Target="header106.xml" /><Relationship Id="rId726" Type="http://schemas.openxmlformats.org/officeDocument/2006/relationships/header" Target="header107.xml" /><Relationship Id="rId727" Type="http://schemas.openxmlformats.org/officeDocument/2006/relationships/footer" Target="footer106.xml" /><Relationship Id="rId728" Type="http://schemas.openxmlformats.org/officeDocument/2006/relationships/footer" Target="footer107.xml" /><Relationship Id="rId729" Type="http://schemas.openxmlformats.org/officeDocument/2006/relationships/header" Target="header108.xml" /><Relationship Id="rId73" Type="http://schemas.openxmlformats.org/officeDocument/2006/relationships/header" Target="header14.xml" /><Relationship Id="rId730" Type="http://schemas.openxmlformats.org/officeDocument/2006/relationships/footer" Target="footer108.xml" /><Relationship Id="rId731" Type="http://schemas.openxmlformats.org/officeDocument/2006/relationships/hyperlink" Target="https://advance.lexis.com/api/document?collection=cases-ca&amp;id=urn:contentItem:5KR0-P3T1-FBN1-240N-00000-00&amp;context=" TargetMode="External" /><Relationship Id="rId732" Type="http://schemas.openxmlformats.org/officeDocument/2006/relationships/hyperlink" Target="https://advance.lexis.com/api/document?collection=cases-ca&amp;id=urn:contentItem:5F8T-N3V1-FH4C-X22V-00000-00&amp;context=" TargetMode="External" /><Relationship Id="rId733" Type="http://schemas.openxmlformats.org/officeDocument/2006/relationships/hyperlink" Target="https://advance.lexis.com/api/document?collection=cases-ca&amp;id=urn:contentItem:5F7T-S7C1-JSRM-60TP-00000-00&amp;context=" TargetMode="External" /><Relationship Id="rId734" Type="http://schemas.openxmlformats.org/officeDocument/2006/relationships/hyperlink" Target="https://advance.lexis.com/api/document?collection=cases-ca&amp;id=urn:contentItem:5F7T-S7M1-JFSV-G3B9-00000-00&amp;context=" TargetMode="External" /><Relationship Id="rId735" Type="http://schemas.openxmlformats.org/officeDocument/2006/relationships/hyperlink" Target="https://advance.lexis.com/api/document?collection=cases-ca&amp;id=urn:contentItem:5F7T-S7J1-JYYX-625F-00000-00&amp;context=" TargetMode="External" /><Relationship Id="rId736" Type="http://schemas.openxmlformats.org/officeDocument/2006/relationships/hyperlink" Target="https://advance.lexis.com/api/document?collection=cases-ca&amp;id=urn:contentItem:5F82-1SJ1-JWXF-21HW-00000-00&amp;context=" TargetMode="External" /><Relationship Id="rId737" Type="http://schemas.openxmlformats.org/officeDocument/2006/relationships/hyperlink" Target="https://advance.lexis.com/api/document?collection=cases-ca&amp;id=urn:contentItem:5F7T-S7K1-JWXF-20X0-00000-00&amp;context=" TargetMode="External" /><Relationship Id="rId738" Type="http://schemas.openxmlformats.org/officeDocument/2006/relationships/hyperlink" Target="https://advance.lexis.com/api/document?collection=cases-ca&amp;id=urn:contentItem:5F82-1SJ1-DYMS-63D0-00000-00&amp;context=" TargetMode="External" /><Relationship Id="rId739" Type="http://schemas.openxmlformats.org/officeDocument/2006/relationships/hyperlink" Target="https://advance.lexis.com/api/document?collection=cases-ca&amp;id=urn:contentItem:5J70-PKM1-JPGX-S3WW-00000-00&amp;context=" TargetMode="External" /><Relationship Id="rId74" Type="http://schemas.openxmlformats.org/officeDocument/2006/relationships/footer" Target="footer13.xml" /><Relationship Id="rId740" Type="http://schemas.openxmlformats.org/officeDocument/2006/relationships/hyperlink" Target="https://advance.lexis.com/api/document?collection=cases-ca&amp;id=urn:contentItem:5F82-1SF1-F361-M45M-00000-00&amp;context=" TargetMode="External" /><Relationship Id="rId741" Type="http://schemas.openxmlformats.org/officeDocument/2006/relationships/hyperlink" Target="https://advance.lexis.com/api/document?collection=cases-ca&amp;id=urn:contentItem:5F7T-S7P1-JSJC-X1MR-00000-00&amp;context=" TargetMode="External" /><Relationship Id="rId742" Type="http://schemas.openxmlformats.org/officeDocument/2006/relationships/hyperlink" Target="https://advance.lexis.com/api/document?collection=cases-ca&amp;id=urn:contentItem:5F7T-S7N1-JW09-M126-00000-00&amp;context=" TargetMode="External" /><Relationship Id="rId743" Type="http://schemas.openxmlformats.org/officeDocument/2006/relationships/hyperlink" Target="https://advance.lexis.com/api/document?collection=cases-ca&amp;id=urn:contentItem:5KD1-W4V1-JC5P-G3DR-00000-00&amp;context=" TargetMode="External" /><Relationship Id="rId744" Type="http://schemas.openxmlformats.org/officeDocument/2006/relationships/hyperlink" Target="https://advance.lexis.com/api/document?collection=cases-ca&amp;id=urn:contentItem:5F7T-S7J1-JGBH-B202-00000-00&amp;context=" TargetMode="External" /><Relationship Id="rId745" Type="http://schemas.openxmlformats.org/officeDocument/2006/relationships/hyperlink" Target="https://advance.lexis.com/api/document?collection=cases-ca&amp;id=urn:contentItem:5F7T-S771-JTGH-B12F-00000-00&amp;context=" TargetMode="External" /><Relationship Id="rId746" Type="http://schemas.openxmlformats.org/officeDocument/2006/relationships/hyperlink" Target="https://advance.lexis.com/api/document?collection=cases-ca&amp;id=urn:contentItem:5JN4-S1R1-FGJR-236B-00000-00&amp;context=" TargetMode="External" /><Relationship Id="rId747" Type="http://schemas.openxmlformats.org/officeDocument/2006/relationships/hyperlink" Target="https://advance.lexis.com/api/document?collection=cases-ca&amp;id=urn:contentItem:5H84-1CC1-F4GK-M4NB-00000-00&amp;context=" TargetMode="External" /><Relationship Id="rId748" Type="http://schemas.openxmlformats.org/officeDocument/2006/relationships/hyperlink" Target="https://advance.lexis.com/api/document?collection=cases-ca&amp;id=urn:contentItem:5F7T-S7P1-JSJC-X1P7-00000-00&amp;context=" TargetMode="External" /><Relationship Id="rId749" Type="http://schemas.openxmlformats.org/officeDocument/2006/relationships/hyperlink" Target="https://advance.lexis.com/api/document?collection=cases-ca&amp;id=urn:contentItem:5F7T-S7P1-JP4G-61N4-00000-00&amp;context=" TargetMode="External" /><Relationship Id="rId75" Type="http://schemas.openxmlformats.org/officeDocument/2006/relationships/footer" Target="footer14.xml" /><Relationship Id="rId750" Type="http://schemas.openxmlformats.org/officeDocument/2006/relationships/hyperlink" Target="https://advance.lexis.com/api/document?collection=cases-ca&amp;id=urn:contentItem:5F7T-S7M1-F4W2-62D4-00000-00&amp;context=" TargetMode="External" /><Relationship Id="rId751" Type="http://schemas.openxmlformats.org/officeDocument/2006/relationships/hyperlink" Target="https://advance.lexis.com/api/document?collection=cases-ca&amp;id=urn:contentItem:5F7T-S7H1-F016-S3X8-00000-00&amp;context=" TargetMode="External" /><Relationship Id="rId752" Type="http://schemas.openxmlformats.org/officeDocument/2006/relationships/hyperlink" Target="https://advance.lexis.com/api/document?collection=cases-ca&amp;id=urn:contentItem:5F82-1SH1-F8KH-X1YH-00000-00&amp;context=" TargetMode="External" /><Relationship Id="rId753" Type="http://schemas.openxmlformats.org/officeDocument/2006/relationships/hyperlink" Target="https://advance.lexis.com/api/document?collection=cases-ca&amp;id=urn:contentItem:5F7T-S7K1-DY33-B1K8-00000-00&amp;context=" TargetMode="External" /><Relationship Id="rId754" Type="http://schemas.openxmlformats.org/officeDocument/2006/relationships/hyperlink" Target="https://advance.lexis.com/api/document?collection=cases-ca&amp;id=urn:contentItem:5F7T-S771-JN14-G2PR-00000-00&amp;context=" TargetMode="External" /><Relationship Id="rId755" Type="http://schemas.openxmlformats.org/officeDocument/2006/relationships/hyperlink" Target="https://advance.lexis.com/api/document?collection=cases-ca&amp;id=urn:contentItem:5F7T-S7P1-JSJC-X1GW-00000-00&amp;context=" TargetMode="External" /><Relationship Id="rId756" Type="http://schemas.openxmlformats.org/officeDocument/2006/relationships/hyperlink" Target="https://advance.lexis.com/api/document?collection=cases-ca&amp;id=urn:contentItem:5F7T-S7P1-JG02-S46D-00000-00&amp;context=" TargetMode="External" /><Relationship Id="rId757" Type="http://schemas.openxmlformats.org/officeDocument/2006/relationships/header" Target="header109.xml" /><Relationship Id="rId758" Type="http://schemas.openxmlformats.org/officeDocument/2006/relationships/header" Target="header110.xml" /><Relationship Id="rId759" Type="http://schemas.openxmlformats.org/officeDocument/2006/relationships/footer" Target="footer109.xml" /><Relationship Id="rId76" Type="http://schemas.openxmlformats.org/officeDocument/2006/relationships/header" Target="header15.xml" /><Relationship Id="rId760" Type="http://schemas.openxmlformats.org/officeDocument/2006/relationships/footer" Target="footer110.xml" /><Relationship Id="rId761" Type="http://schemas.openxmlformats.org/officeDocument/2006/relationships/header" Target="header111.xml" /><Relationship Id="rId762" Type="http://schemas.openxmlformats.org/officeDocument/2006/relationships/footer" Target="footer111.xml" /><Relationship Id="rId763" Type="http://schemas.openxmlformats.org/officeDocument/2006/relationships/hyperlink" Target="https://advance.lexis.com/api/document?collection=cases-ca&amp;id=urn:contentItem:5F7T-S7N1-F06F-24PN-00000-00&amp;context=" TargetMode="External" /><Relationship Id="rId764" Type="http://schemas.openxmlformats.org/officeDocument/2006/relationships/hyperlink" Target="https://advance.lexis.com/api/document?collection=legislation-ca&amp;id=urn:contentItem:5HFN-GCY1-JB7K-21C9-00000-00&amp;context=" TargetMode="External" /><Relationship Id="rId765" Type="http://schemas.openxmlformats.org/officeDocument/2006/relationships/hyperlink" Target="https://advance.lexis.com/api/document?collection=cases-ca&amp;id=urn:contentItem:5F7T-S7M1-JPP5-22M5-00000-00&amp;context=" TargetMode="External" /><Relationship Id="rId766" Type="http://schemas.openxmlformats.org/officeDocument/2006/relationships/hyperlink" Target="https://advance.lexis.com/api/document?collection=cases-ca&amp;id=urn:contentItem:5F7T-S7M1-JCRC-B1B4-00000-00&amp;context=" TargetMode="External" /><Relationship Id="rId767" Type="http://schemas.openxmlformats.org/officeDocument/2006/relationships/hyperlink" Target="https://advance.lexis.com/api/document?collection=cases-ca&amp;id=urn:contentItem:5F8T-N3V1-JTGH-B18J-00000-00&amp;context=" TargetMode="External" /><Relationship Id="rId768" Type="http://schemas.openxmlformats.org/officeDocument/2006/relationships/hyperlink" Target="https://advance.lexis.com/api/document?collection=cases-ca&amp;id=urn:contentItem:5F8T-N3V1-JF75-M3J9-00000-00&amp;context=" TargetMode="External" /><Relationship Id="rId769" Type="http://schemas.openxmlformats.org/officeDocument/2006/relationships/hyperlink" Target="https://advance.lexis.com/api/document?collection=cases-ca&amp;id=urn:contentItem:5F8T-N3V1-JF75-M3RV-00000-00&amp;context=" TargetMode="External" /><Relationship Id="rId77" Type="http://schemas.openxmlformats.org/officeDocument/2006/relationships/footer" Target="footer15.xml" /><Relationship Id="rId770" Type="http://schemas.openxmlformats.org/officeDocument/2006/relationships/hyperlink" Target="https://advance.lexis.com/api/document?collection=cases-ca&amp;id=urn:contentItem:5F8T-N3R1-JBDT-B566-00000-00&amp;context=" TargetMode="External" /><Relationship Id="rId771" Type="http://schemas.openxmlformats.org/officeDocument/2006/relationships/hyperlink" Target="https://advance.lexis.com/api/document?collection=cases-ca&amp;id=urn:contentItem:5F8T-N3S1-JT99-253F-00000-00&amp;context=" TargetMode="External" /><Relationship Id="rId772" Type="http://schemas.openxmlformats.org/officeDocument/2006/relationships/hyperlink" Target="https://advance.lexis.com/api/document?collection=cases-ca&amp;id=urn:contentItem:5F81-VJW1-FGY5-M306-00000-00&amp;context=" TargetMode="External" /><Relationship Id="rId773" Type="http://schemas.openxmlformats.org/officeDocument/2006/relationships/hyperlink" Target="https://advance.lexis.com/api/document?collection=cases-ca&amp;id=urn:contentItem:5F8T-N3V1-JTGH-B1BC-00000-00&amp;context=" TargetMode="External" /><Relationship Id="rId774" Type="http://schemas.openxmlformats.org/officeDocument/2006/relationships/hyperlink" Target="https://advance.lexis.com/api/document?collection=cases-ca&amp;id=urn:contentItem:5F8T-N3T1-JJSF-236F-00000-00&amp;context=" TargetMode="External" /><Relationship Id="rId775" Type="http://schemas.openxmlformats.org/officeDocument/2006/relationships/hyperlink" Target="https://advance.lexis.com/api/document?collection=cases-ca&amp;id=urn:contentItem:5F8T-N3T1-JJSF-23C9-00000-00&amp;context=" TargetMode="External" /><Relationship Id="rId776" Type="http://schemas.openxmlformats.org/officeDocument/2006/relationships/hyperlink" Target="https://advance.lexis.com/api/document?collection=analytical-materials-ca&amp;id=urn:contentItem:5S36-JVF1-FJTD-G22K-00000-00&amp;context=" TargetMode="External" /><Relationship Id="rId777" Type="http://schemas.openxmlformats.org/officeDocument/2006/relationships/hyperlink" Target="https://advance.lexis.com/api/document?collection=cases-ca&amp;id=urn:contentItem:5F8T-N3V1-JF75-M3X0-00000-00&amp;context=" TargetMode="External" /><Relationship Id="rId778" Type="http://schemas.openxmlformats.org/officeDocument/2006/relationships/hyperlink" Target="https://advance.lexis.com/api/document?collection=cases-ca&amp;id=urn:contentItem:5F8T-N3V1-JTGH-B169-00000-00&amp;context=" TargetMode="External" /><Relationship Id="rId779" Type="http://schemas.openxmlformats.org/officeDocument/2006/relationships/hyperlink" Target="https://advance.lexis.com/api/document?collection=cases-ca&amp;id=urn:contentItem:5F8T-N3V1-JF75-M3N0-00000-00&amp;context=" TargetMode="External" /><Relationship Id="rId78" Type="http://schemas.openxmlformats.org/officeDocument/2006/relationships/hyperlink" Target="https://advance.lexis.com/api/document?collection=cases-ca&amp;id=urn:contentItem:5N23-P731-FC6N-X566-00000-00&amp;context=" TargetMode="External" /><Relationship Id="rId780" Type="http://schemas.openxmlformats.org/officeDocument/2006/relationships/hyperlink" Target="https://advance.lexis.com/api/document?collection=cases-ca&amp;id=urn:contentItem:5F8T-N3V1-FC1F-M49N-00000-00&amp;context=" TargetMode="External" /><Relationship Id="rId781" Type="http://schemas.openxmlformats.org/officeDocument/2006/relationships/hyperlink" Target="https://advance.lexis.com/api/document?collection=analytical-materials-ca&amp;id=urn:contentItem:5RYJ-9CS1-JBT7-X4SX-00000-00&amp;context=" TargetMode="External" /><Relationship Id="rId782" Type="http://schemas.openxmlformats.org/officeDocument/2006/relationships/hyperlink" Target="https://advance.lexis.com/api/document?collection=cases-ca&amp;id=urn:contentItem:5F8T-N3V1-FC1F-M4BH-00000-00&amp;context=" TargetMode="External" /><Relationship Id="rId783" Type="http://schemas.openxmlformats.org/officeDocument/2006/relationships/hyperlink" Target="https://advance.lexis.com/api/document?collection=cases-ca&amp;id=urn:contentItem:5F8T-N3V1-JF75-M3TX-00000-00&amp;context=" TargetMode="External" /><Relationship Id="rId784" Type="http://schemas.openxmlformats.org/officeDocument/2006/relationships/hyperlink" Target="https://advance.lexis.com/api/document?collection=cases-ca&amp;id=urn:contentItem:5F7T-S761-FGJR-22NS-00000-00&amp;context=" TargetMode="External" /><Relationship Id="rId785" Type="http://schemas.openxmlformats.org/officeDocument/2006/relationships/hyperlink" Target="https://advance.lexis.com/api/document?collection=cases-ca&amp;id=urn:contentItem:5F7T-S761-F81W-21Y1-00000-00&amp;context=" TargetMode="External" /><Relationship Id="rId786" Type="http://schemas.openxmlformats.org/officeDocument/2006/relationships/hyperlink" Target="https://advance.lexis.com/api/document?collection=cases-ca&amp;id=urn:contentItem:5F82-1SD1-FCK4-G30M-00000-00&amp;context=" TargetMode="External" /><Relationship Id="rId787" Type="http://schemas.openxmlformats.org/officeDocument/2006/relationships/hyperlink" Target="https://advance.lexis.com/api/document?collection=cases-ca&amp;id=urn:contentItem:5F7T-S7F1-JFKM-61KM-00000-00&amp;context=" TargetMode="External" /><Relationship Id="rId788" Type="http://schemas.openxmlformats.org/officeDocument/2006/relationships/hyperlink" Target="https://advance.lexis.com/api/document?collection=cases-ca&amp;id=urn:contentItem:5F7T-S7H1-JCRC-B0YY-00000-00&amp;context=" TargetMode="External" /><Relationship Id="rId789" Type="http://schemas.openxmlformats.org/officeDocument/2006/relationships/hyperlink" Target="https://advance.lexis.com/api/document?collection=cases-ca&amp;id=urn:contentItem:5F8T-N3T1-JJSF-23B7-00000-00&amp;context=" TargetMode="External" /><Relationship Id="rId79" Type="http://schemas.openxmlformats.org/officeDocument/2006/relationships/hyperlink" Target="https://advance.lexis.com/api/document?collection=cases-ca&amp;id=urn:contentItem:5MN7-3Y71-FK0M-S38Y-00000-00&amp;context=" TargetMode="External" /><Relationship Id="rId790" Type="http://schemas.openxmlformats.org/officeDocument/2006/relationships/hyperlink" Target="https://advance.lexis.com/api/document?collection=cases-ca&amp;id=urn:contentItem:5F8T-N3V1-JTGH-B0YN-00000-00&amp;context=" TargetMode="External" /><Relationship Id="rId791" Type="http://schemas.openxmlformats.org/officeDocument/2006/relationships/hyperlink" Target="https://advance.lexis.com/api/document?collection=cases-ca&amp;id=urn:contentItem:5F8T-N3V1-JTGH-B187-00000-00&amp;context=" TargetMode="External" /><Relationship Id="rId792" Type="http://schemas.openxmlformats.org/officeDocument/2006/relationships/hyperlink" Target="https://advance.lexis.com/api/document?collection=cases-ca&amp;id=urn:contentItem:5F8T-N3V1-FH4C-X1WY-00000-00&amp;context=" TargetMode="External" /><Relationship Id="rId793" Type="http://schemas.openxmlformats.org/officeDocument/2006/relationships/hyperlink" Target="https://advance.lexis.com/api/document?collection=cases-ca&amp;id=urn:contentItem:5F8T-N3V1-FC1F-M40K-00000-00&amp;context=" TargetMode="External" /><Relationship Id="rId794" Type="http://schemas.openxmlformats.org/officeDocument/2006/relationships/hyperlink" Target="https://advance.lexis.com/api/document?collection=cases-ca&amp;id=urn:contentItem:5F8T-N3V1-FC1F-M42P-00000-00&amp;context=" TargetMode="External" /><Relationship Id="rId795" Type="http://schemas.openxmlformats.org/officeDocument/2006/relationships/hyperlink" Target="https://advance.lexis.com/api/document?collection=cases-ca&amp;id=urn:contentItem:5F8T-N3V1-JTGH-B1BD-00000-00&amp;context=" TargetMode="External" /><Relationship Id="rId796" Type="http://schemas.openxmlformats.org/officeDocument/2006/relationships/header" Target="header112.xml" /><Relationship Id="rId797" Type="http://schemas.openxmlformats.org/officeDocument/2006/relationships/header" Target="header113.xml" /><Relationship Id="rId798" Type="http://schemas.openxmlformats.org/officeDocument/2006/relationships/footer" Target="footer112.xml" /><Relationship Id="rId799" Type="http://schemas.openxmlformats.org/officeDocument/2006/relationships/footer" Target="footer113.xml" /><Relationship Id="rId8" Type="http://schemas.openxmlformats.org/officeDocument/2006/relationships/header" Target="header3.xml" /><Relationship Id="rId80" Type="http://schemas.openxmlformats.org/officeDocument/2006/relationships/hyperlink" Target="https://advance.lexis.com/api/document?collection=cases-ca&amp;id=urn:contentItem:5F7T-S701-JF75-M4J3-00000-00&amp;context=" TargetMode="External" /><Relationship Id="rId800" Type="http://schemas.openxmlformats.org/officeDocument/2006/relationships/header" Target="header114.xml" /><Relationship Id="rId801" Type="http://schemas.openxmlformats.org/officeDocument/2006/relationships/footer" Target="footer114.xml" /><Relationship Id="rId802" Type="http://schemas.openxmlformats.org/officeDocument/2006/relationships/hyperlink" Target="https://advance.lexis.com/api/document?collection=cases-ca&amp;id=urn:contentItem:5F7T-S7K1-F1H1-2258-00000-00&amp;context=" TargetMode="External" /><Relationship Id="rId803" Type="http://schemas.openxmlformats.org/officeDocument/2006/relationships/hyperlink" Target="https://advance.lexis.com/api/document?collection=legislation-ca&amp;id=urn:contentItem:5F41-1FJ1-F5DR-207Y-00000-00&amp;context=" TargetMode="External" /><Relationship Id="rId804" Type="http://schemas.openxmlformats.org/officeDocument/2006/relationships/hyperlink" Target="https://advance.lexis.com/api/document?collection=cases-ca&amp;id=urn:contentItem:5F7T-S7G1-JX3N-B23Y-00000-00&amp;context=" TargetMode="External" /><Relationship Id="rId805" Type="http://schemas.openxmlformats.org/officeDocument/2006/relationships/hyperlink" Target="https://advance.lexis.com/api/document?collection=cases-ca&amp;id=urn:contentItem:5F7T-S731-F016-S3HC-00000-00&amp;context=" TargetMode="External" /><Relationship Id="rId806" Type="http://schemas.openxmlformats.org/officeDocument/2006/relationships/hyperlink" Target="https://advance.lexis.com/api/document?collection=cases-ca&amp;id=urn:contentItem:5F7T-S7F1-DXWW-23R7-00000-00&amp;context=" TargetMode="External" /><Relationship Id="rId807" Type="http://schemas.openxmlformats.org/officeDocument/2006/relationships/hyperlink" Target="https://advance.lexis.com/api/document?collection=cases-ca&amp;id=urn:contentItem:5F7T-S721-F57G-S11H-00000-00&amp;context=" TargetMode="External" /><Relationship Id="rId808" Type="http://schemas.openxmlformats.org/officeDocument/2006/relationships/hyperlink" Target="https://advance.lexis.com/api/document?collection=cases-ca&amp;id=urn:contentItem:5F7T-S6S1-FFTT-X0G9-00000-00&amp;context=" TargetMode="External" /><Relationship Id="rId809" Type="http://schemas.openxmlformats.org/officeDocument/2006/relationships/hyperlink" Target="https://advance.lexis.com/api/document?collection=cases-ca&amp;id=urn:contentItem:5F7T-S7J1-FGCG-S0C1-00000-00&amp;context=" TargetMode="External" /><Relationship Id="rId81" Type="http://schemas.openxmlformats.org/officeDocument/2006/relationships/hyperlink" Target="https://advance.lexis.com/api/document?collection=cases-ca&amp;id=urn:contentItem:5F7T-S7P1-JNJT-B2DG-00000-00&amp;context=" TargetMode="External" /><Relationship Id="rId810" Type="http://schemas.openxmlformats.org/officeDocument/2006/relationships/hyperlink" Target="https://advance.lexis.com/api/document?collection=cases-ca&amp;id=urn:contentItem:5F7T-S741-DXPM-S18G-00000-00&amp;context=" TargetMode="External" /><Relationship Id="rId811" Type="http://schemas.openxmlformats.org/officeDocument/2006/relationships/hyperlink" Target="https://advance.lexis.com/api/document?collection=cases-ca&amp;id=urn:contentItem:5F7T-S751-F361-M0NJ-00000-00&amp;context=" TargetMode="External" /><Relationship Id="rId812" Type="http://schemas.openxmlformats.org/officeDocument/2006/relationships/hyperlink" Target="https://advance.lexis.com/api/document?collection=cases-ca&amp;id=urn:contentItem:5F7T-S721-F956-S19R-00000-00&amp;context=" TargetMode="External" /><Relationship Id="rId813" Type="http://schemas.openxmlformats.org/officeDocument/2006/relationships/hyperlink" Target="https://advance.lexis.com/api/document?collection=cases-ca&amp;id=urn:contentItem:5F7T-S7G1-JX3N-B28D-00000-00&amp;context=" TargetMode="External" /><Relationship Id="rId814" Type="http://schemas.openxmlformats.org/officeDocument/2006/relationships/hyperlink" Target="https://advance.lexis.com/api/document?collection=cases-ca&amp;id=urn:contentItem:5F8N-K731-F361-M0XP-00000-00&amp;context=" TargetMode="External" /><Relationship Id="rId815" Type="http://schemas.openxmlformats.org/officeDocument/2006/relationships/hyperlink" Target="https://advance.lexis.com/api/document?collection=cases-ca&amp;id=urn:contentItem:5F81-VJS1-JT99-22N7-00000-00&amp;context=" TargetMode="External" /><Relationship Id="rId816" Type="http://schemas.openxmlformats.org/officeDocument/2006/relationships/hyperlink" Target="https://advance.lexis.com/api/document?collection=cases-ca&amp;id=urn:contentItem:5F7T-S7K1-JKHB-62K8-00000-00&amp;context=" TargetMode="External" /><Relationship Id="rId817" Type="http://schemas.openxmlformats.org/officeDocument/2006/relationships/hyperlink" Target="https://advance.lexis.com/api/document?collection=cases-ca&amp;id=urn:contentItem:5F7T-S6W1-F7ND-G2W0-00000-00&amp;context=" TargetMode="External" /><Relationship Id="rId818" Type="http://schemas.openxmlformats.org/officeDocument/2006/relationships/hyperlink" Target="https://advance.lexis.com/api/document?collection=cases-ca&amp;id=urn:contentItem:5F7T-S6W1-JB7K-215W-00000-00&amp;context=" TargetMode="External" /><Relationship Id="rId819" Type="http://schemas.openxmlformats.org/officeDocument/2006/relationships/hyperlink" Target="https://advance.lexis.com/api/document?collection=cases-ca&amp;id=urn:contentItem:5F7T-S701-JK4W-M10F-00000-00&amp;context=" TargetMode="External" /><Relationship Id="rId82" Type="http://schemas.openxmlformats.org/officeDocument/2006/relationships/hyperlink" Target="https://advance.lexis.com/api/document?collection=cases-ca&amp;id=urn:contentItem:5F7T-S7H1-JS5Y-B2V1-00000-00&amp;context=" TargetMode="External" /><Relationship Id="rId820" Type="http://schemas.openxmlformats.org/officeDocument/2006/relationships/hyperlink" Target="https://advance.lexis.com/api/document?collection=cases-ca&amp;id=urn:contentItem:5F7T-S7G1-F5KY-B1R6-00000-00&amp;context=" TargetMode="External" /><Relationship Id="rId821" Type="http://schemas.openxmlformats.org/officeDocument/2006/relationships/hyperlink" Target="https://advance.lexis.com/api/document?collection=cases-ca&amp;id=urn:contentItem:5F7T-S741-F7VM-S34D-00000-00&amp;context=" TargetMode="External" /><Relationship Id="rId822" Type="http://schemas.openxmlformats.org/officeDocument/2006/relationships/hyperlink" Target="https://advance.lexis.com/api/document?collection=cases-ca&amp;id=urn:contentItem:5F7T-S751-JX3N-B182-00000-00&amp;context=" TargetMode="External" /><Relationship Id="rId823" Type="http://schemas.openxmlformats.org/officeDocument/2006/relationships/hyperlink" Target="https://advance.lexis.com/api/document?collection=cases-ca&amp;id=urn:contentItem:5F7T-S7H1-JCRC-B0XG-00000-00&amp;context=" TargetMode="External" /><Relationship Id="rId824" Type="http://schemas.openxmlformats.org/officeDocument/2006/relationships/hyperlink" Target="https://advance.lexis.com/api/document?collection=cases-ca&amp;id=urn:contentItem:5F7T-S7F1-F7VM-S43Y-00000-00&amp;context=" TargetMode="External" /><Relationship Id="rId825" Type="http://schemas.openxmlformats.org/officeDocument/2006/relationships/hyperlink" Target="https://advance.lexis.com/api/document?collection=cases-ca&amp;id=urn:contentItem:5F7T-S7J1-JNS1-M20W-00000-00&amp;context=" TargetMode="External" /><Relationship Id="rId826" Type="http://schemas.openxmlformats.org/officeDocument/2006/relationships/header" Target="header115.xml" /><Relationship Id="rId827" Type="http://schemas.openxmlformats.org/officeDocument/2006/relationships/header" Target="header116.xml" /><Relationship Id="rId828" Type="http://schemas.openxmlformats.org/officeDocument/2006/relationships/footer" Target="footer115.xml" /><Relationship Id="rId829" Type="http://schemas.openxmlformats.org/officeDocument/2006/relationships/footer" Target="footer116.xml" /><Relationship Id="rId83" Type="http://schemas.openxmlformats.org/officeDocument/2006/relationships/hyperlink" Target="https://advance.lexis.com/api/document?collection=cases-ca&amp;id=urn:contentItem:5F7T-S771-JW5H-X243-00000-00&amp;context=" TargetMode="External" /><Relationship Id="rId830" Type="http://schemas.openxmlformats.org/officeDocument/2006/relationships/header" Target="header117.xml" /><Relationship Id="rId831" Type="http://schemas.openxmlformats.org/officeDocument/2006/relationships/footer" Target="footer117.xml" /><Relationship Id="rId832" Type="http://schemas.openxmlformats.org/officeDocument/2006/relationships/hyperlink" Target="https://advance.lexis.com/api/document?collection=cases-ca&amp;id=urn:contentItem:5F7T-S7F1-JX3N-B1MP-00000-00&amp;context=" TargetMode="External" /><Relationship Id="rId833" Type="http://schemas.openxmlformats.org/officeDocument/2006/relationships/hyperlink" Target="https://advance.lexis.com/api/document?collection=cases-ca&amp;id=urn:contentItem:5F7T-S7C1-JXG3-X02D-00000-00&amp;context=" TargetMode="External" /><Relationship Id="rId834" Type="http://schemas.openxmlformats.org/officeDocument/2006/relationships/hyperlink" Target="https://advance.lexis.com/api/document?collection=cases-ca&amp;id=urn:contentItem:5F7T-S781-F7G6-63JF-00000-00&amp;context=" TargetMode="External" /><Relationship Id="rId835" Type="http://schemas.openxmlformats.org/officeDocument/2006/relationships/hyperlink" Target="https://advance.lexis.com/api/document?collection=cases-ca&amp;id=urn:contentItem:5F7T-S7D1-JS5Y-B28X-00000-00&amp;context=" TargetMode="External" /><Relationship Id="rId836" Type="http://schemas.openxmlformats.org/officeDocument/2006/relationships/hyperlink" Target="https://advance.lexis.com/api/document?collection=cases-ca&amp;id=urn:contentItem:5F7T-S7C1-F4NT-X329-00000-00&amp;context=" TargetMode="External" /><Relationship Id="rId837" Type="http://schemas.openxmlformats.org/officeDocument/2006/relationships/hyperlink" Target="https://advance.lexis.com/api/document?collection=cases-ca&amp;id=urn:contentItem:5F7T-S7D1-FFFC-B141-00000-00&amp;context=" TargetMode="External" /><Relationship Id="rId838" Type="http://schemas.openxmlformats.org/officeDocument/2006/relationships/hyperlink" Target="https://advance.lexis.com/api/document?collection=cases-ca&amp;id=urn:contentItem:5F7T-S7D1-FFFC-B16V-00000-00&amp;context=" TargetMode="External" /><Relationship Id="rId839" Type="http://schemas.openxmlformats.org/officeDocument/2006/relationships/hyperlink" Target="https://advance.lexis.com/api/document?collection=cases-ca&amp;id=urn:contentItem:5F7T-S7F1-FFFC-B220-00000-00&amp;context=" TargetMode="External" /><Relationship Id="rId84" Type="http://schemas.openxmlformats.org/officeDocument/2006/relationships/hyperlink" Target="https://advance.lexis.com/api/document?collection=cases-ca&amp;id=urn:contentItem:5F7T-S7H1-JFSV-G2PB-00000-00&amp;context=" TargetMode="External" /><Relationship Id="rId840" Type="http://schemas.openxmlformats.org/officeDocument/2006/relationships/hyperlink" Target="https://advance.lexis.com/api/document?collection=cases-ca&amp;id=urn:contentItem:5F7T-S7F1-FFFC-B221-00000-00&amp;context=" TargetMode="External" /><Relationship Id="rId841" Type="http://schemas.openxmlformats.org/officeDocument/2006/relationships/hyperlink" Target="https://advance.lexis.com/api/document?collection=cases-ca&amp;id=urn:contentItem:5F7T-S7B1-F7ND-G565-00000-00&amp;context=" TargetMode="External" /><Relationship Id="rId842" Type="http://schemas.openxmlformats.org/officeDocument/2006/relationships/header" Target="header118.xml" /><Relationship Id="rId843" Type="http://schemas.openxmlformats.org/officeDocument/2006/relationships/header" Target="header119.xml" /><Relationship Id="rId844" Type="http://schemas.openxmlformats.org/officeDocument/2006/relationships/footer" Target="footer118.xml" /><Relationship Id="rId845" Type="http://schemas.openxmlformats.org/officeDocument/2006/relationships/footer" Target="footer119.xml" /><Relationship Id="rId846" Type="http://schemas.openxmlformats.org/officeDocument/2006/relationships/header" Target="header120.xml" /><Relationship Id="rId847" Type="http://schemas.openxmlformats.org/officeDocument/2006/relationships/footer" Target="footer120.xml" /><Relationship Id="rId848" Type="http://schemas.openxmlformats.org/officeDocument/2006/relationships/hyperlink" Target="https://advance.lexis.com/api/document?collection=cases-ca&amp;id=urn:contentItem:5F7T-S7H1-JCRC-B130-00000-00&amp;context=" TargetMode="External" /><Relationship Id="rId849" Type="http://schemas.openxmlformats.org/officeDocument/2006/relationships/hyperlink" Target="https://advance.lexis.com/api/document?collection=legislation-ca&amp;id=urn:contentItem:5F41-1FM1-F4W2-61HV-00000-00&amp;context=" TargetMode="External" /><Relationship Id="rId85" Type="http://schemas.openxmlformats.org/officeDocument/2006/relationships/hyperlink" Target="https://advance.lexis.com/api/document?collection=cases-ca&amp;id=urn:contentItem:5F7T-S7G1-JN6B-S1CB-00000-00&amp;context=" TargetMode="External" /><Relationship Id="rId850" Type="http://schemas.openxmlformats.org/officeDocument/2006/relationships/hyperlink" Target="https://advance.lexis.com/api/document?collection=cases-ca&amp;id=urn:contentItem:5F8T-N3V1-FC1F-M44G-00000-00&amp;context=" TargetMode="External" /><Relationship Id="rId851" Type="http://schemas.openxmlformats.org/officeDocument/2006/relationships/hyperlink" Target="https://advance.lexis.com/api/document?collection=cases-ca&amp;id=urn:contentItem:5F8T-N3V1-JTGH-B1BH-00000-00&amp;context=" TargetMode="External" /><Relationship Id="rId852" Type="http://schemas.openxmlformats.org/officeDocument/2006/relationships/hyperlink" Target="https://advance.lexis.com/api/document?collection=cases-ca&amp;id=urn:contentItem:5F8T-N3V1-JFKM-60B1-00000-00&amp;context=" TargetMode="External" /><Relationship Id="rId853" Type="http://schemas.openxmlformats.org/officeDocument/2006/relationships/hyperlink" Target="https://advance.lexis.com/api/document?collection=cases-ca&amp;id=urn:contentItem:5F8T-N3V1-FC1F-M42R-00000-00&amp;context=" TargetMode="External" /><Relationship Id="rId854" Type="http://schemas.openxmlformats.org/officeDocument/2006/relationships/hyperlink" Target="https://advance.lexis.com/api/document?collection=cases-ca&amp;id=urn:contentItem:5F8T-N3V1-FC1F-M4FX-00000-00&amp;context=" TargetMode="External" /><Relationship Id="rId855" Type="http://schemas.openxmlformats.org/officeDocument/2006/relationships/hyperlink" Target="https://advance.lexis.com/api/document?collection=cases-ca&amp;id=urn:contentItem:5F7T-S771-F2TK-2316-00000-00&amp;context=" TargetMode="External" /><Relationship Id="rId856" Type="http://schemas.openxmlformats.org/officeDocument/2006/relationships/hyperlink" Target="https://advance.lexis.com/api/document?collection=cases-ca&amp;id=urn:contentItem:5F7T-S781-FH4C-X2S1-00000-00&amp;context=" TargetMode="External" /><Relationship Id="rId857" Type="http://schemas.openxmlformats.org/officeDocument/2006/relationships/hyperlink" Target="https://advance.lexis.com/api/document?collection=cases-ca&amp;id=urn:contentItem:5F7T-S731-FFFC-B0JJ-00000-00&amp;context=" TargetMode="External" /><Relationship Id="rId858" Type="http://schemas.openxmlformats.org/officeDocument/2006/relationships/hyperlink" Target="https://advance.lexis.com/api/document?collection=cases-ca&amp;id=urn:contentItem:5F81-VJV1-JSC5-M17M-00000-00&amp;context=" TargetMode="External" /><Relationship Id="rId859" Type="http://schemas.openxmlformats.org/officeDocument/2006/relationships/hyperlink" Target="https://advance.lexis.com/api/document?collection=cases-ca&amp;id=urn:contentItem:5F7T-S7F1-JX3N-B1FH-00000-00&amp;context=" TargetMode="External" /><Relationship Id="rId86" Type="http://schemas.openxmlformats.org/officeDocument/2006/relationships/hyperlink" Target="https://advance.lexis.com/api/document?collection=cases-ca&amp;id=urn:contentItem:5GCC-XVB1-FK0M-S528-00000-00&amp;context=" TargetMode="External" /><Relationship Id="rId860" Type="http://schemas.openxmlformats.org/officeDocument/2006/relationships/hyperlink" Target="https://advance.lexis.com/api/document?collection=cases-ca&amp;id=urn:contentItem:5F8T-N3V1-JTGH-B0YX-00000-00&amp;context=" TargetMode="External" /><Relationship Id="rId861" Type="http://schemas.openxmlformats.org/officeDocument/2006/relationships/hyperlink" Target="https://advance.lexis.com/api/document?collection=cases-ca&amp;id=urn:contentItem:5F7T-S781-F27X-61BF-00000-00&amp;context=" TargetMode="External" /><Relationship Id="rId862" Type="http://schemas.openxmlformats.org/officeDocument/2006/relationships/header" Target="header121.xml" /><Relationship Id="rId863" Type="http://schemas.openxmlformats.org/officeDocument/2006/relationships/header" Target="header122.xml" /><Relationship Id="rId864" Type="http://schemas.openxmlformats.org/officeDocument/2006/relationships/footer" Target="footer121.xml" /><Relationship Id="rId865" Type="http://schemas.openxmlformats.org/officeDocument/2006/relationships/footer" Target="footer122.xml" /><Relationship Id="rId866" Type="http://schemas.openxmlformats.org/officeDocument/2006/relationships/header" Target="header123.xml" /><Relationship Id="rId867" Type="http://schemas.openxmlformats.org/officeDocument/2006/relationships/footer" Target="footer123.xml" /><Relationship Id="rId868" Type="http://schemas.openxmlformats.org/officeDocument/2006/relationships/hyperlink" Target="https://advance.lexis.com/api/document?collection=cases-ca&amp;id=urn:contentItem:5F7T-S7F1-F7VM-S3V3-00000-00&amp;context=" TargetMode="External" /><Relationship Id="rId869" Type="http://schemas.openxmlformats.org/officeDocument/2006/relationships/hyperlink" Target="https://advance.lexis.com/api/document?collection=cases-ca&amp;id=urn:contentItem:5F7T-S6T1-F361-M02B-00000-00&amp;context=" TargetMode="External" /><Relationship Id="rId87" Type="http://schemas.openxmlformats.org/officeDocument/2006/relationships/header" Target="header16.xml" /><Relationship Id="rId870" Type="http://schemas.openxmlformats.org/officeDocument/2006/relationships/hyperlink" Target="https://advance.lexis.com/api/document?collection=cases-ca&amp;id=urn:contentItem:5F7T-S7B1-JSRM-6046-00000-00&amp;context=" TargetMode="External" /><Relationship Id="rId871" Type="http://schemas.openxmlformats.org/officeDocument/2006/relationships/hyperlink" Target="https://advance.lexis.com/api/document?collection=cases-ca&amp;id=urn:contentItem:5F8T-N3V1-FC1F-M48G-00000-00&amp;context=" TargetMode="External" /><Relationship Id="rId872" Type="http://schemas.openxmlformats.org/officeDocument/2006/relationships/hyperlink" Target="https://advance.lexis.com/api/document?collection=cases-ca&amp;id=urn:contentItem:5F7T-S7H1-JG02-S3J2-00000-00&amp;context=" TargetMode="External" /><Relationship Id="rId873" Type="http://schemas.openxmlformats.org/officeDocument/2006/relationships/hyperlink" Target="https://advance.lexis.com/api/document?collection=cases-ca&amp;id=urn:contentItem:5F81-VJV1-JSC5-M142-00000-00&amp;context=" TargetMode="External" /><Relationship Id="rId874" Type="http://schemas.openxmlformats.org/officeDocument/2006/relationships/hyperlink" Target="https://advance.lexis.com/api/document?collection=cases-ca&amp;id=urn:contentItem:5F81-VJV1-JBM1-M4GJ-00000-00&amp;context=" TargetMode="External" /><Relationship Id="rId875" Type="http://schemas.openxmlformats.org/officeDocument/2006/relationships/hyperlink" Target="https://advance.lexis.com/api/document?collection=cases-ca&amp;id=urn:contentItem:5F7T-S761-JX8W-M2VH-00000-00&amp;context=" TargetMode="External" /><Relationship Id="rId876" Type="http://schemas.openxmlformats.org/officeDocument/2006/relationships/hyperlink" Target="https://advance.lexis.com/api/document?collection=cases-ca&amp;id=urn:contentItem:5F81-VJT1-FD4T-B2FR-00000-00&amp;context=" TargetMode="External" /><Relationship Id="rId877" Type="http://schemas.openxmlformats.org/officeDocument/2006/relationships/hyperlink" Target="https://advance.lexis.com/api/document?collection=cases-ca&amp;id=urn:contentItem:5F7T-S6W1-FBFS-S157-00000-00&amp;context=" TargetMode="External" /><Relationship Id="rId878" Type="http://schemas.openxmlformats.org/officeDocument/2006/relationships/hyperlink" Target="https://advance.lexis.com/api/document?collection=cases-ca&amp;id=urn:contentItem:5F7T-S6X1-FBN1-20SM-00000-00&amp;context=" TargetMode="External" /><Relationship Id="rId879" Type="http://schemas.openxmlformats.org/officeDocument/2006/relationships/header" Target="header124.xml" /><Relationship Id="rId88" Type="http://schemas.openxmlformats.org/officeDocument/2006/relationships/header" Target="header17.xml" /><Relationship Id="rId880" Type="http://schemas.openxmlformats.org/officeDocument/2006/relationships/header" Target="header125.xml" /><Relationship Id="rId881" Type="http://schemas.openxmlformats.org/officeDocument/2006/relationships/footer" Target="footer124.xml" /><Relationship Id="rId882" Type="http://schemas.openxmlformats.org/officeDocument/2006/relationships/footer" Target="footer125.xml" /><Relationship Id="rId883" Type="http://schemas.openxmlformats.org/officeDocument/2006/relationships/header" Target="header126.xml" /><Relationship Id="rId884" Type="http://schemas.openxmlformats.org/officeDocument/2006/relationships/footer" Target="footer126.xml" /><Relationship Id="rId885" Type="http://schemas.openxmlformats.org/officeDocument/2006/relationships/hyperlink" Target="https://advance.lexis.com/api/document?collection=cases-ca&amp;id=urn:contentItem:5F7T-S781-FH4C-X2S4-00000-00&amp;context=" TargetMode="External" /><Relationship Id="rId886" Type="http://schemas.openxmlformats.org/officeDocument/2006/relationships/hyperlink" Target="https://advance.lexis.com/api/document?collection=cases-ca&amp;id=urn:contentItem:5F7T-XPV1-F4W2-6323-00000-00&amp;context=" TargetMode="External" /><Relationship Id="rId887" Type="http://schemas.openxmlformats.org/officeDocument/2006/relationships/hyperlink" Target="https://advance.lexis.com/api/document?collection=cases-ca&amp;id=urn:contentItem:5F8W-M431-JF1Y-B4PW-00000-00&amp;context=" TargetMode="External" /><Relationship Id="rId888" Type="http://schemas.openxmlformats.org/officeDocument/2006/relationships/hyperlink" Target="https://advance.lexis.com/api/document?collection=cases-ca&amp;id=urn:contentItem:5F8P-SGB1-JBT7-X2Y1-00000-00&amp;context=" TargetMode="External" /><Relationship Id="rId889" Type="http://schemas.openxmlformats.org/officeDocument/2006/relationships/hyperlink" Target="https://advance.lexis.com/api/document?collection=cases-ca&amp;id=urn:contentItem:5F7D-YKB1-JB2B-S0CR-00000-00&amp;context=" TargetMode="External" /><Relationship Id="rId89" Type="http://schemas.openxmlformats.org/officeDocument/2006/relationships/footer" Target="footer16.xml" /><Relationship Id="rId890" Type="http://schemas.openxmlformats.org/officeDocument/2006/relationships/hyperlink" Target="https://advance.lexis.com/api/document?collection=cases-ca&amp;id=urn:contentItem:5F8W-M421-F900-G502-00000-00&amp;context=" TargetMode="External" /><Relationship Id="rId891" Type="http://schemas.openxmlformats.org/officeDocument/2006/relationships/header" Target="header127.xml" /><Relationship Id="rId892" Type="http://schemas.openxmlformats.org/officeDocument/2006/relationships/header" Target="header128.xml" /><Relationship Id="rId893" Type="http://schemas.openxmlformats.org/officeDocument/2006/relationships/footer" Target="footer127.xml" /><Relationship Id="rId894" Type="http://schemas.openxmlformats.org/officeDocument/2006/relationships/footer" Target="footer128.xml" /><Relationship Id="rId895" Type="http://schemas.openxmlformats.org/officeDocument/2006/relationships/header" Target="header129.xml" /><Relationship Id="rId896" Type="http://schemas.openxmlformats.org/officeDocument/2006/relationships/footer" Target="footer129.xml" /><Relationship Id="rId897" Type="http://schemas.openxmlformats.org/officeDocument/2006/relationships/hyperlink" Target="https://advance.lexis.com/api/document?collection=cases-ca&amp;id=urn:contentItem:5F7T-S7P1-JNJT-B2D4-00000-00&amp;context=" TargetMode="External" /><Relationship Id="rId898" Type="http://schemas.openxmlformats.org/officeDocument/2006/relationships/hyperlink" Target="https://advance.lexis.com/api/document?collection=legislation-ca&amp;id=urn:contentItem:5TBM-3RK1-JB2B-S0WH-00000-00&amp;context=" TargetMode="External" /><Relationship Id="rId899" Type="http://schemas.openxmlformats.org/officeDocument/2006/relationships/hyperlink" Target="https://advance.lexis.com/api/document?collection=cases-ca&amp;id=urn:contentItem:5F7T-S7N1-JC5P-G2CJ-00000-00&amp;context=" TargetMode="External" /><Relationship Id="rId9" Type="http://schemas.openxmlformats.org/officeDocument/2006/relationships/footer" Target="footer3.xml" /><Relationship Id="rId90" Type="http://schemas.openxmlformats.org/officeDocument/2006/relationships/footer" Target="footer17.xml" /><Relationship Id="rId900" Type="http://schemas.openxmlformats.org/officeDocument/2006/relationships/hyperlink" Target="https://advance.lexis.com/api/document?collection=cases-ca&amp;id=urn:contentItem:5F7T-S7D1-JN6B-S174-00000-00&amp;context=" TargetMode="External" /><Relationship Id="rId901" Type="http://schemas.openxmlformats.org/officeDocument/2006/relationships/hyperlink" Target="https://advance.lexis.com/api/document?collection=cases-ca&amp;id=urn:contentItem:5F7T-S761-FFMK-M0YJ-00000-00&amp;context=" TargetMode="External" /><Relationship Id="rId902" Type="http://schemas.openxmlformats.org/officeDocument/2006/relationships/hyperlink" Target="https://advance.lexis.com/api/document?collection=cases-ca&amp;id=urn:contentItem:5F7T-S771-F2TK-22T7-00000-00&amp;context=" TargetMode="External" /><Relationship Id="rId903" Type="http://schemas.openxmlformats.org/officeDocument/2006/relationships/hyperlink" Target="https://advance.lexis.com/api/document?collection=cases-ca&amp;id=urn:contentItem:5F8T-N3V1-FC1F-M486-00000-00&amp;context=" TargetMode="External" /><Relationship Id="rId904" Type="http://schemas.openxmlformats.org/officeDocument/2006/relationships/hyperlink" Target="https://advance.lexis.com/api/document?collection=cases-ca&amp;id=urn:contentItem:5F7T-S7M1-JFSV-G3KM-00000-00&amp;context=" TargetMode="External" /><Relationship Id="rId905" Type="http://schemas.openxmlformats.org/officeDocument/2006/relationships/hyperlink" Target="https://advance.lexis.com/api/document?collection=cases-ca&amp;id=urn:contentItem:5F7T-S7K1-JX3N-B2RP-00000-00&amp;context=" TargetMode="External" /><Relationship Id="rId906" Type="http://schemas.openxmlformats.org/officeDocument/2006/relationships/hyperlink" Target="https://advance.lexis.com/api/document?collection=cases-ca&amp;id=urn:contentItem:5F7T-S7C1-F7VM-S38W-00000-00&amp;context=" TargetMode="External" /><Relationship Id="rId907" Type="http://schemas.openxmlformats.org/officeDocument/2006/relationships/hyperlink" Target="https://advance.lexis.com/api/document?collection=cases-ca&amp;id=urn:contentItem:5F7T-S7D1-JN6B-S0X4-00000-00&amp;context=" TargetMode="External" /><Relationship Id="rId908" Type="http://schemas.openxmlformats.org/officeDocument/2006/relationships/hyperlink" Target="https://advance.lexis.com/api/document?collection=cases-ca&amp;id=urn:contentItem:5F7T-S761-JS5Y-B1DS-00000-00&amp;context=" TargetMode="External" /><Relationship Id="rId909" Type="http://schemas.openxmlformats.org/officeDocument/2006/relationships/hyperlink" Target="https://advance.lexis.com/api/document?collection=cases-ca&amp;id=urn:contentItem:5F7T-S761-JX8W-M33W-00000-00&amp;context=" TargetMode="External" /><Relationship Id="rId91" Type="http://schemas.openxmlformats.org/officeDocument/2006/relationships/header" Target="header18.xml" /><Relationship Id="rId910" Type="http://schemas.openxmlformats.org/officeDocument/2006/relationships/hyperlink" Target="https://advance.lexis.com/api/document?collection=cases-ca&amp;id=urn:contentItem:5F16-93D1-F81W-219M-00000-00&amp;context=" TargetMode="External" /><Relationship Id="rId911" Type="http://schemas.openxmlformats.org/officeDocument/2006/relationships/hyperlink" Target="https://advance.lexis.com/api/document?collection=cases-ca&amp;id=urn:contentItem:5F7T-S6Y1-JPP5-2196-00000-00&amp;context=" TargetMode="External" /><Relationship Id="rId912" Type="http://schemas.openxmlformats.org/officeDocument/2006/relationships/hyperlink" Target="https://advance.lexis.com/api/document?collection=cases-ca&amp;id=urn:contentItem:5F8T-N3V1-JFKM-6045-00000-00&amp;context=" TargetMode="External" /><Relationship Id="rId913" Type="http://schemas.openxmlformats.org/officeDocument/2006/relationships/hyperlink" Target="https://advance.lexis.com/api/document?collection=cases-ca&amp;id=urn:contentItem:5F7T-S7C1-F7ND-G04C-00000-00&amp;context=" TargetMode="External" /><Relationship Id="rId914" Type="http://schemas.openxmlformats.org/officeDocument/2006/relationships/hyperlink" Target="https://advance.lexis.com/api/document?collection=cases-ca&amp;id=urn:contentItem:5F7T-S6Y1-DY33-B036-00000-00&amp;context=" TargetMode="External" /><Relationship Id="rId915" Type="http://schemas.openxmlformats.org/officeDocument/2006/relationships/hyperlink" Target="https://advance.lexis.com/api/document?collection=cases-ca&amp;id=urn:contentItem:5F7T-S7J1-DXWW-24VW-00000-00&amp;context=" TargetMode="External" /><Relationship Id="rId916" Type="http://schemas.openxmlformats.org/officeDocument/2006/relationships/hyperlink" Target="https://advance.lexis.com/api/document?collection=cases-ca&amp;id=urn:contentItem:5F7T-S7G1-JN6B-S1BS-00000-00&amp;context=" TargetMode="External" /><Relationship Id="rId917" Type="http://schemas.openxmlformats.org/officeDocument/2006/relationships/hyperlink" Target="https://advance.lexis.com/api/document?collection=cases-ca&amp;id=urn:contentItem:5F8P-SGC1-JG02-S2G9-00000-00&amp;context=" TargetMode="External" /><Relationship Id="rId918" Type="http://schemas.openxmlformats.org/officeDocument/2006/relationships/hyperlink" Target="https://advance.lexis.com/api/document?collection=cases-ca&amp;id=urn:contentItem:5F7T-S7D1-JS5Y-B21X-00000-00&amp;context=" TargetMode="External" /><Relationship Id="rId919" Type="http://schemas.openxmlformats.org/officeDocument/2006/relationships/hyperlink" Target="https://advance.lexis.com/api/document?collection=cases-ca&amp;id=urn:contentItem:5F81-VJX1-F22N-X24J-00000-00&amp;context=" TargetMode="External" /><Relationship Id="rId92" Type="http://schemas.openxmlformats.org/officeDocument/2006/relationships/footer" Target="footer18.xml" /><Relationship Id="rId920" Type="http://schemas.openxmlformats.org/officeDocument/2006/relationships/hyperlink" Target="https://advance.lexis.com/api/document?collection=cases-ca&amp;id=urn:contentItem:5F7T-S791-FJTD-G30J-00000-00&amp;context=" TargetMode="External" /><Relationship Id="rId921" Type="http://schemas.openxmlformats.org/officeDocument/2006/relationships/hyperlink" Target="https://advance.lexis.com/api/document?collection=cases-ca&amp;id=urn:contentItem:5F7T-S7N1-JC5P-G21B-00000-00&amp;context=" TargetMode="External" /><Relationship Id="rId922" Type="http://schemas.openxmlformats.org/officeDocument/2006/relationships/header" Target="header130.xml" /><Relationship Id="rId923" Type="http://schemas.openxmlformats.org/officeDocument/2006/relationships/header" Target="header131.xml" /><Relationship Id="rId924" Type="http://schemas.openxmlformats.org/officeDocument/2006/relationships/footer" Target="footer130.xml" /><Relationship Id="rId925" Type="http://schemas.openxmlformats.org/officeDocument/2006/relationships/footer" Target="footer131.xml" /><Relationship Id="rId926" Type="http://schemas.openxmlformats.org/officeDocument/2006/relationships/header" Target="header132.xml" /><Relationship Id="rId927" Type="http://schemas.openxmlformats.org/officeDocument/2006/relationships/footer" Target="footer132.xml" /><Relationship Id="rId928" Type="http://schemas.openxmlformats.org/officeDocument/2006/relationships/hyperlink" Target="https://advance.lexis.com/api/document?collection=cases-ca&amp;id=urn:contentItem:5F7T-S751-FJDY-X3N2-00000-00&amp;context=" TargetMode="External" /><Relationship Id="rId929" Type="http://schemas.openxmlformats.org/officeDocument/2006/relationships/hyperlink" Target="https://advance.lexis.com/api/document?collection=cases-ca&amp;id=urn:contentItem:5F7T-S6Y1-F65M-6050-00000-00&amp;context=" TargetMode="External" /><Relationship Id="rId93" Type="http://schemas.openxmlformats.org/officeDocument/2006/relationships/hyperlink" Target="https://advance.lexis.com/api/document?collection=cases-ca&amp;id=urn:contentItem:5WGX-PPS1-JCRC-B0XF-00000-00&amp;context=" TargetMode="External" /><Relationship Id="rId930" Type="http://schemas.openxmlformats.org/officeDocument/2006/relationships/hyperlink" Target="https://advance.lexis.com/api/document?collection=cases-ca&amp;id=urn:contentItem:5F8T-N3V1-FC1F-M3WJ-00000-00&amp;context=" TargetMode="External" /><Relationship Id="rId931" Type="http://schemas.openxmlformats.org/officeDocument/2006/relationships/hyperlink" Target="https://advance.lexis.com/api/document?collection=cases-ca&amp;id=urn:contentItem:5F7T-S6Y1-JP9P-G1F0-00000-00&amp;context=" TargetMode="External" /><Relationship Id="rId932" Type="http://schemas.openxmlformats.org/officeDocument/2006/relationships/header" Target="header133.xml" /><Relationship Id="rId933" Type="http://schemas.openxmlformats.org/officeDocument/2006/relationships/header" Target="header134.xml" /><Relationship Id="rId934" Type="http://schemas.openxmlformats.org/officeDocument/2006/relationships/footer" Target="footer133.xml" /><Relationship Id="rId935" Type="http://schemas.openxmlformats.org/officeDocument/2006/relationships/footer" Target="footer134.xml" /><Relationship Id="rId936" Type="http://schemas.openxmlformats.org/officeDocument/2006/relationships/header" Target="header135.xml" /><Relationship Id="rId937" Type="http://schemas.openxmlformats.org/officeDocument/2006/relationships/footer" Target="footer135.xml" /><Relationship Id="rId938" Type="http://schemas.openxmlformats.org/officeDocument/2006/relationships/hyperlink" Target="https://advance.lexis.com/api/document?collection=cases-ca&amp;id=urn:contentItem:5F7T-S7C1-JSRM-60P3-00000-00&amp;context=" TargetMode="External" /><Relationship Id="rId939" Type="http://schemas.openxmlformats.org/officeDocument/2006/relationships/hyperlink" Target="https://advance.lexis.com/api/document?collection=cases-ca&amp;id=urn:contentItem:5F7T-S761-JX8W-M2W3-00000-00&amp;context=" TargetMode="External" /><Relationship Id="rId94" Type="http://schemas.openxmlformats.org/officeDocument/2006/relationships/hyperlink" Target="https://advance.lexis.com/api/document?collection=legislation-ca&amp;id=urn:contentItem:5GBY-CM31-JYYX-633H-00000-00&amp;context=" TargetMode="External" /><Relationship Id="rId940" Type="http://schemas.openxmlformats.org/officeDocument/2006/relationships/hyperlink" Target="https://advance.lexis.com/api/document?collection=cases-ca&amp;id=urn:contentItem:5F7T-S6Y1-FJDY-X22Y-00000-00&amp;context=" TargetMode="External" /><Relationship Id="rId941" Type="http://schemas.openxmlformats.org/officeDocument/2006/relationships/hyperlink" Target="https://advance.lexis.com/api/document?collection=cases-ca&amp;id=urn:contentItem:5F8N-K6Y1-JB2B-S04P-00000-00&amp;context=" TargetMode="External" /><Relationship Id="rId942" Type="http://schemas.openxmlformats.org/officeDocument/2006/relationships/hyperlink" Target="https://advance.lexis.com/api/document?collection=cases-ca&amp;id=urn:contentItem:5F7T-S751-JCJ5-24TC-00000-00&amp;context=" TargetMode="External" /><Relationship Id="rId943" Type="http://schemas.openxmlformats.org/officeDocument/2006/relationships/hyperlink" Target="https://advance.lexis.com/api/document?collection=cases-ca&amp;id=urn:contentItem:5F7T-S771-JSJC-X01B-00000-00&amp;context=" TargetMode="External" /><Relationship Id="rId944" Type="http://schemas.openxmlformats.org/officeDocument/2006/relationships/hyperlink" Target="https://advance.lexis.com/api/document?collection=cases-ca&amp;id=urn:contentItem:5F7T-S771-JSJC-X057-00000-00&amp;context=" TargetMode="External" /><Relationship Id="rId945" Type="http://schemas.openxmlformats.org/officeDocument/2006/relationships/header" Target="header136.xml" /><Relationship Id="rId946" Type="http://schemas.openxmlformats.org/officeDocument/2006/relationships/header" Target="header137.xml" /><Relationship Id="rId947" Type="http://schemas.openxmlformats.org/officeDocument/2006/relationships/footer" Target="footer136.xml" /><Relationship Id="rId948" Type="http://schemas.openxmlformats.org/officeDocument/2006/relationships/footer" Target="footer137.xml" /><Relationship Id="rId949" Type="http://schemas.openxmlformats.org/officeDocument/2006/relationships/header" Target="header138.xml" /><Relationship Id="rId95" Type="http://schemas.openxmlformats.org/officeDocument/2006/relationships/hyperlink" Target="https://advance.lexis.com/api/document?collection=cases-ca&amp;id=urn:contentItem:5F7T-S7K1-JX3N-B2V4-00000-00&amp;context=" TargetMode="External" /><Relationship Id="rId950" Type="http://schemas.openxmlformats.org/officeDocument/2006/relationships/footer" Target="footer138.xml" /><Relationship Id="rId951" Type="http://schemas.openxmlformats.org/officeDocument/2006/relationships/hyperlink" Target="https://advance.lexis.com/api/document?collection=cases-ca&amp;id=urn:contentItem:5J4V-Y9D1-DXPM-S4NB-00000-00&amp;context=" TargetMode="External" /><Relationship Id="rId952" Type="http://schemas.openxmlformats.org/officeDocument/2006/relationships/hyperlink" Target="https://advance.lexis.com/api/document?collection=cases-ca&amp;id=urn:contentItem:5F8T-N3V1-JTGH-B1J4-00000-00&amp;context=" TargetMode="External" /><Relationship Id="rId953" Type="http://schemas.openxmlformats.org/officeDocument/2006/relationships/hyperlink" Target="https://advance.lexis.com/api/document?collection=cases-ca&amp;id=urn:contentItem:5F7T-S741-DY89-M3GX-00000-00&amp;context=" TargetMode="External" /><Relationship Id="rId954" Type="http://schemas.openxmlformats.org/officeDocument/2006/relationships/hyperlink" Target="https://advance.lexis.com/api/document?collection=cases-ca&amp;id=urn:contentItem:5F8T-N3V1-FC1F-M48M-00000-00&amp;context=" TargetMode="External" /><Relationship Id="rId955" Type="http://schemas.openxmlformats.org/officeDocument/2006/relationships/hyperlink" Target="https://advance.lexis.com/api/document?collection=cases-ca&amp;id=urn:contentItem:5F81-VJX1-FGY5-M3SV-00000-00&amp;context=" TargetMode="External" /><Relationship Id="rId956" Type="http://schemas.openxmlformats.org/officeDocument/2006/relationships/hyperlink" Target="https://advance.lexis.com/api/document?collection=cases-ca&amp;id=urn:contentItem:5F81-VJY1-JWBS-64HW-00000-00&amp;context=" TargetMode="External" /><Relationship Id="rId957" Type="http://schemas.openxmlformats.org/officeDocument/2006/relationships/hyperlink" Target="https://advance.lexis.com/api/document?collection=cases-ca&amp;id=urn:contentItem:5F8T-N3V1-FC1F-M44Y-00000-00&amp;context=" TargetMode="External" /><Relationship Id="rId958" Type="http://schemas.openxmlformats.org/officeDocument/2006/relationships/hyperlink" Target="https://advance.lexis.com/api/document?collection=cases-ca&amp;id=urn:contentItem:5F7T-S7D1-F7ND-G0H0-00000-00&amp;context=" TargetMode="External" /><Relationship Id="rId959" Type="http://schemas.openxmlformats.org/officeDocument/2006/relationships/header" Target="header139.xml" /><Relationship Id="rId96" Type="http://schemas.openxmlformats.org/officeDocument/2006/relationships/hyperlink" Target="https://advance.lexis.com/api/document?collection=cases-ca&amp;id=urn:contentItem:5F8T-N3P1-F7ND-G14C-00000-00&amp;context=" TargetMode="External" /><Relationship Id="rId960" Type="http://schemas.openxmlformats.org/officeDocument/2006/relationships/header" Target="header140.xml" /><Relationship Id="rId961" Type="http://schemas.openxmlformats.org/officeDocument/2006/relationships/footer" Target="footer139.xml" /><Relationship Id="rId962" Type="http://schemas.openxmlformats.org/officeDocument/2006/relationships/footer" Target="footer140.xml" /><Relationship Id="rId963" Type="http://schemas.openxmlformats.org/officeDocument/2006/relationships/header" Target="header141.xml" /><Relationship Id="rId964" Type="http://schemas.openxmlformats.org/officeDocument/2006/relationships/footer" Target="footer141.xml" /><Relationship Id="rId965" Type="http://schemas.openxmlformats.org/officeDocument/2006/relationships/hyperlink" Target="https://advance.lexis.com/api/document?collection=cases-ca&amp;id=urn:contentItem:5V14-RM31-FJTD-G0M5-00000-00&amp;context=" TargetMode="External" /><Relationship Id="rId966" Type="http://schemas.openxmlformats.org/officeDocument/2006/relationships/hyperlink" Target="https://advance.lexis.com/api/document?collection=legislation-ca&amp;id=urn:contentItem:5F41-1FH1-F361-M0F2-00000-00&amp;context=" TargetMode="External" /><Relationship Id="rId967" Type="http://schemas.openxmlformats.org/officeDocument/2006/relationships/hyperlink" Target="https://advance.lexis.com/api/document?collection=cases-ca&amp;id=urn:contentItem:5F7T-S7N1-JJ1H-X2P6-00000-00&amp;context=" TargetMode="External" /><Relationship Id="rId968" Type="http://schemas.openxmlformats.org/officeDocument/2006/relationships/hyperlink" Target="https://advance.lexis.com/api/document?collection=cases-ca&amp;id=urn:contentItem:5F7T-S7K1-JWXF-20XW-00000-00&amp;context=" TargetMode="External" /><Relationship Id="rId969" Type="http://schemas.openxmlformats.org/officeDocument/2006/relationships/hyperlink" Target="https://advance.lexis.com/api/document?collection=cases-ca&amp;id=urn:contentItem:5F7T-S7K1-JNY7-X493-00000-00&amp;context=" TargetMode="External" /><Relationship Id="rId97" Type="http://schemas.openxmlformats.org/officeDocument/2006/relationships/hyperlink" Target="https://advance.lexis.com/api/document?collection=cases-ca&amp;id=urn:contentItem:5F81-YGW1-DYFH-X025-00000-00&amp;context=" TargetMode="External" /><Relationship Id="rId970" Type="http://schemas.openxmlformats.org/officeDocument/2006/relationships/hyperlink" Target="https://advance.lexis.com/api/document?collection=cases-ca&amp;id=urn:contentItem:5F7T-S7N1-JWR6-S25K-00000-00&amp;context=" TargetMode="External" /><Relationship Id="rId971" Type="http://schemas.openxmlformats.org/officeDocument/2006/relationships/header" Target="header142.xml" /><Relationship Id="rId972" Type="http://schemas.openxmlformats.org/officeDocument/2006/relationships/header" Target="header143.xml" /><Relationship Id="rId973" Type="http://schemas.openxmlformats.org/officeDocument/2006/relationships/footer" Target="footer142.xml" /><Relationship Id="rId974" Type="http://schemas.openxmlformats.org/officeDocument/2006/relationships/footer" Target="footer143.xml" /><Relationship Id="rId975" Type="http://schemas.openxmlformats.org/officeDocument/2006/relationships/header" Target="header144.xml" /><Relationship Id="rId976" Type="http://schemas.openxmlformats.org/officeDocument/2006/relationships/footer" Target="footer144.xml" /><Relationship Id="rId977" Type="http://schemas.openxmlformats.org/officeDocument/2006/relationships/hyperlink" Target="https://advance.lexis.com/api/document?collection=cases-ca&amp;id=urn:contentItem:5F7T-S781-F900-G0PY-00000-00&amp;context=" TargetMode="External" /><Relationship Id="rId978" Type="http://schemas.openxmlformats.org/officeDocument/2006/relationships/hyperlink" Target="https://advance.lexis.com/api/document?collection=cases-ca&amp;id=urn:contentItem:5F7T-S6Y1-JTNR-M4B7-00000-00&amp;context=" TargetMode="External" /><Relationship Id="rId979" Type="http://schemas.openxmlformats.org/officeDocument/2006/relationships/hyperlink" Target="https://advance.lexis.com/api/document?collection=cases-ca&amp;id=urn:contentItem:5F7T-S721-F956-S1K9-00000-00&amp;context=" TargetMode="External" /><Relationship Id="rId98" Type="http://schemas.openxmlformats.org/officeDocument/2006/relationships/hyperlink" Target="https://advance.lexis.com/api/document?collection=cases-ca&amp;id=urn:contentItem:5F8P-SC71-JK4W-M2MK-00000-00&amp;context=" TargetMode="External" /><Relationship Id="rId980" Type="http://schemas.openxmlformats.org/officeDocument/2006/relationships/header" Target="header145.xml" /><Relationship Id="rId981" Type="http://schemas.openxmlformats.org/officeDocument/2006/relationships/header" Target="header146.xml" /><Relationship Id="rId982" Type="http://schemas.openxmlformats.org/officeDocument/2006/relationships/footer" Target="footer145.xml" /><Relationship Id="rId983" Type="http://schemas.openxmlformats.org/officeDocument/2006/relationships/footer" Target="footer146.xml" /><Relationship Id="rId984" Type="http://schemas.openxmlformats.org/officeDocument/2006/relationships/header" Target="header147.xml" /><Relationship Id="rId985" Type="http://schemas.openxmlformats.org/officeDocument/2006/relationships/footer" Target="footer147.xml" /><Relationship Id="rId986" Type="http://schemas.openxmlformats.org/officeDocument/2006/relationships/hyperlink" Target="https://advance.lexis.com/api/document?collection=cases-ca&amp;id=urn:contentItem:5F7T-S771-JWBS-61G3-00000-00&amp;context=" TargetMode="External" /><Relationship Id="rId987" Type="http://schemas.openxmlformats.org/officeDocument/2006/relationships/hyperlink" Target="https://advance.lexis.com/api/document?collection=cases-ca&amp;id=urn:contentItem:5F7T-S711-F5KY-B14K-00000-00&amp;context=" TargetMode="External" /><Relationship Id="rId988" Type="http://schemas.openxmlformats.org/officeDocument/2006/relationships/hyperlink" Target="https://advance.lexis.com/api/document?collection=cases-ca&amp;id=urn:contentItem:5F7T-S751-JNS1-M1X6-00000-00&amp;context=" TargetMode="External" /><Relationship Id="rId989" Type="http://schemas.openxmlformats.org/officeDocument/2006/relationships/hyperlink" Target="https://advance.lexis.com/api/document?collection=cases-ca&amp;id=urn:contentItem:5F7T-S721-F5T5-M2FN-00000-00&amp;context=" TargetMode="External" /><Relationship Id="rId99" Type="http://schemas.openxmlformats.org/officeDocument/2006/relationships/hyperlink" Target="https://advance.lexis.com/api/document?collection=cases-ca&amp;id=urn:contentItem:5F7T-S7G1-JBT7-X40C-00000-00&amp;context=" TargetMode="External" /><Relationship Id="rId990" Type="http://schemas.openxmlformats.org/officeDocument/2006/relationships/hyperlink" Target="https://advance.lexis.com/api/document?collection=cases-ca&amp;id=urn:contentItem:5F7T-S701-JK4W-M11D-00000-00&amp;context=" TargetMode="External" /><Relationship Id="rId991" Type="http://schemas.openxmlformats.org/officeDocument/2006/relationships/header" Target="header148.xml" /><Relationship Id="rId992" Type="http://schemas.openxmlformats.org/officeDocument/2006/relationships/header" Target="header149.xml" /><Relationship Id="rId993" Type="http://schemas.openxmlformats.org/officeDocument/2006/relationships/footer" Target="footer148.xml" /><Relationship Id="rId994" Type="http://schemas.openxmlformats.org/officeDocument/2006/relationships/footer" Target="footer149.xml" /><Relationship Id="rId995" Type="http://schemas.openxmlformats.org/officeDocument/2006/relationships/header" Target="header150.xml" /><Relationship Id="rId996" Type="http://schemas.openxmlformats.org/officeDocument/2006/relationships/footer" Target="footer150.xml" /><Relationship Id="rId997" Type="http://schemas.openxmlformats.org/officeDocument/2006/relationships/hyperlink" Target="https://advance.lexis.com/api/document?collection=cases-ca&amp;id=urn:contentItem:5F7T-S7C1-FGRY-B040-00000-00&amp;context=" TargetMode="External" /><Relationship Id="rId998" Type="http://schemas.openxmlformats.org/officeDocument/2006/relationships/hyperlink" Target="https://advance.lexis.com/api/document?collection=cases-ca&amp;id=urn:contentItem:5F7V-3DK1-FCYK-23VV-00000-00&amp;context=" TargetMode="External" /><Relationship Id="rId999" Type="http://schemas.openxmlformats.org/officeDocument/2006/relationships/hyperlink" Target="https://advance.lexis.com/api/document?collection=cases-ca&amp;id=urn:contentItem:5F7T-S6Y1-F4GK-M1T6-00000-00&amp;context="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Dwyer v. Douglas Lake Cattle Co., [2003] B.C.J. No. 2222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115047178</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