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Geremia v. Nielsen Estate, [2006] B.C.J. No. 321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Vernon,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Rogers J.</w:t>
      </w:r>
    </w:p>
    <w:p>
      <w:pPr>
        <w:spacing w:before="120" w:line="260" w:lineRule="atLeast"/>
        <w:jc w:val="center"/>
        <w:rPr>
          <w:lang w:val="en-US" w:eastAsia="en-US" w:bidi="ar-SA"/>
        </w:rPr>
      </w:pPr>
      <w:r>
        <w:rPr>
          <w:rFonts w:ascii="arial" w:eastAsia="arial" w:hAnsi="arial" w:cs="arial"/>
          <w:color w:val="000000"/>
          <w:sz w:val="20"/>
          <w:lang w:val="en-US" w:eastAsia="en-US" w:bidi="ar-SA"/>
        </w:rPr>
        <w:t>Heard: February 6, 2006 (Kelowna).</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February 9, 2006.</w:t>
      </w:r>
    </w:p>
    <w:p>
      <w:pPr>
        <w:spacing w:before="120" w:line="260" w:lineRule="atLeast"/>
        <w:jc w:val="center"/>
        <w:rPr>
          <w:lang w:val="en-US" w:eastAsia="en-US" w:bidi="ar-SA"/>
        </w:rPr>
      </w:pPr>
      <w:r>
        <w:rPr>
          <w:rFonts w:ascii="arial" w:eastAsia="arial" w:hAnsi="arial" w:cs="arial"/>
          <w:color w:val="000000"/>
          <w:sz w:val="20"/>
          <w:lang w:val="en-US" w:eastAsia="en-US" w:bidi="ar-SA"/>
        </w:rPr>
        <w:t>Vernon Registry No. 33468</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[2006] B.C.J. No. 321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2006 BCSC 229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146 A.C.W.S. (3d) 662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2006 CarswellBC 344</w:t>
      </w:r>
    </w:p>
    <w:p>
      <w:pPr>
        <w:spacing w:before="120" w:line="260" w:lineRule="atLeast"/>
        <w:rPr>
          <w:lang w:val="en-US" w:eastAsia="en-US" w:bidi="ar-SA"/>
        </w:rPr>
      </w:pPr>
      <w:r>
        <w:rPr>
          <w:rFonts w:ascii="arial" w:eastAsia="arial" w:hAnsi="arial" w:cs="arial"/>
          <w:color w:val="000000"/>
          <w:sz w:val="20"/>
          <w:lang w:val="en-US" w:eastAsia="en-US" w:bidi="ar-SA"/>
        </w:rPr>
        <w:t>Between Jocelyn Geremia and Brian Geremia, plaintiffs, and David Nicholas Nielsen, Personal Representative and Administrator of the Estate of Gareth John Nielsen and the Estate of Gareth John Nielsen,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(21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25" style="position:absolute;z-index:25165824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0" w:name="Keywords"/>
      <w:bookmarkEnd w:id="0"/>
      <w:r>
        <w:rPr>
          <w:rFonts w:ascii="arial" w:eastAsia="arial" w:hAnsi="arial" w:cs="arial"/>
          <w:b/>
          <w:color w:val="000000"/>
          <w:sz w:val="20"/>
          <w:lang w:val="en-US" w:eastAsia="en-US" w:bidi="ar-SA"/>
        </w:rPr>
        <w:t>Damages — For personal injuries — Non-pecuniary damages, including pain and suffering — Damage claims by husband of accident victim, for emotional upset and for economic loss, dismissed — Emotional shock not proven — Spouse not entitled to recover purely financial losses incurred as a result of time off work to care for accident victim.</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Damages — Losses by third parties — Persons entitled to claim — Spouse — Spouse not entitled to recover purely financial losses incurred as a result of time off work to care for accident victim.</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 w:name="Case Summary"/>
            <w:bookmarkEnd w:id="1"/>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In 2001, Geremia involved in motor vehicle collision with Nielsen -- Nielsen killed -- Geremia sustained substantial orthopaedic injuries -- Geremia's husband sued Nielsen estate for damages for emotional upset, loss of income and expenses incurred because of Geremia's injuries -- Husband suffered from depression prior to Geremia's accident -- Husband did not offer evidence he suffered emotional shock after hearing of accident, presented no expert evidence about emotional trauma -- Husband claimed he lost six weeks' income caring for Geremia and couple's children following accident -- Quantified income loss at $42,000 -- Nielsen estate applied for summary judgment dismissing husband's claims -- Application allowed -- Claim for non-pecuniary loss due to emotional trauma dismissed as not supported by evidence -- Claim for financial loss dismissed because damages not recoverable by spouses of injured persons. </w:t>
            </w:r>
            <w:r>
              <w:rPr>
                <w:lang w:val="en-US" w:eastAsia="en-US" w:bidi="ar-SA"/>
              </w:rPr>
              <w:cr/>
            </w:r>
          </w:p>
          <w:p>
            <w:pPr>
              <w:rPr>
                <w:lang w:val="en-US" w:eastAsia="en-US" w:bidi="ar-SA"/>
              </w:rPr>
            </w:pPr>
          </w:p>
        </w:tc>
      </w:tr>
    </w:tbl>
    <w:p>
      <w:pPr>
        <w:jc w:val="both"/>
        <w:rPr>
          <w:lang w:val="en-US" w:eastAsia="en-US" w:bidi="ar-SA"/>
        </w:rPr>
      </w:pPr>
      <w:bookmarkStart w:id="2" w:name="Counsel"/>
      <w:bookmarkEnd w:id="2"/>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26" style="position:absolute;z-index:25166848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Plaintiffs: D.L. Stratmoen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M. Ferguson-Davie</w:t>
      </w:r>
      <w:r>
        <w:rPr>
          <w:lang w:val="en-US" w:eastAsia="en-US" w:bidi="ar-SA"/>
        </w:rPr>
        <w:cr/>
      </w:r>
    </w:p>
    <w:p>
      <w:pPr>
        <w:spacing w:after="240"/>
        <w:rPr>
          <w:lang w:val="en-US" w:eastAsia="en-US" w:bidi="ar-SA"/>
        </w:rPr>
      </w:pPr>
      <w:bookmarkStart w:id="3" w:name="Judgment"/>
      <w:bookmarkEnd w:id="3"/>
      <w:r>
        <w:pict>
          <v:line id="_x0000_s1027" style="position:absolute;z-index:251678720"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4" w:name="ROGERS J."/>
            <w:bookmarkEnd w:id="4"/>
            <w:r>
              <w:rPr>
                <w:rFonts w:ascii="arial" w:eastAsia="arial" w:hAnsi="arial" w:cs="arial"/>
                <w:b/>
                <w:color w:val="000000"/>
                <w:sz w:val="30"/>
                <w:lang w:val="en-US" w:eastAsia="en-US" w:bidi="ar-SA"/>
              </w:rPr>
              <w:t>ROGERS J.</w:t>
            </w:r>
          </w:p>
        </w:tc>
      </w:tr>
    </w:tbl>
    <w:p>
      <w:pPr>
        <w:spacing w:line="260" w:lineRule="atLeast"/>
        <w:jc w:val="both"/>
        <w:rPr>
          <w:lang w:val="en-US" w:eastAsia="en-US" w:bidi="ar-SA"/>
        </w:rPr>
      </w:pPr>
      <w:r>
        <w:rPr>
          <w:lang w:val="en-US" w:eastAsia="en-US" w:bidi="ar-SA"/>
        </w:rPr>
        <w:br/>
      </w:r>
      <w:r>
        <w:rPr>
          <w:lang w:val="en-US" w:eastAsia="en-US" w:bidi="ar-SA"/>
        </w:rPr>
        <w:br/>
      </w:r>
      <w:r>
        <w:rPr>
          <w:rFonts w:ascii="arial" w:eastAsia="arial" w:hAnsi="arial" w:cs="arial"/>
          <w:color w:val="000000"/>
          <w:sz w:val="20"/>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have applied by summary trial to dismiss the claims advanced by Dr. Geremia. Those claims are for general damages for emotional upset, loss of income, and expenses Dr. Geremia says he incurred as a consequence of injuries that the other plaintiff, his wife, suffered in a motor vehicle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summary trial concentrates on two major issues: first, whether Dr. Geremia's claim for non-pecuniary damages is founded on sufficient facts to merit an award; and, if the answer to the first issue is no, whether the doctor can claim for his pure economic loss consequent to injuries suffered by his wife. This last issue raises questions of policy and the reach of tort law to compensate those affected by an accident but not actually injured by it.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For the purpose of the summary trial the parties agree that in the evening hours on November 19, 2001 Mrs. Geremia was driving alone on Highway 1 near the Rogers Pass. The deceased defendant Nielsen was driving alone in the opposite direction. Their cars collided. The collision killed Mr. Nielsen and injured Mrs. Geremia. Although there was no formal agreement to the following, it appeared to be common ground between the parties that Mrs. Geremia sustained substantial orthopaedic injuries and was taken to a hospital at Golden, British Columbia. Her condition was stabilized there and the next day she was transferred to a hospital in Calgary, Alberta. She went to Calgary because that is where she lives with her husband Dr. Geremia and their three (then) teenaged children.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parties adduced evidence concerning the effect the accident had on Dr. Geremia. The defendants relied upon their examination for discovery of Dr. Geremia; the doctor relied on his own affidavit and an affidavit from his wife. The doctor also relied on an affidavit appending various statements and police investigation materials concerning the collision. That affidavit was not particularly germane to the application - how the accident happened, whose fault it was, and commentary on the deceased's driving that night do not bear upon whether Dr. Geremia's claims are viable. That is because he did not witness the accident, and other than observing his wife later, he makes no complaint that the circumstances of the collision itself impacted his psyche or put him to expense.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evidence at the summary trial was remarkably uncontroversial. From that evidence I am able to find that Dr. Geremia suffered a degree of depression before the collision. His depression was diagnosed by his family doctor and he was prescribed anti-depressant medication for it. I find that as a medical doctor, Dr. Geremia was able to rationally process the information he received about his wife's injuries. From the outset he had no reason to fear for her life. Dr. Geremia's affidavit was crafted after the defendants' motion to dismiss was presented - he must have known, therefore, that a key issue in the summary trial would be the genesis of any emotional upset he suffered. Despite that, his affidavit did not assert that he felt anything other than natural concern for his wife upon hearing that she was injured in the accident. He did not offer evidence to establish that he suffered a mental shock or emotional breakdown as a result of hearing the news of her injury. Neither did he depose that his wife appeared horribly disfigured when he first saw her in Calgary the next day. The most that Dr. Geremia said about his emotional condition following the accident was that he thought he was depressed after it. Dr. Geremia did not offer any expert psychiatric or psychological evidence to support his claim that he suffered emotional trauma due to the accident. Dr. Geremia did not demur on the application and ask for time to prepare expert evidence to prove his claim for non-pecuniary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Dr. Geremia testified in his discovery and averred in his affidavit that after the accident he incurred expenses caring for his wife and that he lost income because, for about six weeks after the accident, he devoted himself to looking after the children and the household (Mrs. Geremia's tasks when she was healthy) and to looking after his wife during the acute stages of her convalescence. He deposed that his income loss is at least $42,000. He seeks recovery of that sum in the main, along with various lesser, but currently unspecified, amounts for special damages.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Discussion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Recovery of Non-Pecuniary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Dr. Geremia's claim under this head of loss is usually termed a claim for nervous shock. This is a recognized and viable claim given the right evidence. But prosecuting, defending, and deciding such a case is not a perfectly straightforward exercise. As McEachern C.J. wrote in Devji v. District of Burnaby et. al., </w:t>
      </w:r>
      <w:hyperlink r:id="rId11" w:history="1">
        <w:r>
          <w:rPr>
            <w:rFonts w:ascii="arial" w:eastAsia="arial" w:hAnsi="arial" w:cs="arial"/>
            <w:i/>
            <w:color w:val="0077CC"/>
            <w:sz w:val="20"/>
            <w:u w:val="single"/>
            <w:shd w:val="clear" w:color="auto" w:fill="FFFFFF"/>
            <w:lang w:val="en-US" w:eastAsia="en-US" w:bidi="ar-SA"/>
          </w:rPr>
          <w:t>[1999] B.C.J. No. 2320</w:t>
        </w:r>
      </w:hyperlink>
      <w:r>
        <w:rPr>
          <w:rFonts w:ascii="arial" w:eastAsia="arial" w:hAnsi="arial" w:cs="arial"/>
          <w:color w:val="000000"/>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1999 BCCA 599</w:t>
        </w:r>
      </w:hyperlink>
      <w:r>
        <w:rPr>
          <w:rFonts w:ascii="arial" w:eastAsia="arial" w:hAnsi="arial" w:cs="arial"/>
          <w:color w:val="000000"/>
          <w:sz w:val="20"/>
          <w:lang w:val="en-US" w:eastAsia="en-US" w:bidi="ar-SA"/>
        </w:rPr>
        <w: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[2] Claims for damages for nervous shock (sometimes called post-traumatic stress disorder, or psychological or psychiatric illness or injury) have existed for a long time, and the law has been evolving incrementally. Such claims most commonly arise when a person who is not physically injured suffers psychiatric injury usually as a reaction to a frightening experience or to the injury or death of another person (usually a close relative) as a consequence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another person. Because the plaintiff is not physically injured, and may not even come into contact with the defendant, the psychiatric injury alleged is an extra step removed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and difficult questions of proximity and duty of care arise.</w:t>
      </w:r>
    </w:p>
    <w:p>
      <w:pPr>
        <w:spacing w:before="120" w:line="260" w:lineRule="atLeast"/>
        <w:ind w:left="720"/>
        <w:rPr>
          <w:lang w:val="en-US" w:eastAsia="en-US" w:bidi="ar-SA"/>
        </w:rPr>
      </w:pPr>
      <w:r>
        <w:rPr>
          <w:rFonts w:ascii="arial" w:eastAsia="arial" w:hAnsi="arial" w:cs="arial"/>
          <w:color w:val="000000"/>
          <w:sz w:val="20"/>
          <w:lang w:val="en-US" w:eastAsia="en-US" w:bidi="ar-SA"/>
        </w:rPr>
        <w:t>[3] As well, because psychiatric injury is difficult to prove or disprove, and because the line between physical and mental or emotional injury in a particular case may be obscure, it is often difficult to determine the cases in which liability will be imposed, and the class of persons who will be entitled to compensation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facts in Devji were compelling. The plaintiffs' daughter was killed in a traffic accident. The plaintiffs' only connection to the accident comprised their being called to the hospital to identify their daughter's body. She was not mutilated or hard to identify. The plaintiffs' reaction to their daughter's death was immediate intense grief. The trial judge dismissed the plaintiffs' claims for nervous shock on the principle that whatever emotional upset they had (the degree of which the trial judge did not assess), those claims were not foreseeable by the tort feasor because the alleged nervous shock did not arise at the scene of the accident or in the immediate aftermath of the accident. That is to say that the claim was dismissed because it was too remote, not because the plaintiffs failed to prove they suffered compensable psychiatric illness. The Court of Appeal canvassed the development of nervous shock as a head of damage. Ultimately the Court of Appeal upheld the trial judgment, saying:</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[75] The law in this province, as formulated by Rhodes, </w:t>
      </w:r>
      <w:hyperlink r:id="rId12" w:history="1">
        <w:r>
          <w:rPr>
            <w:rFonts w:ascii="arial" w:eastAsia="arial" w:hAnsi="arial" w:cs="arial"/>
            <w:i/>
            <w:color w:val="0077CC"/>
            <w:sz w:val="20"/>
            <w:u w:val="single"/>
            <w:shd w:val="clear" w:color="auto" w:fill="FFFFFF"/>
            <w:lang w:val="en-US" w:eastAsia="en-US" w:bidi="ar-SA"/>
          </w:rPr>
          <w:t>[1990] B.C.J. No. 2388</w:t>
        </w:r>
      </w:hyperlink>
      <w:r>
        <w:rPr>
          <w:rFonts w:ascii="arial" w:eastAsia="arial" w:hAnsi="arial" w:cs="arial"/>
          <w:color w:val="000000"/>
          <w:sz w:val="20"/>
          <w:lang w:val="en-US" w:eastAsia="en-US" w:bidi="ar-SA"/>
        </w:rPr>
        <w:t>, requires that the plaintiffs, in order to succeed, must experience something more than the surprise and other emotional responses that naturally follow from learning of the death of a friend or relative. Instead, there must be something more that separates actionable responses from the understandable grief, sorrow and loss that ordinarily follow the receipt of such information. In Rhodes, Taylor and Wood JJ.A. described the requisite experience as alarming and startling (and therefore sudden and unexpected), horrifying, shocking and frightening, and Southin J.A. referred to a "fright, terror or horror".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assume that the phrase in this passage "learning of the death of a friend or relative" can be replaced with "learning of and dealing with the injury of a friend or relative" without doing violence to the principle. The law is, therefore, reasonably clear: in order to recover for nervous shock, the plaintiff must show that he suffered something more than the surprise and other emotional responses that naturally follow the event. He is assumed to have the "usual fortitude" or "reasonable fortitude" (Devji, para 69) a normally robust member of society is expected to bring to bear help him resist life's hardships.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this case the evidence establishes that news of the accident alarmed Dr. Geremia, but the evidence does not establish that he was emotionally unbalanced by it. Neither did the evidence establish on the balance of probabilities that he suffered depression because of the accident. I have no difficulty finding, therefore, that the evidence falls short of proving that Dr. Geremia suffered more than a normal spouse would suffer under the same circumstances. The evidence also falls short of proving that whatever depression Dr. Geremia experienced was actually caused by the accident. Dr. Geremia's claim for non-pecuniary loss due to emotional trauma and upset must be dismissed.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Recovery of Pure Economic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If, as I have decided, Dr. Geremia has no claim for injury due to the accident, then his claim for loss of income and special damages amounts to pure economic loss. Time was, long ago, that pure economic loss was simply not recoverable. No doubt insurers and some trial judges long for those simpler days. But law has, as it is wont to do, moved 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Presently, the law in Canada is that pure economic loss may be recovered by a plaintiff who suffers it. The current high court pronouncement on the scope of recovery for pure economic loss is Canadian National Railway Co. v. Norsk Pacific Steamship Co., </w:t>
      </w:r>
      <w:hyperlink r:id="rId13" w:history="1">
        <w:r>
          <w:rPr>
            <w:rFonts w:ascii="arial" w:eastAsia="arial" w:hAnsi="arial" w:cs="arial"/>
            <w:i/>
            <w:color w:val="0077CC"/>
            <w:sz w:val="20"/>
            <w:u w:val="single"/>
            <w:shd w:val="clear" w:color="auto" w:fill="FFFFFF"/>
            <w:lang w:val="en-US" w:eastAsia="en-US" w:bidi="ar-SA"/>
          </w:rPr>
          <w:t>[1992] 1 S.C.R. 1021</w:t>
        </w:r>
      </w:hyperlink>
      <w:r>
        <w:rPr>
          <w:rFonts w:ascii="arial" w:eastAsia="arial" w:hAnsi="arial" w:cs="arial"/>
          <w:color w:val="000000"/>
          <w:sz w:val="20"/>
          <w:lang w:val="en-US" w:eastAsia="en-US" w:bidi="ar-SA"/>
        </w:rPr>
        <w:t>. There, McLachlin J.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258 In summary, it is my view that the authorities suggest that pure economic loss is prima facie recoverable where, in addition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foreseeable loss, there is sufficient proximity between the negligent act and the loss. </w:t>
      </w:r>
      <w:r>
        <w:rPr>
          <w:rFonts w:ascii="arial" w:eastAsia="arial" w:hAnsi="arial" w:cs="arial"/>
          <w:color w:val="000000"/>
          <w:sz w:val="20"/>
          <w:u w:val="single"/>
          <w:lang w:val="en-US" w:eastAsia="en-US" w:bidi="ar-SA"/>
        </w:rPr>
        <w:t>Proximity is the controlling concept which avoids the spectre of unlimited liability</w:t>
      </w:r>
      <w:r>
        <w:rPr>
          <w:rFonts w:ascii="arial" w:eastAsia="arial" w:hAnsi="arial" w:cs="arial"/>
          <w:color w:val="000000"/>
          <w:sz w:val="20"/>
          <w:lang w:val="en-US" w:eastAsia="en-US" w:bidi="ar-SA"/>
        </w:rPr>
        <w:t xml:space="preserve">. Proximity may be established by a variety of factors, depending on the nature of the case. To date, sufficient proximity has been found in the case of negligent misstatements where there is an undertaking and correlative reliance (Hedley Byrne, [1964] A.C. 165); where there is a duty to warn (Rivtow, </w:t>
      </w:r>
      <w:hyperlink r:id="rId14" w:history="1">
        <w:r>
          <w:rPr>
            <w:rFonts w:ascii="arial" w:eastAsia="arial" w:hAnsi="arial" w:cs="arial"/>
            <w:i/>
            <w:color w:val="0077CC"/>
            <w:sz w:val="20"/>
            <w:u w:val="single"/>
            <w:shd w:val="clear" w:color="auto" w:fill="FFFFFF"/>
            <w:lang w:val="en-US" w:eastAsia="en-US" w:bidi="ar-SA"/>
          </w:rPr>
          <w:t>[1974] S.C.R. 1189</w:t>
        </w:r>
      </w:hyperlink>
      <w:r>
        <w:rPr>
          <w:rFonts w:ascii="arial" w:eastAsia="arial" w:hAnsi="arial" w:cs="arial"/>
          <w:color w:val="000000"/>
          <w:sz w:val="20"/>
          <w:lang w:val="en-US" w:eastAsia="en-US" w:bidi="ar-SA"/>
        </w:rPr>
        <w:t xml:space="preserve">); and where a statute imposes a responsibility on a municipality toward the owners and occupiers of land (Kamloops, </w:t>
      </w:r>
      <w:hyperlink r:id="rId15"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But the categories are not closed. As more cases are decided, we can expect further definition on what factors give rise to liability for pure economic loss in particular categories of cases. In determining whether liability should be extended to a new situation, courts will have regard to the factors traditionally relevant to proximity such as the relationship between the parties, physical propinquity, assumed or imposed obligations and close causal connection. And they will insist on sufficient special factors to avoid the imposition of indeterminate and unreasonable liability. The result will be a principled, yet flexible, approach to tort liability for pure economic loss. It will allow recovery where recovery is justified, while excluding indeterminate and inappropriate liability, and it will permit the coherent development of the law in accordance with the approach initiated in England by Hedley Byrne and followed in Canada in Rivtow, Kamloops and Hofstrand, </w:t>
      </w:r>
      <w:hyperlink r:id="rId16" w:history="1">
        <w:r>
          <w:rPr>
            <w:rFonts w:ascii="arial" w:eastAsia="arial" w:hAnsi="arial" w:cs="arial"/>
            <w:i/>
            <w:color w:val="0077CC"/>
            <w:sz w:val="20"/>
            <w:u w:val="single"/>
            <w:shd w:val="clear" w:color="auto" w:fill="FFFFFF"/>
            <w:lang w:val="en-US" w:eastAsia="en-US" w:bidi="ar-SA"/>
          </w:rPr>
          <w:t>[1986] 1 S.C.R. 228</w:t>
        </w:r>
      </w:hyperlink>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259 I add the following observations on proximity. The absolute exclusionary rule adopted in Stockton (1875), L.R. 10 Q.B. 453, and affirmed in Murphy, [1991] 1 A.C. 398 (subject to Hedley Byrne) can itself be seen as an indicator of proximity. Where there is physical injury or damage, one posits proximity on the ground that if one is close enough to someone or something to do physical damage to it, one is close enough to be held legally responsible for the consequences. Physical injury has the advantage of being a clear and simple indicator of proximity. The problem arises when it is taken as the </w:t>
      </w:r>
      <w:r>
        <w:rPr>
          <w:rFonts w:ascii="arial" w:eastAsia="arial" w:hAnsi="arial" w:cs="arial"/>
          <w:color w:val="000000"/>
          <w:sz w:val="20"/>
          <w:u w:val="single"/>
          <w:lang w:val="en-US" w:eastAsia="en-US" w:bidi="ar-SA"/>
        </w:rPr>
        <w:t>only</w:t>
      </w:r>
      <w:r>
        <w:rPr>
          <w:rFonts w:ascii="arial" w:eastAsia="arial" w:hAnsi="arial" w:cs="arial"/>
          <w:color w:val="000000"/>
          <w:sz w:val="20"/>
          <w:lang w:val="en-US" w:eastAsia="en-US" w:bidi="ar-SA"/>
        </w:rPr>
        <w:t xml:space="preserve"> indicator of proximity. As the cases amply demonstrate, the necessary proximity to found legal liability fairly in tort may well arise in circumstances where there is no physical damage.</w:t>
      </w:r>
    </w:p>
    <w:p>
      <w:pPr>
        <w:spacing w:before="120" w:line="260" w:lineRule="atLeast"/>
        <w:ind w:left="720"/>
        <w:rPr>
          <w:lang w:val="en-US" w:eastAsia="en-US" w:bidi="ar-SA"/>
        </w:rPr>
      </w:pPr>
      <w:r>
        <w:rPr>
          <w:rFonts w:ascii="arial" w:eastAsia="arial" w:hAnsi="arial" w:cs="arial"/>
          <w:color w:val="000000"/>
          <w:sz w:val="20"/>
          <w:lang w:val="en-US" w:eastAsia="en-US" w:bidi="ar-SA"/>
        </w:rPr>
        <w:t>260 Viewed in this way, proximity may be seen as paralleling the requirement in civil law that damages be direct and certain. Proximity, like the requirement of directness, posits a close link between the negligent act and the resultant loss. Distant losses which arise from collateral relationships do not qualify for recovery.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end, after analyzing Canadian National Railway Company's proximity to the bridge that Norsk damaged, the Supreme Court of Canada decided that the nexus between the act and the loss was sufficiently close as to permit recovery of Canadian National Railway Company's purely economic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So, did Norsk fling open the door to all and sundry who suffer economic loss without accompanying physical damage? Apparently not, because four years later the Court decided D'Amato v. Badger, </w:t>
      </w:r>
      <w:hyperlink r:id="rId17" w:history="1">
        <w:r>
          <w:rPr>
            <w:rFonts w:ascii="arial" w:eastAsia="arial" w:hAnsi="arial" w:cs="arial"/>
            <w:i/>
            <w:color w:val="0077CC"/>
            <w:sz w:val="20"/>
            <w:u w:val="single"/>
            <w:shd w:val="clear" w:color="auto" w:fill="FFFFFF"/>
            <w:lang w:val="en-US" w:eastAsia="en-US" w:bidi="ar-SA"/>
          </w:rPr>
          <w:t>[1996] 2 S.C.R. 1071</w:t>
        </w:r>
      </w:hyperlink>
      <w:r>
        <w:rPr>
          <w:rFonts w:ascii="arial" w:eastAsia="arial" w:hAnsi="arial" w:cs="arial"/>
          <w:color w:val="000000"/>
          <w:sz w:val="20"/>
          <w:lang w:val="en-US" w:eastAsia="en-US" w:bidi="ar-SA"/>
        </w:rPr>
        <w:t>. In D'Amato the plaintiff was a corporation who employed and relied upon a key fellow. That key employee was injured in a motor vehicle collision. The corporation presented a claim for the pure economic loss it suffered as a consequence of its key man being off work. The Supreme Court held that the claim did not meet the proximity test McLachlin J. articulated in Norsk. The court went further and said that even if it was reasonably foreseeable that a person injured in an accident was employed in a critical position such that his employer relied on his performance, the claim would nonetheless be disallowed on policy grounds; vis: that to allow the claim would open tort feasors to liability to an indeterminate class of claimants.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Dr. Geremia argues that his claim should be allowed to proceed because it is sufficiently proximate to Mrs. Geremia's injury that a tort feasor could reasonably foresee it. That is: any person driving down the highway could reasonably foresee that the victim of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have children and a working spouse who would be inconvenienced by injury to the victim, and further that the spouse would lose income as a consequence of picking up the victim's duties around the house and while caring for her as she recovered. On the policy front, Dr. Geremia argues that to allow his claim would not open tort feasors to liability to an indeterminate class. That is because his class is defined as spouses of injured persons who care enough about their injured husbands or wives and children (if any) to devote themselves to their collective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flaw in Dr. Geremia's argument is that he does not, and in my view cannot, distinguish his position from that of the unsuccessful employer in D'Amato. On what basis can it be said that a reasonable member of society is able to foresee that the victim of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be married to a devoted spouse, when, as D'Amato decrees, that same reasonable person cannot reasonably foresee that the same victim is an important employee? It seems to me that it is at least as likely that a victim will be important to his employer as to his spouse. Indeed, I think I can take judicial notice of the rates of divorce in this country, and predict that it is perhaps more likely that a victim of a traffic accident will be responsibly employed than married.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Further, about the indeterminacy problem that scotched D'Amato's claim for policy reasons, Major J.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51 If a company is allowed to recover pure economic loss arising from the loss of a key shareholder and employee, the problem of indeterminacy arises. An injury to one person obviously has a ripple effect, causing economic loss in various forms to a large number of people, both individuals and corporations. To allow recovery in these circumstances would invite similar claims by multi-membered plaintiffs. It would remove the incentive for contracting parties to negotiate on who will bear risk of loss, and for corporations to plan for events such as this, through insurance or otherwise.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That same ripple effect can occur in a family situation as well. If a husband or wife could recover income loss following injury to a spouse, then on what ground could a child's income loss be excluded? Or a mother or father's loss, or losses incurred by caring and devoted aunts, uncles, cousins, grandparents, informal family members (e.g.: Uncle Bill, who while not actually related to anyone, is just like a member of the family')? Or any cumulative combination of one or more of those folks? In fact, a family is, in my view, the very arch-type of the multi-membered plaintiff that concerned Major J. enough deny it a right to recover its pure economic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am persuaded that in Norsk the Supreme Court confirmed that sometimes plaintiffs can recover pure economic loss, but that in D'Amato the Court clearly denied that right to persons in Dr. Geremia's shoes. His claims for income loss and special damages must, therefore, be dismissed.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defendants are entitled to judgment on their motion for summary trial dismissing Dr. Geremia's claims. The defendants are entitled to costs against Dr. Geremia throughout.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Post Script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Mrs. Geremia asked for leave to amend her pleadings so she might advance claims in trust for her husband's care and expense. The defendants did not oppose that request, and I will grant it, with concomitant leave to the defendants to make such amendments to its defence as may be necessary.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ROGERS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889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4" w:history="1">
        <w:r>
          <w:rPr>
            <w:rFonts w:ascii="arial" w:eastAsia="arial" w:hAnsi="arial" w:cs="arial"/>
            <w:b/>
            <w:bCs/>
            <w:i/>
            <w:color w:val="0077CC"/>
            <w:kern w:val="32"/>
            <w:sz w:val="28"/>
            <w:szCs w:val="32"/>
            <w:u w:val="single"/>
            <w:shd w:val="clear" w:color="auto" w:fill="FFFFFF"/>
            <w:lang w:val="en-US" w:eastAsia="en-US" w:bidi="ar-SA"/>
          </w:rPr>
          <w:t>Gill v. Gill, [2009] B.C.J. No. 1175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C.J. Bruce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15,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12,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M104552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1175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784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Gurlal Singh Gill, Plaintiff, and Gurpreet Gill, Sohan Jit Gill and Toyota Credit Canada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9"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 w:name="Keywords_0"/>
      <w:bookmarkEnd w:id="5"/>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Application by defendant for summary judgment allowed — The plaintiff alleged that he was rear-ended by the defendant's vehicle — The defendant alleged that the plaintiff cut into her lane, thereby causing an unavoidable collision — The court found that the defendant's version of the events was corroborated by a passenger and the location of the damage on the vehicles — British Columbia Supreme Court Rules, Rule 18A(11).</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Practice and procedure — Evidence — Admissibility — Application by defendant for summary judgment allowed — The parties gave opposing versions of the occurrence of a motor vehicle accident — The court ultimately accepted the defendant's version of events based on the admissible evidence — Neither party was permitted to use the other's statement to the insurer to impugn credibility, as neither had sought cross-examination on the supporting affidavits, or provided an opportunity to address inconsistencies — The insurer's inspection reports were inadmissible as business records, as there was no evidence that they were made contemporaneously with inspection of the vehicles — British Columbia Supreme Court Rules, Rule 18A(11).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 w:name="Case Summary_0"/>
            <w:bookmarkEnd w:id="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Cross-applications for summary judgment. The plaintiff, Gill, claimed damages for a motor vehicle accident involving the defendant, Gill. At issue was whether the matter was suitable for summary determination. The plaintiff deposed that he was rear-ended by the defendant's vehicle while he was stopped at a red light at an intersection. The defendant deposed that she did not see the plaintiff's vehicle until the accident. She deposed that the plaintiff cut into her lane sharply from the right, striking her vehicle on the right front passenger side. She deposed that the plaintiff's vehicle swerved in front of her vehicle and caused an unavoidable rear-end collision. The plaintiff argued that the defendant's version of events was based on supposition and was thus inadmissible. Each party challenged the admissibility of one another's evidence.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 w:name="Holdings of Court"/>
            <w:bookmarkEnd w:id="7"/>
            <w:r>
              <w:rPr>
                <w:rFonts w:ascii="arial" w:eastAsia="arial" w:hAnsi="arial" w:cs="arial"/>
                <w:color w:val="000000"/>
                <w:sz w:val="20"/>
                <w:lang w:val="en-US" w:eastAsia="en-US" w:bidi="ar-SA"/>
              </w:rPr>
              <w:t>HELD: The defendant's application was allowed and the plaintiff's action was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Although the affidavits of the parties were in conflict, there was cogent evidence upon which the factual dispute was capable of resolution. The defendant's evidence did not constitute an inadmissible supposition, as the wording of her affidavit went to weight rather than admissibility. In the absence of cross-examination on the supporting affidavits, neither party was permitted to use the other's statement to the insurer to discredit one another's version of events without providing an opportunity to address and explain any inconsistencies. The insurer's inspection reports were inadmissible as business records, as there was no evidence that they were made contemporaneously with inspection of the vehicles. There was no principled basis upon which to deny the defendant the right to limit the questions and answers read into the record from the plaintiff's discovery. The defendant consistently maintained that the plaintiff cut into her lane and caused the collision. Location of the damage inferred from photographic evidence did not support the plaintiff's contention that a rear-end collision occurred. The defendant's version of the events was corroborated by a passenger and the location of the damage on the vehicles. Such corroboration was sufficient to conclude that the defendant's version of the events was more probable and that, as a consequence, she was not responsible for the accident.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 w:name="Legislation Cited"/>
      <w:bookmarkEnd w:id="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0"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 Rule 18A(3)(c), Rule 18A(6), Rule 18A(10), Rule 18A(11)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Evidence Act, </w:t>
      </w:r>
      <w:hyperlink r:id="rId25" w:history="1">
        <w:r>
          <w:rPr>
            <w:rFonts w:ascii="arial" w:eastAsia="arial" w:hAnsi="arial" w:cs="arial"/>
            <w:i/>
            <w:color w:val="0077CC"/>
            <w:sz w:val="20"/>
            <w:u w:val="single"/>
            <w:shd w:val="clear" w:color="auto" w:fill="FFFFFF"/>
            <w:lang w:val="en-US" w:eastAsia="en-US" w:bidi="ar-SA"/>
          </w:rPr>
          <w:t>RSBC 1996, CHAPTER 124, s. 42</w:t>
        </w:r>
      </w:hyperlink>
      <w:r>
        <w:rPr>
          <w:rFonts w:ascii="arial" w:eastAsia="arial" w:hAnsi="arial" w:cs="arial"/>
          <w:color w:val="000000"/>
          <w:sz w:val="20"/>
          <w:lang w:val="en-US" w:eastAsia="en-US" w:bidi="ar-SA"/>
        </w:rPr>
        <w:t>(2)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 w:name="Counsel_0"/>
      <w:bookmarkEnd w:id="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1"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D. Corrin.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A. Kim.</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 w:name="Judgment_0"/>
      <w:bookmarkEnd w:id="10"/>
      <w:r>
        <w:pict>
          <v:line id="_x0000_s1032" style="position:absolute;z-index:2516899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 w:name="C.J. BRUCE J."/>
            <w:bookmarkEnd w:id="11"/>
            <w:r>
              <w:rPr>
                <w:rFonts w:ascii="arial" w:eastAsia="arial" w:hAnsi="arial" w:cs="arial"/>
                <w:b/>
                <w:color w:val="000000"/>
                <w:sz w:val="30"/>
                <w:lang w:val="en-US" w:eastAsia="en-US" w:bidi="ar-SA"/>
              </w:rPr>
              <w:t>C.J. BRUCE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for summary judgment pursuant to Rule 18A of the Rules of Court filed by both parties. The plaintiff's claim is for damages arising out of a motor vehicle accident that occurred March 19, 2005 at the intersection of 88th Avenue and Scott Road in Surrey, BC. The defendant's application is for summary dismissal. Liability for the accident and the quantum of damages claimed by the plaintiff are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Both parties have brought on separate applications and by consent they are to be heard at the same time. The plaintiff initially took the position that this matter was inappropriate for disposition pursuant to Rule 18A; however, at the commencement of the proceedings counsel advised that the parties were now in agreement that this was a proper case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parties' application for summary trial raises the following issues:</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an action for damages arising out of a motor vehicle accident appropriately decided under Rule 18A where the facts upon which liability is based are in dispute?</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this is an appropriate case for disposition under Rule 18A, to what extent may the court consider hearsay evidence to determine liability?</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what extent are the defendants bound by a notice to rely upon portions of the plaintiff's examination for discovery?</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the evidence properly before the court, has the plaintiff proven the defendant Gurpreet Gill is liable for the accident on the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agreed to proceed first because he bears the onus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court's jurisdiction pursuant to the summary trial provisions in Rule 18A are described in Rule 18A(11):</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hearing of an application under subrule (1), the court may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impose terms respecting enforcement of the judgment, including a stay of execution, as it thinks just,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parties agree that Rule 18A(11) is to be interpreted and applied in accordance with the test articulated in </w:t>
      </w:r>
      <w:r>
        <w:rPr>
          <w:rFonts w:ascii="arial" w:eastAsia="arial" w:hAnsi="arial" w:cs="arial"/>
          <w:i/>
          <w:color w:val="000000"/>
          <w:sz w:val="20"/>
          <w:lang w:val="en-US" w:eastAsia="en-US" w:bidi="ar-SA"/>
        </w:rPr>
        <w:t>Inspiration Management Ltd. v. McDermid St. Lawrence Limited</w:t>
      </w:r>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at paras. 53-55: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The test for R. 18A, in my view, is the same as on a trial. Upon the facts being found the chambers judge must apply the law and all appropriate legal principles. If then satisfied that the claim or defence has been established according to the appropriate onus of proof he must give judgment according to law unless he has the opinion that it will be unjust to give such judgment.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[54] In deciding whether a case is an appropriate one for judgment under R. 18A, the chambers judge will always give full consideration to all of the evidence which counsel place before him but he will also consider whether the evidence is sufficient for adjudication.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Lastly, I do not agree, as suggested in Royal Bank v. Stonehocker, </w:t>
      </w:r>
      <w:hyperlink r:id="rId27" w:history="1">
        <w:r>
          <w:rPr>
            <w:rFonts w:ascii="arial" w:eastAsia="arial" w:hAnsi="arial" w:cs="arial"/>
            <w:i/>
            <w:color w:val="0077CC"/>
            <w:sz w:val="20"/>
            <w:u w:val="single"/>
            <w:shd w:val="clear" w:color="auto" w:fill="FFFFFF"/>
            <w:lang w:val="en-US" w:eastAsia="en-US" w:bidi="ar-SA"/>
          </w:rPr>
          <w:t>[1985] B.C.J. No. 2340</w:t>
        </w:r>
      </w:hyperlink>
      <w:r>
        <w:rPr>
          <w:rFonts w:ascii="arial" w:eastAsia="arial" w:hAnsi="arial" w:cs="arial"/>
          <w:color w:val="000000"/>
          <w:sz w:val="20"/>
          <w:lang w:val="en-US" w:eastAsia="en-US" w:bidi="ar-SA"/>
        </w:rPr>
        <w:t>, that a chambers judge is obliged to remit a case to the trial list just because there are conflicting affidavits. ... a judge should not decide an issue of fact or law solely on the basis of conflicting affidavits even if he prefers one version to the other. It may be, however, notwithstanding sworn affidavit evidence to the contrary, that other admissible evidence will make it possible to find the facts necessary for judgment to be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It can hardly be unjust to determine an action under Rule 18A when the parties agree the case is appropriate for disposition under this rule and, particularly, where the parties have been discovered with respect to their evidence on all matters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real issue is whether the court is able to find the facts necessary to decide the question of liability for the accident based on the material filed by the parties. The plaintiff and the defendant Gurpreet Gill, who was the driver of the vehicle, have completely inconsistent recollections of the events giving rise to the accident. If Ms. Gill's evidence is accepted there is no dispute that the plaintiff is responsible for the accident. Similarly, if the plaintiff's version of the events is accepted there is no question that Ms. Gill was negligent and liable for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Despite some initial concerns, I am satisfied that, based on the test articulated by McEachern C.J.B.C. in </w:t>
      </w:r>
      <w:r>
        <w:rPr>
          <w:rFonts w:ascii="arial" w:eastAsia="arial" w:hAnsi="arial" w:cs="arial"/>
          <w:i/>
          <w:color w:val="000000"/>
          <w:sz w:val="20"/>
          <w:lang w:val="en-US" w:eastAsia="en-US" w:bidi="ar-SA"/>
        </w:rPr>
        <w:t>Inspiration Management Ltd.,</w:t>
      </w:r>
      <w:r>
        <w:rPr>
          <w:rFonts w:ascii="arial" w:eastAsia="arial" w:hAnsi="arial" w:cs="arial"/>
          <w:color w:val="000000"/>
          <w:sz w:val="20"/>
          <w:lang w:val="en-US" w:eastAsia="en-US" w:bidi="ar-SA"/>
        </w:rPr>
        <w:t xml:space="preserve"> I am able to find the facts necessary to determine the issue of liability. While the affidavit evidence of the plaintiff driver and the defendant driver are in conflict, there is other cogent evidence upon which the court may rely to resolve the factual dispute. Accordingly, I find this is an appropriate case for summary trial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deposes that he left the Panago pizza restaurant, where he works, at about 9:00 pm, entered Scott Road in the right lane, and drove north. He remained in this lane until after crossing 86th Avenue where the right lane becomes the middle lane travelling northward. As he approached 88th Avenue there were vehicles stopped at the intersection for the red light. Inconsistently, the plaintiff also deposed that as he approached the intersection the light turned red; he slowed and came to a complete stop. A few seconds later he was struck from behind by the defendant, Gurpreet Gill.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driver, Gurpreet Gill, deposes that she was driving north on Scott Road and was approaching the intersection at 88th Avenue when the plaintiff's vehicle cut into her lane sharply from a lane on her right side and struck her vehicle on the right front passenger side. The plaintiff's vehicle then swerved in front of her vehicle. The defendant deposes that she was unable to avoid colliding with the plaintiff's vehicle because he cut in front of her without giving her enough room to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EVIDENTIARY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plaintiff argues that Ms. Gill's version of the events is based on supposition and thus is inadmissible evidence. Based on his interpretation of her affidavit, Ms. Gill did not see the events leading to the collision. In particular, the plaintiff says paras. 13 and 14 of the defendant's affidavit should be struck out. In support of its argument, the plaintiff relies upon </w:t>
      </w:r>
      <w:r>
        <w:rPr>
          <w:rFonts w:ascii="arial" w:eastAsia="arial" w:hAnsi="arial" w:cs="arial"/>
          <w:i/>
          <w:color w:val="000000"/>
          <w:sz w:val="20"/>
          <w:lang w:val="en-US" w:eastAsia="en-US" w:bidi="ar-SA"/>
        </w:rPr>
        <w:t>Kennedy v. Kennedy</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2006 BCSC 190</w:t>
        </w:r>
      </w:hyperlink>
      <w:r>
        <w:rPr>
          <w:rFonts w:ascii="arial" w:eastAsia="arial" w:hAnsi="arial" w:cs="arial"/>
          <w:color w:val="000000"/>
          <w:sz w:val="20"/>
          <w:lang w:val="en-US" w:eastAsia="en-US" w:bidi="ar-SA"/>
        </w:rPr>
        <w:t xml:space="preserve"> at para.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relevant paras. of Ms. Gill's affidavit dated July 6, 2008 are as follows: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vehicle was not stopped ahead of me in my lane before the accident. I did not see the plaintiff's vehicle until my vehicle was hit by the plaintiff's vehicle.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first saw the plaintiff's vehicle when the collision happened. His vehicle had come into my lane from the lane to my right, cut my vehicle off and hit my vehicle. The plaintiff's vehicle swerved in front of my vehicle. The plaintiff's vehicle was not fully in my lane when the collision happened.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could not avoid colliding with the plaintiff's vehicle because he cut in front of the space I had to slow my vehicle to a stop behind the stopped vehicles ahead of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am unable to accept the plaintiff's argument on this issue. While the court has a discretion to strike inadmissible evidence from affidavit material filed on a Rule 18A application, I am not satisfied that these portions of Ms. Gill's affidavit should be struck from the record because they are inadmissible supposition. The language used by Ms. Gill to describe what she recalls of the accident is somewhat awkward but it may be interpreted in a manner favourable to her. On one interpretation of these passages, para. 14 simply elaborates upon what Ms. Gill says in para. 13. While deposing that she did not see the plaintiff's vehicle until it struck hers, Ms. Gill goes on in para. 14 to explain what is meant by these words; that is, she first saw the plaintiff's vehicle when the collision happened, he came into her lane and cut her off. The competing interpretations and inferences are more appropriately addressed when considering the merits of each party's position. It is really a question of the weight that may be accorded to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plaintiff also argues the statement Ms. Gill's provided to ICBC after the accident is not admissible for the truth of its contents. The statement is hearsay and self serving. The plaintiff says that while the defendants may not rely on this statement as corroboration of their version of the events, he may use it to show inconsistencies in their affidavit material. In support of this position, the plaintiff relies upon </w:t>
      </w:r>
      <w:r>
        <w:rPr>
          <w:rFonts w:ascii="arial" w:eastAsia="arial" w:hAnsi="arial" w:cs="arial"/>
          <w:i/>
          <w:color w:val="000000"/>
          <w:sz w:val="20"/>
          <w:lang w:val="en-US" w:eastAsia="en-US" w:bidi="ar-SA"/>
        </w:rPr>
        <w:t>Calder v. King and King</w:t>
      </w:r>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(1991), 91 B.C.L.R. (2d) 336</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agree with the plaintiff's submission that hearsay evidence is inadmissible on a summary trial application. Out of court statements, even sworn statements, are hearsay and inadmissible for the purpose of bolstering the credibility of the deponent. While an affidavit sworn and filed in a Rule 18A proceeding is necessarily hearsay, the Rules of Court permit this type of evidence provided the matters deposed to are based on personal knowledge. However, I am unable to accept the plaintiff's submission that this hearsay evidence is admissible to show inconsistencies in the defendant's version of the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Calder</w:t>
      </w:r>
      <w:r>
        <w:rPr>
          <w:rFonts w:ascii="arial" w:eastAsia="arial" w:hAnsi="arial" w:cs="arial"/>
          <w:color w:val="000000"/>
          <w:sz w:val="20"/>
          <w:lang w:val="en-US" w:eastAsia="en-US" w:bidi="ar-SA"/>
        </w:rPr>
        <w:t xml:space="preserve"> stands for the proposition that hearsay evidence may be used by a party on an application for summary trial to show that the case is not appropriately decided under Rule 18A. In particular, Fraser J. concluded that hearsay evidence in the form of ICBC statements, ambulance reports, police witness statements, and accident reports, if not admitted under the business record exception, could only be used to show possible areas of cross examination in opposition to the Rule 18A application. As Fraser J. says in </w:t>
      </w:r>
      <w:r>
        <w:rPr>
          <w:rFonts w:ascii="arial" w:eastAsia="arial" w:hAnsi="arial" w:cs="arial"/>
          <w:i/>
          <w:color w:val="000000"/>
          <w:sz w:val="20"/>
          <w:lang w:val="en-US" w:eastAsia="en-US" w:bidi="ar-SA"/>
        </w:rPr>
        <w:t>Calder</w:t>
      </w:r>
      <w:r>
        <w:rPr>
          <w:rFonts w:ascii="arial" w:eastAsia="arial" w:hAnsi="arial" w:cs="arial"/>
          <w:color w:val="000000"/>
          <w:sz w:val="20"/>
          <w:lang w:val="en-US" w:eastAsia="en-US" w:bidi="ar-SA"/>
        </w:rPr>
        <w:t xml:space="preserve"> at para.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Rule 18A (5) (b) gives the court the power to grant judgment on an application of that kind unless the court is of the opinion that it would be unjust to decide the issues on the application. Counsel for the plaintiff has used the material appended to the affidavit of Kelly Fisher [hearsay documents] to suggest various lines of cross examination which counsel at trial might take when cross examining the witnesses whose affidavits are before me, in support of the contention that it would be unjust to grant the application. This I see as a legitimate use of hearsay evidence on a R. 18A application and I find that the evidence is admissible for that limited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While it is entirely permissible for the plaintiff to cross examine a witness at trial on prior inconsistent statements, it is not open to the plaintiff to use such hearsay documents to discredit the affidavit evidence of the defendant on a Rule 18A application without providing her with an opportunity to address and possibly explain any apparent inconsistencies. The plaintiff has the option of seeking to cross examine a deponent on their affidavit evidence and the court may give directions on this matter pursuant to Rule 18A(10). In this case the plaintiff has not sought to cross examine the defendant on her affidavit. Nor has he sought to cross examine any of the other witnesses who have filed sworn affidavit evidence. The plaintiff also chose not to cross examine the defendant on her ICBC statement during her examination for discovery. Had he done so, the evidence given in response would have been admissible in the Rule 18A application (see, Rule 18A(3)(c)).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these circumstances, the only permissible use for these hearsay statements is to show the matter is not appropriate for disposition under Rule 18A. Without testing the credibility of the witness through cross examination on the prior statements, the court is unable to draw the inferences necessary to conclude whether the deponent is credible or not. While the ICBC statements appear to be authentic and accurate (Ms. Gill and her supporting witnesses depose that the statements given by them to ICBC are accurate and attach them to their affidavits), I remain concerned that there has been no testing of the credibility of the witnesses during cross examination on the apparent or perceived inconsistencies. It is not every inconsistency that negatively affects credibility; inconsistencies may be explained or their impact lessened when considered in the context of other evidence or the testimony of the witness as a whole. It is also problematic that the court has not had the opportunity to observe the witnesses' demeanour under cross examination. How a witness responds to cross examination on prior inconsistent statements is clearly an important consideration in the assessment of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 Ms. Gill has also attached the ICBC statement of the plaintiff to her affidavit and sought to use it for the purpose of discrediting the plaintiff's version of the events. For the reasons outlined above, such hearsay evidence is not admissible for this purpose. Ms. Gill has not sought to cross examine the plaintiff on his affidavit and did not challenge the plaintiff with this statement during his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 Ms. Gill, sought to introduce several documents as business records. In particular, the ICBC repair estimates and inspection reports for both vehicles involved in the collision. She also sought to admit the entire RCMP file concerning the accident which includes a letter dated January 24, 2007 summarizing the witness statements to the police, the accident investigation report describing the parties involved and the location of the damage to the vehicles, Ms. Gill's statement to the police, a continuation report completed by the attending officer on March 19, 2005 containing a summary of the drivers' statements and the action taken, a standard form providing event and subject information, and an excerpt from the attending officer's notebook.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Section 42(2) of the </w:t>
      </w:r>
      <w:r>
        <w:rPr>
          <w:rFonts w:ascii="arial" w:eastAsia="arial" w:hAnsi="arial" w:cs="arial"/>
          <w:i/>
          <w:color w:val="000000"/>
          <w:sz w:val="20"/>
          <w:lang w:val="en-US" w:eastAsia="en-US" w:bidi="ar-SA"/>
        </w:rPr>
        <w:t>Evidence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124</w:t>
      </w:r>
      <w:r>
        <w:rPr>
          <w:rFonts w:ascii="arial" w:eastAsia="arial" w:hAnsi="arial" w:cs="arial"/>
          <w:color w:val="000000"/>
          <w:sz w:val="20"/>
          <w:lang w:val="en-US" w:eastAsia="en-US" w:bidi="ar-SA"/>
        </w:rPr>
        <w:t xml:space="preserve"> addresses the admissibility of business records. This provision provides as follows:</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42(2) In proceedings in which direct oral evidence of a fact would be admissible, a statement of a fact in a document is admissible as evidence of the fact if</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document was made or kept in the usual and ordinary course of business,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in the usual and ordinary course of the business to record in that document a statement of the fact at the time it occurred or within a reasonable time after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While it is likely the documents contained in the police file were made in the usual and ordinary course of business, it is apparent that, apart from the accident investigation form, none of the facts contained the documents were recorded contemporaneously with the events. The police records are also problematic because they contain statements of opinion rather than fact. Lastly, the statement alleged to have been made by the plaintiff is only a summary and does not contain the precise words spoken by him. For these reasons, I find that only the accident investigation form is admissible as a business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ICBC repair and inspection reports are also presumably kept in the usual and ordinary course of business. However, there is no evidence as to whether these records were made contemporaneously with the inspection of the vehicles or a reasonable time thereafter. Thus, these documents are not admissible as business records. The defendant sought to have these documents admitted solely for the description of where the damage was located on the vehicles. I am satisfied that the location of the damage may be inferred from the photographic evidence submitted by the defendant. The plaintiff does not take issue with the admissibility of these photographs; it is the inferences to be drawn from the photographs and the weight to be attached to this evidence that is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DISCOVERY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plaintiff argues that by including in the chambers brief the entire examination for discovery, and giving notice that certain parts of this discovery would be relied upon at this hearing, Ms. Gill is bound by this evidence as part of her case. In support of this argument, the plaintiff relies upon </w:t>
      </w:r>
      <w:r>
        <w:rPr>
          <w:rFonts w:ascii="arial" w:eastAsia="arial" w:hAnsi="arial" w:cs="arial"/>
          <w:i/>
          <w:color w:val="000000"/>
          <w:sz w:val="20"/>
          <w:lang w:val="en-US" w:eastAsia="en-US" w:bidi="ar-SA"/>
        </w:rPr>
        <w:t>McDonald v. Shewchuk,</w:t>
      </w:r>
      <w:r>
        <w:rPr>
          <w:rFonts w:ascii="arial" w:eastAsia="arial" w:hAnsi="arial" w:cs="arial"/>
          <w:color w:val="000000"/>
          <w:sz w:val="20"/>
          <w:lang w:val="en-US" w:eastAsia="en-US" w:bidi="ar-SA"/>
        </w:rPr>
        <w:t xml:space="preserve"> (1969) 39 W.W.R. 384 (B.C.C.A.) and </w:t>
      </w:r>
      <w:r>
        <w:rPr>
          <w:rFonts w:ascii="arial" w:eastAsia="arial" w:hAnsi="arial" w:cs="arial"/>
          <w:i/>
          <w:color w:val="000000"/>
          <w:sz w:val="20"/>
          <w:lang w:val="en-US" w:eastAsia="en-US" w:bidi="ar-SA"/>
        </w:rPr>
        <w:t>Tastsos v. Johnson</w:t>
      </w:r>
      <w:r>
        <w:rPr>
          <w:rFonts w:ascii="arial" w:eastAsia="arial" w:hAnsi="arial" w:cs="arial"/>
          <w:color w:val="000000"/>
          <w:sz w:val="20"/>
          <w:lang w:val="en-US" w:eastAsia="en-US" w:bidi="ar-SA"/>
        </w:rPr>
        <w:t xml:space="preserve"> (1970), 74 W.W.R. 315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defendant did not in fact rely upon all of the discovery questions and answers contained in her notice to the plaintiff when making her submission. Counsel selected certain parts of the discovery and read them into the record. The plaintiff argues that this implicit withdrawal should not be effective against him because he proceeded first: </w:t>
      </w:r>
      <w:r>
        <w:rPr>
          <w:rFonts w:ascii="arial" w:eastAsia="arial" w:hAnsi="arial" w:cs="arial"/>
          <w:i/>
          <w:color w:val="000000"/>
          <w:sz w:val="20"/>
          <w:lang w:val="en-US" w:eastAsia="en-US" w:bidi="ar-SA"/>
        </w:rPr>
        <w:t>Newton v. Newton</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2002 BCSC 14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Newton</w:t>
      </w:r>
      <w:r>
        <w:rPr>
          <w:rFonts w:ascii="arial" w:eastAsia="arial" w:hAnsi="arial" w:cs="arial"/>
          <w:color w:val="000000"/>
          <w:sz w:val="20"/>
          <w:lang w:val="en-US" w:eastAsia="en-US" w:bidi="ar-SA"/>
        </w:rPr>
        <w:t xml:space="preserve"> the defendant read into evidence portions of the plaintiff's discovery in accordance with the notice provided to the plaintiff pursuant to Rule 18A(6). During the plaintiff's submission counsel indicated he was not inclined to rely on all of the discovery evidence originally contained in his notice to the defendant. The issue was framed as "whether, having provided a list of the examination for discovery questions which would be submitted as part of the case of one of the parties, is counsel then in a position to resisle [sic] from that list before the questions and answers are read into evidence as part of the Rule 18A summary trial?" (</w:t>
      </w:r>
      <w:r>
        <w:rPr>
          <w:rFonts w:ascii="arial" w:eastAsia="arial" w:hAnsi="arial" w:cs="arial"/>
          <w:i/>
          <w:color w:val="000000"/>
          <w:sz w:val="20"/>
          <w:lang w:val="en-US" w:eastAsia="en-US" w:bidi="ar-SA"/>
        </w:rPr>
        <w:t>Newton</w:t>
      </w:r>
      <w:r>
        <w:rPr>
          <w:rFonts w:ascii="arial" w:eastAsia="arial" w:hAnsi="arial" w:cs="arial"/>
          <w:color w:val="000000"/>
          <w:sz w:val="20"/>
          <w:lang w:val="en-US" w:eastAsia="en-US" w:bidi="ar-SA"/>
        </w:rPr>
        <w:t xml:space="preserve"> at para.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Relying upon </w:t>
      </w:r>
      <w:r>
        <w:rPr>
          <w:rFonts w:ascii="arial" w:eastAsia="arial" w:hAnsi="arial" w:cs="arial"/>
          <w:i/>
          <w:color w:val="000000"/>
          <w:sz w:val="20"/>
          <w:lang w:val="en-US" w:eastAsia="en-US" w:bidi="ar-SA"/>
        </w:rPr>
        <w:t>Kapelus v. University of British Columbia</w:t>
      </w:r>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[1998] B.C.J. No. 1559</w:t>
        </w:r>
      </w:hyperlink>
      <w:r>
        <w:rPr>
          <w:rFonts w:ascii="arial" w:eastAsia="arial" w:hAnsi="arial" w:cs="arial"/>
          <w:color w:val="000000"/>
          <w:sz w:val="20"/>
          <w:lang w:val="en-US" w:eastAsia="en-US" w:bidi="ar-SA"/>
        </w:rPr>
        <w:t xml:space="preserve"> (C.A.), Burnyeat J. concluded that until portions of the transcript are read into the record, the discovery questions and answers intended to be relied upon are not evidence. Once read into the record a party does not have the right to withdraw any portion of it: </w:t>
      </w:r>
      <w:r>
        <w:rPr>
          <w:rFonts w:ascii="arial" w:eastAsia="arial" w:hAnsi="arial" w:cs="arial"/>
          <w:i/>
          <w:color w:val="000000"/>
          <w:sz w:val="20"/>
          <w:lang w:val="en-US" w:eastAsia="en-US" w:bidi="ar-SA"/>
        </w:rPr>
        <w:t>Newton</w:t>
      </w:r>
      <w:r>
        <w:rPr>
          <w:rFonts w:ascii="arial" w:eastAsia="arial" w:hAnsi="arial" w:cs="arial"/>
          <w:color w:val="000000"/>
          <w:sz w:val="20"/>
          <w:lang w:val="en-US" w:eastAsia="en-US" w:bidi="ar-SA"/>
        </w:rPr>
        <w:t xml:space="preserve"> at para.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However, Burnyeat J. went on to conclude that a strict application of the principles in </w:t>
      </w:r>
      <w:r>
        <w:rPr>
          <w:rFonts w:ascii="arial" w:eastAsia="arial" w:hAnsi="arial" w:cs="arial"/>
          <w:i/>
          <w:color w:val="000000"/>
          <w:sz w:val="20"/>
          <w:lang w:val="en-US" w:eastAsia="en-US" w:bidi="ar-SA"/>
        </w:rPr>
        <w:t>Kapelus</w:t>
      </w:r>
      <w:r>
        <w:rPr>
          <w:rFonts w:ascii="arial" w:eastAsia="arial" w:hAnsi="arial" w:cs="arial"/>
          <w:color w:val="000000"/>
          <w:sz w:val="20"/>
          <w:lang w:val="en-US" w:eastAsia="en-US" w:bidi="ar-SA"/>
        </w:rPr>
        <w:t xml:space="preserve"> should not apply where a party is unfairly surprised by the other's decision to read in only part of the discovery contained in the notice pursuant to Rule 18A(6). Instead, the court may exercise its discretion to remedy the unfair surprise. The court may refuse to allow the party to withdraw the disputed discovery questions. Alternatively, the court may permit the aggrieved party to withdraw or add to the discovery questions he earlier relied upon. The court may also grant the aggrieved party an adjournment to file additional affidavits or review their list of answers from the opposing party's discovery as a remedial measure: </w:t>
      </w:r>
      <w:r>
        <w:rPr>
          <w:rFonts w:ascii="arial" w:eastAsia="arial" w:hAnsi="arial" w:cs="arial"/>
          <w:i/>
          <w:color w:val="000000"/>
          <w:sz w:val="20"/>
          <w:lang w:val="en-US" w:eastAsia="en-US" w:bidi="ar-SA"/>
        </w:rPr>
        <w:t>Newton</w:t>
      </w:r>
      <w:r>
        <w:rPr>
          <w:rFonts w:ascii="arial" w:eastAsia="arial" w:hAnsi="arial" w:cs="arial"/>
          <w:color w:val="000000"/>
          <w:sz w:val="20"/>
          <w:lang w:val="en-US" w:eastAsia="en-US" w:bidi="ar-SA"/>
        </w:rPr>
        <w:t xml:space="preserve"> at paras. 10-13.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Newton</w:t>
      </w:r>
      <w:r>
        <w:rPr>
          <w:rFonts w:ascii="arial" w:eastAsia="arial" w:hAnsi="arial" w:cs="arial"/>
          <w:color w:val="000000"/>
          <w:sz w:val="20"/>
          <w:lang w:val="en-US" w:eastAsia="en-US" w:bidi="ar-SA"/>
        </w:rPr>
        <w:t xml:space="preserve"> the defendant was granted an adjournment, leave to file additional affidavits, and an opportunity to amend the questions and answers from the plaintiff's discovery that he would be relying upon. Burnyeat J. did not regard it appropriate to deny the plaintiff the right to withdraw portions of the defendant's discovery contained in the original notice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this case, I find the plaintiff could not reasonably have been surprised by the defendant's decision to omit from her submission some of the questions and answers originally contained in her notice to the plaintiff. The discovery questions and answers in dispute confirmed the plaintiff's version of the events. This version of the events was expressly denied by the defendant Ms. Gill in her affidavit. It was also contradicted in the affidavits sworn by Sukhpreet Sandhu and Ritu Gill, who were passengers in the defendant's vehicle at the time of the collision. Further, when asked if he wished an adjournment to file new material or to consider whether additional discovery evidence of the defendant should be read in, the plaintiff declined this opportunity. I must infer from this decision that the defendant's actions did not prejudice the plaintiff's case or give rise to any need to modify the evidence he presented on the Rule 18A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these circumstances, there is no principled basis upon which the court could deny the defendant the right to limit the questions and answers read into the record from the plaintiff's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ARGUMENT ON THE ADMISSIBLE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maintains his evidence should be preferred over the evidence of the defendant Ms. Gill and her supporting witnesses. The plaintiff argues the defendant's evidence leads to an inference that she struck the rear of his vehicle because she was not paying attention to the cars stopped ahead of her. Further, the plaintiff argues that a fair interpretation of the defendant's affidavit is that she was having difficulty seeing ahead of her due the rain and did not see the events preceding the collision. In regard to Ritu Gill's affidavit, the plaintiff says her evidence is inconsistent with her earlier statement to ICBC. In that statement, Ritu Gill says she did not see the other vehicle coming into their lane and did not recall seeing it prior to the accident. In regard to Ms. Sandhu's affidavit, the plaintiff says her statement that Ms. Gill had no opportunity to avoid the collision is inadmissible because it is a conclusion not a recitation of the facts she recalls. In addition, the plaintiff argues Ms. Sandhu was not in a position to see the events prior to the collision because she was sitting in the middle rear passenger seat. The night was rainy and it was difficult to see. As a passenger, she would not be paying attention to the road. Lastly, the plaintiff says that without expert evidence to interpret the significance of the damage to the vehicles, no inferences can be drawn as to where the vehicles were when the collision occurred or even how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defendant Ms. Gill maintains the plaintiff has failed to prove she is liable for the accident on the balance of probabilities. She argues that her affidavit evidence, coupled with the discovery evidence in context, clearly indicate that she has consistently maintained she saw the plaintiff cut into her lane thereby causing an immediate collision. This version of the events is corroborated by the affidavit evidence of Ms. Sandhu and Ritu Gill who were passengers in the vehicle. The defendant also points to inconsistencies in the plaintiff's evidence as to whether he was stopped or slowing for the stop light when the accident occurred and what lane of travel he was in immediately prior to the collision. Moreover, the defendant says the location of the damage on the vehicles supports her version of the events. Because the damage was not straight on, it is unlikely that she rear ended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Bearing in mind the limitations placed on the evidence that is admissible in a summary trial application, I find there are credibility issues associated with the evidence of both the plaintiff and the defendant Ms. Gill.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the one hand, the plaintiff's affidavit seems to be contradictory as to the circumstances immediately prior to the collision. At para. 10 the plaintiff says that as he was driving north on Scott Road he saw that several cars were stopped for a red light ahead of him at the intersection. However, in para. 11 the plaintiff says that while he was heading toward the intersection the light turned red and he slowed before coming to a stop. This error suggests the plaintiff is reconstructing the events without actually recalling them. The plaintiff also said in discovery that he was travelling at 45 to 50 kph while heading toward the intersection which appears to be inconsistent with the notion that he was slowing down for the red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the other hand, the defendant Ms. Gill's affidavit evidence suggests that she did not have a good opportunity to see the events immediately prior to the collision. At best, her affidavit and discovery evidence suggest that Ms. Gill's observations were limited to immediately before or just as the collision occurred. The fact that is was dark and raining on the night of the accident is also a factor that may have limited her ability to observe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addition to the evidence of the two drivers, the defendant, Ms. Gill, has two witnesses that support her version of the events. I have ruled that the ICBC statements cannot be used to discredit the affidavit evidence of these witnesses. However, if I am wrong about this issue, and out of an abundance of caution I have discounted the evidence of Ritu Gill entirely because her ICBC statement clearly says she did not see the other vehicle prior to the accident and did not see this vehicle coming into their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Sandhu's affidavit evidence does not suffer from the same or similar frailties. Although the plaintiff argues the weather conditions and her location in the vehicle must have obstructed her view of the events leading to the accident, there is no evidence to support this position. Based on the defendant's version of the events, the plaintiff's vehicle cut into her lane from the passenger's side of the vehicle. In my opinion, a passenger in the rear middle seat would have had an unobstructed view of the collision on this version of the events. The fact that it was raining and dark is a factor to consider in weighing Ms. Sandhu's evidence; however, it is not sufficient, on its own, to permit the court to ignore her evidence entirely. Lastly, there is no evidence to suggest Ms. Sandhu was directing her attention elsewhere so as to miss the events immediately prior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Finally, I find the location of the damage to the vehicles provides some evidence favouring the defendant's version of the events. The plaintiff deposes that this was a straight on rear end collision. However, in the plaintiff's discovery he agreed the damage to his vehicle was solely on the left rear corner of the bumper. The photographs in evidence show that the damage to the defendant's vehicle was on the front bumper toward the passenger side and along the passenger side quarter panel to the front passenger door. I find it is unlikely that such off centre damage could have been caused by a straight on rear end collision. Instead, the location of the damage suggests that the collision occurred on more of an angle. Moreover, I am satisfied that the court may draw these inferences from the photographs without the benefit of expert 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Weighing the evidence as a whole, I find the plaintiff has failed to prove the defendant is liable for the accident on the balance of probabilities. It may be that the probabilities are evenly balanced as between the defendant and the plaintiff's recollection of the events. However, the defendant's version of the events is corroborated by Ms. Sandhu's evidence and the location of the damage on the vehicles. This is sufficient, in my view, to conclude that the defendant's version of the events is more probable and that, as a consequence, she was not responsible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plaintiff's action is dismissed. The defendants are entitled to their costs. I award party and party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C.J. BRUCE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3" style="position:absolute;z-index:2516992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8" w:history="1">
        <w:r>
          <w:rPr>
            <w:rFonts w:ascii="arial" w:eastAsia="arial" w:hAnsi="arial" w:cs="arial"/>
            <w:b/>
            <w:bCs/>
            <w:i/>
            <w:color w:val="0077CC"/>
            <w:kern w:val="32"/>
            <w:sz w:val="28"/>
            <w:szCs w:val="32"/>
            <w:u w:val="single"/>
            <w:shd w:val="clear" w:color="auto" w:fill="FFFFFF"/>
            <w:lang w:val="en-US" w:eastAsia="en-US" w:bidi="ar-SA"/>
          </w:rPr>
          <w:t>Griffiths v. New Westminster (City), [2001] B.C.J. No. 2274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Burnyeat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28,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C995290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2274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1482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25 M.P.L.R. (3d) 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109 A.C.W.S. (3d) 67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Christopher A. Griffiths, plaintiff, and The Corporation of the City of New Westminster, Langara College, Henry Jover and S.M.S. Modern Cleaning Services Inc., defendants, and Henry Jover and S.M.S. Modern Cleaning Services Inc., carrying on business as S.M.S. Modern Building Cleaning,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4"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 w:name="Keywords_1"/>
      <w:bookmarkEnd w:id="12"/>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Relationship required to raise duty of care — Agency — Creation of relations — Parties — Who constitutes an agent — Relations between principal and agent — Agent's duty — Municipal law — Contracts by a municipality — Unenforceable contracts — Uncertainty and vagueness — Indemnity — Extent of — Practice — Dismissal of action — Grounds, failure to disclose a cause of action or defence.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 w:name="Case Summary_1"/>
            <w:bookmarkEnd w:id="1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Jover to dismiss Griffiths's action and the third-party claim by the defendant City of New Westminster. Jover rented the City's arena for a group that played ice hockey. Griffiths was a member of the group. Jover signed the City's agreement and collected the rental fee from the group. The agreement required Jover to keep the facility clean and tidy at all times. The City made no warranties about the condition of the premises. Jover was required to inspect the facility. The agreement also required Jover to indemnify it for any liability resulting from his use, as licensee, of the facility. Griffiths was injured during a hockey game at the arena. Griffiths sued Jover in tort and contract. He claimed that Jover owed him a duty of care. He also argued that Jover had a contractual obligation to supervise the hockey game, to provide proper supervision after the accident, and to inspect the premises before the game. The City claimed against Jover on the basis of the agreement.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 w:name="Holdings of Court_0"/>
            <w:bookmarkEnd w:id="14"/>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claims by Griffiths and the City against Jover were dismissed. Jover did not owe Griffiths a duty of care. Jover was merely an agent of the group. He was required to rent the arena and to collect funds. This did not impose contractual obligations on Jover. The covenants in the agreement were unenforceable. It was unreasonable to expect that Jover would keep the premises clean at all times. The indemnification clause only applied to Jover's acts and omissions. The parties did not contemplate that Jover would indemnify and save the City from its own omissions. Furthermore, the indemnification clause only applied to organizations. It did not extend to individual non-commercial uses. Jover was only liable to indemnify the City from damages caused to the arena when Jover and his group used it. No party to the agreement undertook to indemnify the City for all claims based on this very broad and ambiguous provision. The indemnity provisions had to be construed against the City.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 w:name="Legislation Cited_0"/>
      <w:bookmarkEnd w:id="1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5"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Occupier's Liability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 w:name="Counsel_1"/>
      <w:bookmarkEnd w:id="1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6"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J.M. Oostlander, for the plaintiff. O. Samuel, for the defendant and third party Henry Jover. D.S. Hwang, for the Corporation of the City of New Westminster.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 w:name="Judgment_1"/>
      <w:bookmarkEnd w:id="17"/>
      <w:r>
        <w:pict>
          <v:line id="_x0000_s1037" style="position:absolute;z-index:25169100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 w:name="BURNYEAT J."/>
            <w:bookmarkEnd w:id="18"/>
            <w:r>
              <w:rPr>
                <w:rFonts w:ascii="arial" w:eastAsia="arial" w:hAnsi="arial" w:cs="arial"/>
                <w:b/>
                <w:color w:val="000000"/>
                <w:sz w:val="30"/>
                <w:lang w:val="en-US" w:eastAsia="en-US" w:bidi="ar-SA"/>
              </w:rPr>
              <w:t>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Corporation of the City of New Westminster ("New Westminster") owns and operates the Moody Park Arena ("Arena") where Mr. Griffiths was playing recreational ice hockey on the night of April 14, 1999. Mr. Jover had rented that facility from New Westminster so that he and other players could play ice hockey. Mr. Griffiths was injured during that hockey session. Mr. Griffiths claims against Mr. Jover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In turn, New Westminster makes a third party claim against Mr. Jover arising out of the contract that Mr. Jover signed in order that the Arena could be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Jover applies for an order pursuant to Rule 18A of the Rules of Court to dismiss the claim of Mr. Griffiths and the third party claim of New Westminster.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CLAIM OF MR. GRIFFITHS AGAINST MR. JOVER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his Statement of Claim, Mr. Griffiths claims that Mr. Jover owed a duty of care to him and that he breached that duty of care on April 14, 1999. When the application of Mr. Jover was heard by me, counsel for Mr. Griffiths abandoned that part of the claim. Even if that had not been done, there was nothing before me which would allow me to conclude that a duty of care was owed by Mr. Jover to Mr. Griffiths and, accordingly, that part of the claim of Mr. Griffiths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making submissions about alleged breaches of contract, counsel for Mr. Griffiths stated that, as a result of the contractual relationship between them, Mr. Jover had an obligation to properly supervise the hockey game and to inspect the premises beforehand and that Mr. Jover did not properly fulfil these contractual obligations. However, counsel for Mr. Griffiths conceded that Mr. Jover properly fulfilled any contractual obligation to supervise prior to when Mr. Griffiths fell and that the only issue remaining was whether he provided responsible and appropriate supervision after the fall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Jover arranged for the rental of the facility. Knowing that the facility would be available, various potential players then came to the Arena, sides were divided up, and a hockey game ensued. Mr. Jover collected a fee of $10 from each player and undertook to pay for the rental out of the funds received. At the end of the season if there were funds left over, those funds were spent on refreshments at an annual Christmas party. Mr. Jover made no profit from these arrangements.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those circumstances, I cannot find that there was a contractual relationship between Mr. Jover and Mr. Griffiths which would obligate Mr. Jover to inspect the Arena ahead of time and to supervise the playing of hockey or the movement of players in and out of the Arena. Mr. Jover was merely the agent of the players (including Mr. Griffiths) to collect their funds and to make the necessary arrangements to rent the Arena. That relationship does not create the contractual obligations alleged by Mr. Griffiths. The only contractual arrangement which existed between Mr. Griffiths and Mr. Jover was that Mr. Jover acted as the agent of Mr. Griffiths to collect his $10 so that Mr. Griffiths could play hockey that evening. No other contractual obligations could be implied and no other contractual obligations were contemplated by either Mr. Griffiths or Mr. Jover.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Even if I am wrong in that finding, I cannot find that he failed to supervise properly or that he failed to inspect the Arena beforehand. Counsel for Mr. Griffiths concedes that Mr. Griffiths was removed from the ice surface in an appropriate way after his fall and that Mr. Jover played no role in assisting Mr. Griffiths off the ice. Counsel for Mr. Griffiths also concedes that no damages flow from any activities of any party after Mr. Griffiths fell. In those circumstances, even if there is a contractual obligation to supervise play and even assuming that I was to find that there was a failure to supervise the assistance of Mr. Griffiths off the ice, I can find no damages flow from the alleged failure to properly supervise.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Similarly, I can find that there was no breach of any alleged obligation to inspect the Arena prior to play or during play. Mr. Griffiths claims that his skate "hit something" and that he fell as a result. The only theory advanced on behalf of Mr. Griffiths is that there were two patches of ice close to where Mr. Griffiths fell which were thinner than most of the other portions of the ice and that these patches of "thin" ice somehow caused the fall. The thickness of the ice can only be measured by drilling a hole into the ice. Even if I could find that there was an obligation on Mr. Jover to inspect the ice ahead of the play, that obligation would not extend to taking steps to ascertain hidden defects such as thin ice. It is certain that New Westminster would not have allowed Mr. Jover to make such an inspection as it is inconceivable that drilling to ascertain ice thickness would have been allowed that night or prior to any skating or hockey 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Having found that Mr. Jover did not have a duty of care owed to Mr. Griffiths and that the contract between them was limited to Mr. Jover paying rent on behalf of Mr. Griffiths, I dismiss the claim of Mr. Griffiths against Mr. Jover.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THIRD PARTY CLAIM OF NEW WESTMINSTER AGAINST MR. JOVER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Before the Arena can be used, New Westminster forwards a "Licence Contract" to potential users. Such a contract was signed by Mr. Jover in August 1998. The Contract required a deposit of $231 before September 1, 1998 and a rental fee of $154 per hour for each of the sessions which were listed on the Contract. Mr. Jover is the "Licensee".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Under the heading "Use of Facility", the "Licensee" covenants and agrees to a number of matters including "to keep and maintain the Facility in a clean and tidy condition at all times", "to be responsible for supervision during ice time" and to acknowledge: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City has made no warranty or representation as to the state of repairs of the Facility or of their fitness for the Licensee's purposes and the Licensee hereby declares that it relies solely on its inspection of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"Facility" is defined as Moody Park Arena but there is no definition given of what constitutes the "Premises". Many of the covenants and agreements listed would be unenforceable. For instance, it is ludicrous to suggest that New Westminster realistically expected Mr. Jover to keep Moody Park Arena "in a clean and tidy condition at all times". While it might have been reasonable for him to covenant and agree that he would keep a portion of the Arena clean and tidy at particular times, any attempt to obtain his covenant and agreement to do similarly at all times is far beyond what must have been contemplated by Mr. Jover and New Westminster. Similarly, the Contract purports to obligate Mr. Jover to be responsible "for supervision during ice time" even though there is nothing in the Contract which would limit "ice time" to the times and dates set out in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Regarding the acknowledgement that New Westminster has made "no warranty or representation", counsel for New Westminster submits that this covenant and agreement places an on going duty on Mr. Jover to inspect. It is clear that the submissions of New Westminster cannot succeed. First, this clause is merely an acknowledgement that no warranties or representation "as to the state of repairs" of the Facility had been made to the date of the Contract. There is nothing to suggest that Mr. Jover was providing an on-going acknowledgement. He clearly could not. Second, the "state of repairs" of the Facility would not include any standards of maintenance or existing problems with the ice surface. Rather, "repairs" must be limited to the Arena structure, fixtures and equipment within the structure,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Third, the acknowledgement that the Facility is fit for the purposes of a Licensee, must be limited to the purpose to which the Facility was to be used: for a hockey game. Mr. Jover was merely acknowledging that the Arena could be used for hockey. It meant that he was not renting something what would be suitable only for some other sport. This cannot be taken as an on-going acknowledgement that the Facility would always be properly maintained and safe and suitable for a hockey game.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Finally, the fact that the Licensee is called upon to declare that it relied "solely on its inspection of the Premises" allows me to conclude that only an onus to inspect the Facility was being substituted for any warranty or representation alleged about the state of repairs of the Facility or of the fitness of them to allow Mr. Jover and his colleagues to play hockey.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New Westminster then seeks indemnification from Mr. Jover under the general heading "Indemnification" where it is alleged that Mr. Jover agreed to:</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indemnity and save harmless the City in respect of any and all claims, demands, actions, suits, and costs arising out of any act or omission of the Licensee or any servant, agent or employee of the Licensee or arising out of or resulting from the use of the said Facility by the Licensee;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indemnify the City for all or any loss or damage to the said Facility or any part thereof or any property of the City therein or thereon, reasonable wear and tear and damage by fire, explosion, lighting or tempest only excepted;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insure that all of its equipment used in the Facility to cover all claims arising from such use and save harmless the City and indemnifies the City from all claims whatsoever in connection with such use;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take the responsibility for paying to all Performing Rights Organizations, Composers and Authors and Publishers Associations, the approved fees, charges or royalties for music that is offered as part of their program or entertainment;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pay to the proper authorities all monies payable pursuant to the laws of any level of government and indemnifies and saves harmless the City from and against all liabilities thereof;</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ensure all accounts are paid in full. Outstanding accounts will result in cancellation of this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Counsel on behalf of New Westminster places the greatest reliance on sub-paragraph (a) in its third party claim. Before reviewing that sub-paragraph, I will spend some time reviewing the other sub-paragraphs. Sub-paragraph (b) appears to be open ended and does not limit the indemnification to loss or damage occurring when Mr. Jover and his colleagues are on the ice. That clearly could not have been contemplated between the parties. Sub-paragraph (c) is incomprehensible and would not be enforceable. Sub-paragraph (d) is clearly inapplicable to the use of the arena for a scrub hockey game. Sub-paragraph (e) is so open ended as to be unenforceable. For instance, it is clear that the parties would not have contemplated that any W.C.B., Revenue Canada, or Employment Insurance amounts payable by New Westminster would have to be paid by Mr. Jover. Only sub-paragraph (f) clearly applies to the Contract that was signed by Mr. Jover.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Regarding sub-paragraph (a), counsel for New Westminster submits that Mr. Jover has agreed to indemnify and save harmless New Westminster in respect of "any and all claims, demands, actions, suits and costs" and that this would include the claim of Mr. Griffiths against New Westminster. This interpretation cannot be supported. The first part of the sub-paragraph only arises out of "any act or omission of" Mr. Jover and not out of any "act or omission" of New Westminster itself. The parties did not contemplate that Mr. Jover would indemnify and save harmless New Westminster for its own acts or omissions. Regarding the second part of the sub-paragraph, Mr. Jover is the Licensee and it is only he who is agreeing to indemnify and save harmless New Westminster from actions arising out of his own use. Mr. Griffiths and others who played hockey that night are not a "servant, agent or employee" of Mr. Jover.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well, the clause contemplates that the licensee will be an organization. The clause cannot be extended to the type of non-commercial use by an individual as was contemplated by Mr. Jover. There is nothing to suggest that a Licensee who is an individual is indemnifying or saving harmless New Westminster from damages arising out of the use by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Even if I could interpret the Contract in accordance with the submissions of New Westminster, it would be inappropriate for New Westminster to attempt to have someone like Mr. Jover act as the insurer of New Westminster when Mr. Jover was only renting the ice surface occasionally for the fee of $154 per hour. That would amount to the cheapest insurance available to any municipality. To expect Mr. Jover to be the insurer of New Westminster is entirely inconsistent with the purpose of this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New Westminster cannot enforce the indemnification clause that is contained in the Contract. New Westminster knew or ought to have known that Mr. Jover's signature did not represent his true intention and that he would be unaware of the onerous provisions contained within the standard form Contract of New Westminster. I agree with the submissions of counsel for Mr. Jover that New Westminster cannot rely on this indemnity provision unless it takes reasonable measures to draw this term to the attention of Mr. Jover: Tilden Rent-A-Car Co. v. Clendenning </w:t>
      </w:r>
      <w:hyperlink r:id="rId39" w:history="1">
        <w:r>
          <w:rPr>
            <w:rFonts w:ascii="arial" w:eastAsia="arial" w:hAnsi="arial" w:cs="arial"/>
            <w:i/>
            <w:color w:val="0077CC"/>
            <w:sz w:val="20"/>
            <w:u w:val="single"/>
            <w:shd w:val="clear" w:color="auto" w:fill="FFFFFF"/>
            <w:lang w:val="en-US" w:eastAsia="en-US" w:bidi="ar-SA"/>
          </w:rPr>
          <w:t>(1978), 83 D.L.R. (3d) 400</w:t>
        </w:r>
      </w:hyperlink>
      <w:r>
        <w:rPr>
          <w:rFonts w:ascii="arial" w:eastAsia="arial" w:hAnsi="arial" w:cs="arial"/>
          <w:color w:val="000000"/>
          <w:sz w:val="20"/>
          <w:lang w:val="en-US" w:eastAsia="en-US" w:bidi="ar-SA"/>
        </w:rPr>
        <w:t xml:space="preserve"> (Ont. C.A.). The observations made in that decision by Dubin J.A. on behalf of the Court are applicable here: (a) New Westminster: "...cannot rely on provisions of the Contract which it had no reason to believe were being assented to by the other contracting party" (at p. 405); (b) the clause relied on is: "...inconsistent with the over-all purpose for which the Contract is entered into...". (at p. 405); (c) New Westminster cannot rely on the indemnity as it did not first take: "...reasonable measures to draw such terms to the attention of the other party..." (at pp. 408-9); and (d) it was not incumbent upon Mr. Jover to establish:..."fraud, mis-representation or non est factum..." in order to avoid the indemnity clause being in effect. (at p. 409)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No party entering into this standard-form Contract was agreeing to indemnify New Westminster against all claims as set out in the very broad, often confusing, often incomprehensible indemnification provisions contained within the Contract. Mr. Jover and similar users could only be expected to be required to indemnify New Westminster for damages caused to the Arena when Mr. Jover and his colleagues were using the Arena.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Even if I am wrong in concluding that the indemnity provisions are so onerous that they ought to have been brought to the attention of Mr. Jover, I am satisfied that the indemnity provisions must be construed contra proferentum against New Westminster. I adopt the comment made by Southin J.A. in Wallach v. Garside </w:t>
      </w:r>
      <w:hyperlink r:id="rId40" w:history="1">
        <w:r>
          <w:rPr>
            <w:rFonts w:ascii="arial" w:eastAsia="arial" w:hAnsi="arial" w:cs="arial"/>
            <w:i/>
            <w:color w:val="0077CC"/>
            <w:sz w:val="20"/>
            <w:u w:val="single"/>
            <w:shd w:val="clear" w:color="auto" w:fill="FFFFFF"/>
            <w:lang w:val="en-US" w:eastAsia="en-US" w:bidi="ar-SA"/>
          </w:rPr>
          <w:t>(1993), 82 B.C.L.R. (2d) 236</w:t>
        </w:r>
      </w:hyperlink>
      <w:r>
        <w:rPr>
          <w:rFonts w:ascii="arial" w:eastAsia="arial" w:hAnsi="arial" w:cs="arial"/>
          <w:color w:val="000000"/>
          <w:sz w:val="20"/>
          <w:lang w:val="en-US" w:eastAsia="en-US" w:bidi="ar-SA"/>
        </w:rPr>
        <w:t xml:space="preserve"> (B.C.C.A.) and conclude that the clause in question does not impose an obligation to indemnify New Westminster for "original liability imposed upon it under the Occupier's Liability Act" and that the clause would "...need to be much more explicit to have that effect" (at p. 239).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There is a heavy burden on a party claiming indemnity to establish that the words of the clause actually impose the obligation alleged by the drafter of the indemnity: Wallach, supra, and W.R.B. v. Plint </w:t>
      </w:r>
      <w:hyperlink r:id="rId41" w:history="1">
        <w:r>
          <w:rPr>
            <w:rFonts w:ascii="arial" w:eastAsia="arial" w:hAnsi="arial" w:cs="arial"/>
            <w:i/>
            <w:color w:val="0077CC"/>
            <w:sz w:val="20"/>
            <w:u w:val="single"/>
            <w:shd w:val="clear" w:color="auto" w:fill="FFFFFF"/>
            <w:lang w:val="en-US" w:eastAsia="en-US" w:bidi="ar-SA"/>
          </w:rPr>
          <w:t>2001 BCSC 997</w:t>
        </w:r>
      </w:hyperlink>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[2001] B.C.J. No. 1446</w:t>
        </w:r>
      </w:hyperlink>
      <w:r>
        <w:rPr>
          <w:rFonts w:ascii="arial" w:eastAsia="arial" w:hAnsi="arial" w:cs="arial"/>
          <w:color w:val="000000"/>
          <w:sz w:val="20"/>
          <w:lang w:val="en-US" w:eastAsia="en-US" w:bidi="ar-SA"/>
        </w:rPr>
        <w:t xml:space="preserve"> at para. 314. That burden has not been met by New Westminster. To find Mr. Jover liable for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might subsequently be proven against New Westminster would require clear and unambiguous language: Roy v. Andrushko, </w:t>
      </w:r>
      <w:hyperlink r:id="rId42" w:history="1">
        <w:r>
          <w:rPr>
            <w:rFonts w:ascii="arial" w:eastAsia="arial" w:hAnsi="arial" w:cs="arial"/>
            <w:i/>
            <w:color w:val="0077CC"/>
            <w:sz w:val="20"/>
            <w:u w:val="single"/>
            <w:shd w:val="clear" w:color="auto" w:fill="FFFFFF"/>
            <w:lang w:val="en-US" w:eastAsia="en-US" w:bidi="ar-SA"/>
          </w:rPr>
          <w:t>[1997] B.C.J. No. 412</w:t>
        </w:r>
      </w:hyperlink>
      <w:r>
        <w:rPr>
          <w:rFonts w:ascii="arial" w:eastAsia="arial" w:hAnsi="arial" w:cs="arial"/>
          <w:color w:val="000000"/>
          <w:sz w:val="20"/>
          <w:lang w:val="en-US" w:eastAsia="en-US" w:bidi="ar-SA"/>
        </w:rPr>
        <w:t xml:space="preserve"> (B.C.S.C.). Such clear and unambiguous language is not present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Even if I am wrong and an agreement had been reached that Mr. Jover was to indemnify New Westminster for claims such as are now being made by Mr. Griffiths, I am satisfied that the indemnity clause is so unreasonable and such a clear abuse of freedom of contract that it ought not to be enforced by the Court. I adopt the following passage of Lord Denning M.R. in Gillespie Brothers &amp; Co. Ltd. v. Roy Bowles Transport Ltd., [1973] Q.B. 400 in this regard: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time may come when this process of "construing" the contract can be pursued no further. The words are too clear to permit of it. Are the courts then powerless? Are they to permit the party to enforce his unreasonable clause, even when it is so unreasonable, or applied so unreasonably, as to be unconscionable? When it gets to this point, I would say, as I said many years ago: "there is the vigilance of the common law which, while allowing freedom of contract, watches to see that it is not abused": John Lee &amp; Son (Grantham) Ltd. v. Railway Executive [1949) 2 All E.R. 581, 584. It will not allow a party to exempt himself from his liability at common law when it would be quite unconscionable for him to do so. (pp. 415-6)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dealing with a similar clause in the context of a contract for safekeeping of valuables, Anderson J. in Davidson et al v. Three Spruces Realty Ltd. et al </w:t>
      </w:r>
      <w:hyperlink r:id="rId43" w:history="1">
        <w:r>
          <w:rPr>
            <w:rFonts w:ascii="arial" w:eastAsia="arial" w:hAnsi="arial" w:cs="arial"/>
            <w:i/>
            <w:color w:val="0077CC"/>
            <w:sz w:val="20"/>
            <w:u w:val="single"/>
            <w:shd w:val="clear" w:color="auto" w:fill="FFFFFF"/>
            <w:lang w:val="en-US" w:eastAsia="en-US" w:bidi="ar-SA"/>
          </w:rPr>
          <w:t>(1977), 79 D.L.R. (3d) 481</w:t>
        </w:r>
      </w:hyperlink>
      <w:r>
        <w:rPr>
          <w:rFonts w:ascii="arial" w:eastAsia="arial" w:hAnsi="arial" w:cs="arial"/>
          <w:color w:val="000000"/>
          <w:sz w:val="20"/>
          <w:lang w:val="en-US" w:eastAsia="en-US" w:bidi="ar-SA"/>
        </w:rPr>
        <w:t xml:space="preserve"> (B.C.S.C.) stated that the terms of a contract may be declared void as being unreasonable where it can be said that, in all of the circumstances, it is unreasonable and unconscionable to bind the parties to their form of bargain. In ascertaining whether "freedom of contract has been abused", Anderson J. stated that regard could be had to the following:</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contract a standard form contract drawn up by the bailee?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there any negotiations as to the terms of the contract or was it a commercial form which may be described as a "sign here" contract?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attention of the plaintiffs drawn to the limitation clause?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exemption clause unusual in character?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representations made which would lead an ordinary person to believe that the limitation clause did not apply?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zWas the language of the contract when read in conjunction with the limitation clause such as to render the implied covenant made by the bailee to use reasonable care to protect the plaintiff's property meaningless?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regard to all the facts including the representations made by the bailee and the circumstances leading up to the execution of the contract, would not the enforcement of the limitation clause be a tacit approval by the Courts of unacceptable commercial practices?</w:t>
      </w:r>
    </w:p>
    <w:p>
      <w:pPr>
        <w:spacing w:before="120" w:line="260" w:lineRule="atLeast"/>
        <w:ind w:left="14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(at p. 493)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am satisfied that factors (1),(2),(3),(4), and (7) referred to by Anderson J in the Davidson decision apply to the Contract between New Westminster and Mr. Jover. The Contract was in standard form. That standard form was more applicable to organizations than to individuals. It was a "sign here" contract. It was mailed to Mr. Jover so that no verbal attempt could be made by New Westminster to draw the paragraph to the attention of Mr. Jover. While set out in a separate paragraph, the "indemnification" was in small print and was on the second page of the Contract. Accordingly, there was nothing in the Contract which would draw the paragraph to the attention of Mr. Jover.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If I accede to the submissions of New Westminster, the indemnity clause purported to establish Mr. Jover as the insurer of all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all breaches of contract by New Westminster. To say the least, the indemnity clause was "unusual" in character. The Court should not be asked to give tacit or any approval to a municipality attempting to have private citizens "insure" municipal liability imposed by contract, by common law duties owed or by statutory duties created by the Occupier's Liability Act. If New Westminster has insurance, it should seek indemnification from its insurers if it is liable to users such as Mr. Griffiths. If New Westminster is self insured, it should not be in a position to pass on its own liability to a user such as Mr. Jover. The third party claim of New Westminster against Mr. Jover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Jover will be entitled to one set of costs on a Party and Party (Scale 3) basis. Those costs are awarded against the Corporation of the City of New Westminster.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8" style="position:absolute;z-index:251700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0" w:history="1">
        <w:r>
          <w:rPr>
            <w:rFonts w:ascii="arial" w:eastAsia="arial" w:hAnsi="arial" w:cs="arial"/>
            <w:b/>
            <w:bCs/>
            <w:i/>
            <w:color w:val="0077CC"/>
            <w:kern w:val="32"/>
            <w:sz w:val="28"/>
            <w:szCs w:val="32"/>
            <w:u w:val="single"/>
            <w:shd w:val="clear" w:color="auto" w:fill="FFFFFF"/>
            <w:lang w:val="en-US" w:eastAsia="en-US" w:bidi="ar-SA"/>
          </w:rPr>
          <w:t>Handley v. Punnett, [2003] B.C.J. No. 434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Burnyeat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January 21 - 24, 2003.</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February 28, 2003.</w:t>
      </w:r>
    </w:p>
    <w:p>
      <w:pPr>
        <w:spacing w:before="120" w:line="260" w:lineRule="atLeast"/>
        <w:jc w:val="center"/>
        <w:rPr>
          <w:lang w:val="en-US" w:eastAsia="en-US" w:bidi="ar-SA"/>
        </w:rPr>
      </w:pPr>
      <w:r>
        <w:rPr>
          <w:rFonts w:ascii="arial" w:eastAsia="arial" w:hAnsi="arial" w:cs="arial"/>
          <w:color w:val="000000"/>
          <w:sz w:val="20"/>
          <w:lang w:val="en-US" w:eastAsia="en-US" w:bidi="ar-SA"/>
        </w:rPr>
        <w:t>Chilliwack Registry No. S0010630</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[2003] B.C.J. No. 434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2003 BCSC 294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120 A.C.W.S. (3d) 618</w:t>
      </w:r>
    </w:p>
    <w:p>
      <w:pPr>
        <w:spacing w:before="120" w:line="260" w:lineRule="atLeast"/>
        <w:rPr>
          <w:lang w:val="en-US" w:eastAsia="en-US" w:bidi="ar-SA"/>
        </w:rPr>
      </w:pPr>
      <w:r>
        <w:rPr>
          <w:rFonts w:ascii="arial" w:eastAsia="arial" w:hAnsi="arial" w:cs="arial"/>
          <w:color w:val="000000"/>
          <w:sz w:val="20"/>
          <w:lang w:val="en-US" w:eastAsia="en-US" w:bidi="ar-SA"/>
        </w:rPr>
        <w:t>Between Kathleen Diana Handley, plaintiff, and Dr. Harold Punnett,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(26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39" style="position:absolute;z-index:25166131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9" w:name="Keywords_2"/>
      <w:bookmarkEnd w:id="19"/>
      <w:r>
        <w:rPr>
          <w:rFonts w:ascii="arial" w:eastAsia="arial" w:hAnsi="arial" w:cs="arial"/>
          <w:b/>
          <w:color w:val="000000"/>
          <w:sz w:val="20"/>
          <w:lang w:val="en-US" w:eastAsia="en-US" w:bidi="ar-SA"/>
        </w:rPr>
        <w:t>Evidence — Opinion evidence — Expert evidence — Qualifications and declaration that witness is an expert — Acceptance, rejection and weight to be given to expert opinion — Procedural prerequisites to admission of — Notice.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0" w:name="Case Summary_2"/>
            <w:bookmarkEnd w:id="20"/>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Ruling as to whether the defendant, Punnett, was permitted to express an expert opinion in the absence of prescribed notice. Punnett rendered dental services to the plaintiff, Handley, who alleged that the services were performed negligently. Handley complained of scarring, ulceration, and loss of taste and smell. Punnett testified about his standard practices and the procedure that he performed on Handley. Punnett's counsel then sought to examine him on the question of what might have caused the conditions complained of by Handley. Handley objected to Punnett expressing an expert opinion without providing a written statement of the opinion at least 60 days before testifying. In an earlier application, Punnett had filed an affidavit in which he expressed his opinion about what might have caused Handley's injuries. Punnett argued that the affidavit qualified as a written statement which met the notice requirement. </w:t>
            </w:r>
            <w:r>
              <w:rPr>
                <w:lang w:val="en-US" w:eastAsia="en-US" w:bidi="ar-SA"/>
              </w:rPr>
              <w:cr/>
            </w:r>
          </w:p>
          <w:p>
            <w:pPr>
              <w:spacing w:before="120" w:line="260" w:lineRule="atLeast"/>
              <w:ind w:left="240"/>
              <w:jc w:val="both"/>
              <w:rPr>
                <w:lang w:val="en-US" w:eastAsia="en-US" w:bidi="ar-SA"/>
              </w:rPr>
            </w:pPr>
            <w:bookmarkStart w:id="21" w:name="Holdings of Court_1"/>
            <w:bookmarkEnd w:id="21"/>
            <w:r>
              <w:rPr>
                <w:rFonts w:ascii="arial" w:eastAsia="arial" w:hAnsi="arial" w:cs="arial"/>
                <w:color w:val="000000"/>
                <w:sz w:val="20"/>
                <w:lang w:val="en-US" w:eastAsia="en-US" w:bidi="ar-SA"/>
              </w:rPr>
              <w:t>HELD: Punnett was not permitted to express his expert opinion.</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affidavit did not qualify as a written statement because it was not identified as such, it had not been delivered to Handley, it did not set out Punnett's qualifications to give an expert opinion, and it did not set out the facts and assumptions on which the opinion was based. Furthermore, it was doubtful that the opinion was objective. </w:t>
            </w:r>
            <w:r>
              <w:rPr>
                <w:lang w:val="en-US" w:eastAsia="en-US" w:bidi="ar-SA"/>
              </w:rPr>
              <w:cr/>
            </w:r>
          </w:p>
          <w:p>
            <w:pPr>
              <w:rPr>
                <w:lang w:val="en-US" w:eastAsia="en-US" w:bidi="ar-SA"/>
              </w:rPr>
            </w:pPr>
          </w:p>
        </w:tc>
      </w:tr>
    </w:tbl>
    <w:p>
      <w:pPr>
        <w:jc w:val="both"/>
        <w:rPr>
          <w:lang w:val="en-US" w:eastAsia="en-US" w:bidi="ar-SA"/>
        </w:rPr>
      </w:pPr>
      <w:bookmarkStart w:id="22" w:name="Legislation Cited_1"/>
      <w:bookmarkEnd w:id="22"/>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40" style="position:absolute;z-index:25167155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Rules 1(5), 18A, 40A, 40A(2), 40A(3), 40A(5), 40A(9), 40A(13), 40A(15), 40A(16).</w:t>
      </w:r>
      <w:r>
        <w:rPr>
          <w:lang w:val="en-US" w:eastAsia="en-US" w:bidi="ar-SA"/>
        </w:rPr>
        <w:cr/>
      </w:r>
    </w:p>
    <w:p>
      <w:pPr>
        <w:keepNext/>
        <w:spacing w:before="240" w:line="340" w:lineRule="atLeast"/>
        <w:rPr>
          <w:lang w:val="en-US" w:eastAsia="en-US" w:bidi="ar-SA"/>
        </w:rPr>
      </w:pPr>
      <w:bookmarkStart w:id="23" w:name="Counsel_2"/>
      <w:bookmarkEnd w:id="23"/>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41" style="position:absolute;z-index:25168179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D.F. McCrimmon, for Ms. Handley. G.P. Brown and J. Gibson, for Dr. Punnett.</w:t>
      </w:r>
      <w:r>
        <w:rPr>
          <w:lang w:val="en-US" w:eastAsia="en-US" w:bidi="ar-SA"/>
        </w:rPr>
        <w:cr/>
      </w:r>
    </w:p>
    <w:p>
      <w:pPr>
        <w:spacing w:after="240"/>
        <w:rPr>
          <w:lang w:val="en-US" w:eastAsia="en-US" w:bidi="ar-SA"/>
        </w:rPr>
      </w:pPr>
      <w:bookmarkStart w:id="24" w:name="Judgment_2"/>
      <w:bookmarkEnd w:id="24"/>
      <w:r>
        <w:pict>
          <v:line id="_x0000_s1042" style="position:absolute;z-index:251692032"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5" w:name="BURNYEAT J._0"/>
            <w:bookmarkEnd w:id="25"/>
            <w:r>
              <w:rPr>
                <w:rFonts w:ascii="arial" w:eastAsia="arial" w:hAnsi="arial" w:cs="arial"/>
                <w:b/>
                <w:color w:val="000000"/>
                <w:sz w:val="30"/>
                <w:lang w:val="en-US" w:eastAsia="en-US" w:bidi="ar-SA"/>
              </w:rPr>
              <w:t>BURNYEAT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Ms. Handley claims damages against Dr. Punnett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arising out of dental services provided to Ms. Handley on March 12, 1999. Ms. Handley alleges that Dr. Punnett negligently undertook a root canal procedure. Dr. Punnett defends on the basis that all care given by him was in accordance with standard and approved dental practice and that any injury alleged by Ms. Handley was not caused by any treatment or lack of treatment rendered to Ms. Handley by Dr. Punnett.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Dr. Punnett testified at trial about his standard practices as well as what was done on March 12, 1999. His counsel then wished to examine Dr. Punnett on the question of what might have been the cause of the ulceration and scarring to the mouth, the loss of the sensation of taste, and the partial loss of the sensation of smell which was claimed by Ms. Handley. Counsel for Ms. Handley objected to Dr. Punnett expressing such an opinion as no notice that Dr. Punnett would be called upon to express an expert opinion had been provided to Ms. Handley pursuant to the provisions of Rule 40A of the Rules of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This Ruling deals with the question of whether a party to an action who may well be otherwise capable of expressing an expert opinion can express such an opinion in the absence of the notice provisions set out in Rule 40A of the Rules of Court.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DISCUSSION AND CASE AUTHORITIES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Written statements setting out the opinion of an expert are admissible at trial without proof of the expert's signature if a copy of the opinion is furnished to every party of record at least sixty days before the statement is entered in evidence (Rule 40A(2)). There is nothing in Rule 40A which excludes the opinions of parties from this requirement.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An expert may also give oral opinion evidence if the written statement of the opinion has been delivered to every party of record at least sixty days before the expert testifies at trial (Rule 40A(3)). Again, there is nothing in Rule 40A which excludes the opinions of parties from this requirement.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If a written statement is provided under Rule 40A(2), then a party adverse in interest may demand that the expert attend the trial for cross-examination (Rule 40A(9)). Any party receiving a written statement under Rules 40A(2) or 40(3) shall notify the party delivering the statement of any objection to the admissibility of the evidence that the party receiving the statement intends to raise at trial (Rule 40A(13)). It is obvious that a party adverse in interest can only require the attendance of the expert at trial or provide a notice of objection to the admissibility of the evidence if that party is aware that an expert opinion is to be given.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Pursuant to Rule 40A(15), the Court may dispense with the requirement of delivery of a statement. Rule 40A(16) provides examples of when the Court may dispense with the requirement of delivery of a statement: where the non-delivery is unlikely to cause prejudice or where the interests of justice require that the Court dispense with the requirement of the delivery of the statement.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There is nothing in any of those sub-rules which suggests that a party who is otherwise capable of expressing an expert opinion is exempted from these requirements. I am satisfied that this absence creates an insurmountable barrier to the submission made on behalf of Dr. Punnett that he should be entitled to express an expert opinion even though no notice was given under Rule 40A.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purpose of Rule 40A is clear. In Sterritt v. McLeod </w:t>
      </w:r>
      <w:hyperlink r:id="rId51" w:history="1">
        <w:r>
          <w:rPr>
            <w:rFonts w:ascii="arial" w:eastAsia="arial" w:hAnsi="arial" w:cs="arial"/>
            <w:i/>
            <w:color w:val="0077CC"/>
            <w:sz w:val="20"/>
            <w:u w:val="single"/>
            <w:shd w:val="clear" w:color="auto" w:fill="FFFFFF"/>
            <w:lang w:val="en-US" w:eastAsia="en-US" w:bidi="ar-SA"/>
          </w:rPr>
          <w:t>(2000), 74 B.C.L.R. (3d) 371</w:t>
        </w:r>
      </w:hyperlink>
      <w:r>
        <w:rPr>
          <w:rFonts w:ascii="arial" w:eastAsia="arial" w:hAnsi="arial" w:cs="arial"/>
          <w:color w:val="000000"/>
          <w:sz w:val="20"/>
          <w:lang w:val="en-US" w:eastAsia="en-US" w:bidi="ar-SA"/>
        </w:rPr>
        <w:t xml:space="preserve"> (B.C.C.A.), Southin J.A. stated: "A principal purpose of Rule 40A is to ensure that neither side will be taken by surprise by expert evidence". (at para. 33). In C.A. v. Critchley </w:t>
      </w:r>
      <w:hyperlink r:id="rId52" w:history="1">
        <w:r>
          <w:rPr>
            <w:rFonts w:ascii="arial" w:eastAsia="arial" w:hAnsi="arial" w:cs="arial"/>
            <w:i/>
            <w:color w:val="0077CC"/>
            <w:sz w:val="20"/>
            <w:u w:val="single"/>
            <w:shd w:val="clear" w:color="auto" w:fill="FFFFFF"/>
            <w:lang w:val="en-US" w:eastAsia="en-US" w:bidi="ar-SA"/>
          </w:rPr>
          <w:t>[1996] B.C.J. No. 3055</w:t>
        </w:r>
      </w:hyperlink>
      <w:r>
        <w:rPr>
          <w:rFonts w:ascii="arial" w:eastAsia="arial" w:hAnsi="arial" w:cs="arial"/>
          <w:color w:val="000000"/>
          <w:sz w:val="20"/>
          <w:lang w:val="en-US" w:eastAsia="en-US" w:bidi="ar-SA"/>
        </w:rPr>
        <w:t xml:space="preserve"> (B.C.S.C.), Allan J.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very purpose of Rule 40A(2) is to prevent ambush and surprise at trial, ensure fairness to the parties, and promote the orderly progression of the trial. (at para. 15)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well, Rule 1(5) states that the object of the Rules is to secure the just, speedy and inexpensive determination of every proceeding on its merits. It can not be said that there can be a "just" determination if the party is taken by surprise and it can not be said there will be an "inexpensive" determination where surprise leads to the delay of the completion of a trial because an adjournment of the trial is warranted.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Where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alleged, a defendant will often be called upon to testify about what he or she did, their invariable practice, and whether what they did relating to the services in issue met the practice of similar professionals in similar situations in similar locations. That type of testimony can be expected in every case where it is alleged that a defendant professional has provided services negligently. There is no need for notice to be given under Rule 40A that a defendant will testify in those regards.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However, the same cannot be said where the defendant is called upon to express an opinion about whether the damage alleged by a plaintiff was caused other than by the alleged negligent acts or omissions of the defendant and, if so, what might have caused the damage alleged.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can not be said that a plaintiff would not be surprised at trial if a defendant otherwise qualified to express an expert opinion gave no notice that such an opinion would be expressed. The purpose of Rule 40A would be defeated because a plaintiff would have no opportunity to seek the expert advice of others as to the legitimacy of the expert opinion that was about to be expressed. In the case at bar, the Plaintiff had no opportunity to obtain the professional advice of others so that her counsel would be in a position to cross-examine Dr. Punnett about the expert opinion that he wished to express. Accordingly, I am satisfied that notice should have been given that Dr. Punnett would be expressing his opinion about other potential causes of the injuries claimed by Ms. Handley. However, counsel for Dr. Punnett submits that appropriate notice was provided under Rule 40A.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An earlier application was made by Dr. Punnett pursuant to Rule 18A of the Rules of Court. In support of that application, Dr. Punnett swore an affidavit which expressed his opinion about what might have caused the injuries alleged by Ms. Handley. In the alternative, counsel for Dr. Punnett submits that this affidavit qualifies as the written statement contemplated by Rule 40A(2) or by Rule 40A(3). I cannot reach that 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First, there is nothing in the affidavit of Dr. Punnett which would suggest that it was being tendered as a written statement under Rule 40A. Second, while an affidavit would set out the name of the person primarily responsible for the contents of a statement as required by Rule 40A(5)(c), an affidavit would rarely, and this affidavit does not, set out the qualifications of Dr. Punnett to give such an opinion or the facts and assumptions upon which the opinion is based as is required by Rule 40A(5)(a) and (b).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For a written statement to comply with Rule 40A(2) or (3), the written statement or any letter which accompanies a written statement must state clearly that the written statement is being tendered pursuant to Rule 40A. This affidavit did not do that. Any affidavit must also comply with the other requirements of Rule 40A. This affidavit did not.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the further alternative, counsel for Dr. Punnett submits that the circumstances justify an order dispensing with the requirement of the delivery of a statement as contemplated by Rule 40(2) or Rule 40(3).I can not conclude that it is appropriate to dispense with the requirement of the delivery of such a statement.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am satisfied that the non-delivery of the statement causes prejudice to Ms. Handley. First, Ms. Handley is not in a position to do the necessary research to ascertain whether Dr. Punnett is qualified to express the opinion that he wishes to express. Second, I am satisfied that counsel for Ms. Handley would be unable to prepare for the cross-examination of Dr. Punnett or be in a reasonable position to present evidence in response. This is the case even though other experts called on behalf of Dr. Punnett provided opinions similar to the opinion that Dr. Punnett wished to express. Third, I am also satisfied that it is not in the interests of justice to require Ms. Handley to incur the cost which would result if an adjournment of the trial was granted to give her counsel a reasonable opportunity to prepare for cross-examination and to present evidence in response.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Fourth, I can not be satisfied that it would be appropriate to hear the opinion that Dr. Punnett wishes to give. It can not be said that a party can provide an objective opinion to the Court. It is highly unlikely that a party could stop being an advocate for a particular conclusion and become an unbiased observer who is entitled to express an expert opinion. In B(W.R.) v. Plint </w:t>
      </w:r>
      <w:hyperlink r:id="rId53" w:history="1">
        <w:r>
          <w:rPr>
            <w:rFonts w:ascii="arial" w:eastAsia="arial" w:hAnsi="arial" w:cs="arial"/>
            <w:i/>
            <w:color w:val="0077CC"/>
            <w:sz w:val="20"/>
            <w:u w:val="single"/>
            <w:shd w:val="clear" w:color="auto" w:fill="FFFFFF"/>
            <w:lang w:val="en-US" w:eastAsia="en-US" w:bidi="ar-SA"/>
          </w:rPr>
          <w:t>(1998), 56 B.C.L.R. (3d) 214</w:t>
        </w:r>
      </w:hyperlink>
      <w:r>
        <w:rPr>
          <w:rFonts w:ascii="arial" w:eastAsia="arial" w:hAnsi="arial" w:cs="arial"/>
          <w:color w:val="000000"/>
          <w:sz w:val="20"/>
          <w:lang w:val="en-US" w:eastAsia="en-US" w:bidi="ar-SA"/>
        </w:rPr>
        <w:t xml:space="preserve"> (B.C.S.C.), the Court refused to allow a report to be admitted into evidence partially on the basis that there were serious questions as to whether the report had "... the objectivity the Courts insist be displayed by expert witnesses ...". (at para. 14). I have the same reservations here. I am satisfied that it would be an almost insurmountable barrier for a party to be in a position to express an expert opinion.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Fifth, even if it could be said that the opinion of Dr. Punnett was admissible, when an expert is also a party I am satisfied that virtually no weight should be given to the expert opinion. I am satisfied that virtually no weight should be given to his opinion. In those circumstances, the object of the Rules to secure a "speedy and inexpensive" determination on its merits can not be well-served by hearing evidence that should be given virtually no weight.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Sixth, I am not convinced that Dr. Punnett has the necessary expertise to express an opinion about the possibility that the cause of the alleged injuries was viral or that the alleged losses of sense of taste and of smell could not have been caused to the nerves involved as a result of the injuries to the upper palate of Ms. Handley.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Counsel for Dr. Punnett relies on the decision in Shickele v. Rousseau (1966), 55 W.W.R. 568 (B.C.C.A.) where Davey J.A. on behalf of the Court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With deference to the contrary judgments of judges of first instance, on principle it is difficult to see why a party to an action that raises directly his professional or technical advice or conduct should not be required to give, on discovery, his expert opinion on matters directly connected with the issues raised, where that opinion would be admissible and relevant at the trial. Specifically, in this case, the appellant should be required to answer pertinent questions concerning his opinion upon the incidence of tetanus, proper anti-tetanus treatment, and the time it should be given, the recognized method of such treatment, the dangers involved therein, the safeguards to be adopted, general medical practice and opinion thereon, and like matters. (at p. 570)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Shickele involved a doctor who had been sued for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administering tetanus anti-toxin. Over his objection, the doctor was ordered to answer certain questions at his examination for discovery regarding his professional opinion concerning the nature, treatment, and incidence of tetanus and the method of preventing it from developing from wounds.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issue which was before the Court was whether such questions could be asked by plaintiff's counsel at the examination for discovery of Dr. Rousseau and not whether Dr. Rousseau could provide such an expert opinion at trial. Regarding those questions put to Dr. Rousseau, counsel for the plaintiff was in a position to decide whether the questions and answers would be entered as evidence on behalf of the plaintiff at the trial. However, counsel for Dr. Rousseau would not have been in a position to enter questions and answers as part of the case for Dr. Rousseau.</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Nothing in Shickele allows me to conclude that, because counsel for the plaintiff was allowed to ask Dr. Rousseau his opinion at the examination for discovery, Dr. Rousseau should then have been in a position to give his opinion on those matters at trial. Second, Dr. Rousseau was being asked to express an opinion about his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administering tetanus anti-toxin and was not being asked to express an opinion about whether there may have been some other cause for the injuries claimed by the plaintiff and, if so, the likelihood that the injuries claimed were caused by some factor other than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administering tetanus anti-toxin. I am satisfied that the decision in Shickele is of no assistance to Dr. Punnett.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I am satisfied that all of the provisions of Rule 40A apply to parties, a written statement was required under Rule 40A(3) before Dr. Punnett could provide his opinion at trial, the affidavit of Dr. Punnett does not qualify as a statement under Rule 40A(3), and that I should not exercise my discretion to allow Dr. Punnett to express an opinion regarding the possible alternate causes of the injuries alleged to have been suffered by Ms. Handley, I rule that he will not be allowed to provide an opinion about the possible alternate causes.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BURNYEAT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7012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4"/>
          <w:headerReference w:type="default" r:id="rId55"/>
          <w:footerReference w:type="even" r:id="rId56"/>
          <w:footerReference w:type="default" r:id="rId57"/>
          <w:headerReference w:type="first" r:id="rId58"/>
          <w:footerReference w:type="first" r:id="rId5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0" w:history="1">
        <w:r>
          <w:rPr>
            <w:rFonts w:ascii="arial" w:eastAsia="arial" w:hAnsi="arial" w:cs="arial"/>
            <w:b/>
            <w:bCs/>
            <w:i/>
            <w:color w:val="0077CC"/>
            <w:kern w:val="32"/>
            <w:sz w:val="28"/>
            <w:szCs w:val="32"/>
            <w:u w:val="single"/>
            <w:shd w:val="clear" w:color="auto" w:fill="FFFFFF"/>
            <w:lang w:val="en-US" w:eastAsia="en-US" w:bidi="ar-SA"/>
          </w:rPr>
          <w:t>Harrison v. British Columbia, [2014] B.C.J. No. 429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B.J. Brown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7,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12,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S138780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429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398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Robert Glen Harrison, Plaintiff, and Her Majesty the Queen in Right of the Province of British Columbia, and the BC Minister of Attorney General and Karen Horsman,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4"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 w:name="Keywords_3"/>
      <w:bookmarkEnd w:id="26"/>
      <w:r>
        <w:rPr>
          <w:rFonts w:ascii="arial" w:eastAsia="arial" w:hAnsi="arial" w:cs="arial"/>
          <w:b/>
          <w:color w:val="000000"/>
          <w:sz w:val="20"/>
          <w:lang w:val="en-US" w:eastAsia="en-US" w:bidi="ar-SA"/>
        </w:rPr>
        <w:t>Civil litigation — Civil procedure — Parties — Vexatious litigants — Pleadings — Striking out pleadings or allegations — Grounds — False, frivolous, vexatious or abuse of process — Application by Crown for order striking plaintiff's action allowed — Application by Crown for vexatious litigant declaration dismissed — Plaintiff was terminated from employment working with child after social worker passed on information — Complaint to Information and Privacy Commissioner determined social worker acted improperly — Separate action for damages based on defamation and misfeasance was summarily dismissed following appeal — Predicate action sought damages related to appeal proceeding and plaintiff's loss of employment — Action was res judicata and was struck — Plaintiff's conduct, at present, did not support vexatious litigant order — Supreme Court Act, s. 18.</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 w:name="Case Summary_3"/>
            <w:bookmarkEnd w:id="2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Province for an order striking the action by the plaintiff, Harrison, and for a vexatious litigant order. The plaintiff was terminated from his employment working with a child at Access House after the Ministry received information from a social worker. The plaintiff filed a complaint with the Information and Privacy Commissioner in respect of the information conveyed by the social worker. Following extensive appeal and judicial review proceedings, the Court of Appeal upheld a portion of the plaintiff's complaint in 2012. Separately, in 2008, the plaintiff filed a statement of claim seeking damages for defamation and misfeasance. The action was summarily dismissed against one defendant in 2009 and against all defendants in 2010 following a successful appeal. The plaintiff commenced a new action for damages related to the Court of Appeal's prior decision and the loss of his employment. The Province submitted that the matter had already been litigated and that the action was barred by res judicata.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 w:name="Holdings of Court_2"/>
            <w:bookmarkEnd w:id="28"/>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fundamentally misapprehended the 2010 Court of Appeal decision. He was attempting to re-litigate matters already determined against him. The matters were res judicata. The predicate action was unnecessary, vexatious, and otherwise constituted an abuse of process. The plaintiff's actions nonetheless did not come within the scope for a vexatious litigant declaration at present.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 w:name="Legislation Cited_2"/>
      <w:bookmarkEnd w:id="2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5"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of Civil Rules, Rule 9-5(1), Rule 9-5(1)(b), Rule 9-5(1)(d)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Canadian Bill of Rights, R.S.C. 1985, App. III, s. 2(e)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Canadian Charter of Rights and Freedoms, 1982, R.S.C. 1985, App. II, No. 44, Schedule B, s.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Freedom of Information and Protection of Privacy Act, </w:t>
      </w:r>
      <w:hyperlink r:id="rId61" w:history="1">
        <w:r>
          <w:rPr>
            <w:rFonts w:ascii="arial" w:eastAsia="arial" w:hAnsi="arial" w:cs="arial"/>
            <w:i/>
            <w:color w:val="0077CC"/>
            <w:sz w:val="20"/>
            <w:u w:val="single"/>
            <w:shd w:val="clear" w:color="auto" w:fill="FFFFFF"/>
            <w:lang w:val="en-US" w:eastAsia="en-US" w:bidi="ar-SA"/>
          </w:rPr>
          <w:t>RSBC 1996, CHAPTER 165, s. 28</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Act, </w:t>
      </w:r>
      <w:hyperlink r:id="rId62" w:history="1">
        <w:r>
          <w:rPr>
            <w:rFonts w:ascii="arial" w:eastAsia="arial" w:hAnsi="arial" w:cs="arial"/>
            <w:i/>
            <w:color w:val="0077CC"/>
            <w:sz w:val="20"/>
            <w:u w:val="single"/>
            <w:shd w:val="clear" w:color="auto" w:fill="FFFFFF"/>
            <w:lang w:val="en-US" w:eastAsia="en-US" w:bidi="ar-SA"/>
          </w:rPr>
          <w:t>RSBC 1996, CHAPTER 443, s. 18</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 w:name="Counsel_3"/>
      <w:bookmarkEnd w:id="3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6"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Robert Harrison: On his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British Columbia Ministry of Justice: G. Morley.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 w:name="Judgment_3"/>
      <w:bookmarkEnd w:id="31"/>
      <w:r>
        <w:pict>
          <v:line id="_x0000_s1047" style="position:absolute;z-index:2516930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 w:name="B.J. BROWN J."/>
            <w:bookmarkEnd w:id="32"/>
            <w:r>
              <w:rPr>
                <w:rFonts w:ascii="arial" w:eastAsia="arial" w:hAnsi="arial" w:cs="arial"/>
                <w:b/>
                <w:color w:val="000000"/>
                <w:sz w:val="30"/>
                <w:lang w:val="en-US" w:eastAsia="en-US" w:bidi="ar-SA"/>
              </w:rPr>
              <w:t>B.J. BROWN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Province as applicant seeks the following:</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order that the amended notice of civil claim be struck out and the action dismissed pursuant to Rule 9-5(1)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order pursuant to s.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443</w:t>
      </w:r>
      <w:r>
        <w:rPr>
          <w:rFonts w:ascii="arial" w:eastAsia="arial" w:hAnsi="arial" w:cs="arial"/>
          <w:color w:val="000000"/>
          <w:sz w:val="20"/>
          <w:lang w:val="en-US" w:eastAsia="en-US" w:bidi="ar-SA"/>
        </w:rPr>
        <w:t xml:space="preserve"> that a legal proceeding must not be instituted by Mr. Harrison without leave of the court;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the application and of the action,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By way of background, in 2006, Mr. Harrison was employed to work with a 14 year old child at Access House. As a result of information received from a social worker with the Ministry of Children and Family Development, Access House initially supervised Mr. Harrison in his employment and then terminated his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Harrison made a complaint to the Information and Privacy Commissioner. The Commissioner's decision was judicially reviewed by the B.C. Supreme Court (</w:t>
      </w:r>
      <w:hyperlink r:id="rId63" w:history="1">
        <w:r>
          <w:rPr>
            <w:rFonts w:ascii="arial" w:eastAsia="arial" w:hAnsi="arial" w:cs="arial"/>
            <w:i/>
            <w:color w:val="0077CC"/>
            <w:sz w:val="20"/>
            <w:u w:val="single"/>
            <w:shd w:val="clear" w:color="auto" w:fill="FFFFFF"/>
            <w:lang w:val="en-US" w:eastAsia="en-US" w:bidi="ar-SA"/>
          </w:rPr>
          <w:t>2008 BCSC 411</w:t>
        </w:r>
      </w:hyperlink>
      <w:r>
        <w:rPr>
          <w:rFonts w:ascii="arial" w:eastAsia="arial" w:hAnsi="arial" w:cs="arial"/>
          <w:color w:val="000000"/>
          <w:sz w:val="20"/>
          <w:lang w:val="en-US" w:eastAsia="en-US" w:bidi="ar-SA"/>
        </w:rPr>
        <w:t xml:space="preserve">). That decision was appealed by the Attorney General to the Court of Appeal. The appeal was allowed and the question of whether s. 28 of the </w:t>
      </w:r>
      <w:r>
        <w:rPr>
          <w:rFonts w:ascii="arial" w:eastAsia="arial" w:hAnsi="arial" w:cs="arial"/>
          <w:i/>
          <w:color w:val="000000"/>
          <w:sz w:val="20"/>
          <w:lang w:val="en-US" w:eastAsia="en-US" w:bidi="ar-SA"/>
        </w:rPr>
        <w:t>Freedom of Information and Protection of 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165</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had been breached was remitted to the Commissioner (</w:t>
      </w:r>
      <w:hyperlink r:id="rId64" w:history="1">
        <w:r>
          <w:rPr>
            <w:rFonts w:ascii="arial" w:eastAsia="arial" w:hAnsi="arial" w:cs="arial"/>
            <w:i/>
            <w:color w:val="0077CC"/>
            <w:sz w:val="20"/>
            <w:u w:val="single"/>
            <w:shd w:val="clear" w:color="auto" w:fill="FFFFFF"/>
            <w:lang w:val="en-US" w:eastAsia="en-US" w:bidi="ar-SA"/>
          </w:rPr>
          <w:t>2009 BCCA 203</w:t>
        </w:r>
      </w:hyperlink>
      <w:r>
        <w:rPr>
          <w:rFonts w:ascii="arial" w:eastAsia="arial" w:hAnsi="arial" w:cs="arial"/>
          <w:color w:val="000000"/>
          <w:sz w:val="20"/>
          <w:lang w:val="en-US" w:eastAsia="en-US" w:bidi="ar-SA"/>
        </w:rPr>
        <w:t xml:space="preserve"> at paras. 5, 89, leave to appeal to S.C.C. refused, </w:t>
      </w:r>
      <w:hyperlink r:id="rId65" w:history="1">
        <w:r>
          <w:rPr>
            <w:rFonts w:ascii="arial" w:eastAsia="arial" w:hAnsi="arial" w:cs="arial"/>
            <w:i/>
            <w:color w:val="0077CC"/>
            <w:sz w:val="20"/>
            <w:u w:val="single"/>
            <w:shd w:val="clear" w:color="auto" w:fill="FFFFFF"/>
            <w:lang w:val="en-US" w:eastAsia="en-US" w:bidi="ar-SA"/>
          </w:rPr>
          <w:t>[2009] S.C.C.A. No. 455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remitted decision itself was judicially reviewed by the B.C. Supreme Court (</w:t>
      </w:r>
      <w:hyperlink r:id="rId66" w:history="1">
        <w:r>
          <w:rPr>
            <w:rFonts w:ascii="arial" w:eastAsia="arial" w:hAnsi="arial" w:cs="arial"/>
            <w:i/>
            <w:color w:val="0077CC"/>
            <w:sz w:val="20"/>
            <w:u w:val="single"/>
            <w:shd w:val="clear" w:color="auto" w:fill="FFFFFF"/>
            <w:lang w:val="en-US" w:eastAsia="en-US" w:bidi="ar-SA"/>
          </w:rPr>
          <w:t>2011 BCSC 1204</w:t>
        </w:r>
      </w:hyperlink>
      <w:r>
        <w:rPr>
          <w:rFonts w:ascii="arial" w:eastAsia="arial" w:hAnsi="arial" w:cs="arial"/>
          <w:color w:val="000000"/>
          <w:sz w:val="20"/>
          <w:lang w:val="en-US" w:eastAsia="en-US" w:bidi="ar-SA"/>
        </w:rPr>
        <w:t>). That decision was appealed and cross-appealed. While some of Mr. Harrison's complaints under the</w:t>
      </w:r>
      <w:r>
        <w:rPr>
          <w:rFonts w:ascii="arial" w:eastAsia="arial" w:hAnsi="arial" w:cs="arial"/>
          <w:i/>
          <w:color w:val="000000"/>
          <w:sz w:val="20"/>
          <w:lang w:val="en-US" w:eastAsia="en-US" w:bidi="ar-SA"/>
        </w:rPr>
        <w:t xml:space="preserve"> FIPPA</w:t>
      </w:r>
      <w:r>
        <w:rPr>
          <w:rFonts w:ascii="arial" w:eastAsia="arial" w:hAnsi="arial" w:cs="arial"/>
          <w:color w:val="000000"/>
          <w:sz w:val="20"/>
          <w:lang w:val="en-US" w:eastAsia="en-US" w:bidi="ar-SA"/>
        </w:rPr>
        <w:t xml:space="preserve"> were rejected, the majority of the Court of Appeal held that when the social worker provided information to the management of Access House, she breached s. 28 of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2012 BCCA 277</w:t>
        </w:r>
      </w:hyperlink>
      <w:r>
        <w:rPr>
          <w:rFonts w:ascii="arial" w:eastAsia="arial" w:hAnsi="arial" w:cs="arial"/>
          <w:color w:val="000000"/>
          <w:sz w:val="20"/>
          <w:lang w:val="en-US" w:eastAsia="en-US" w:bidi="ar-SA"/>
        </w:rPr>
        <w:t xml:space="preserve"> at paras. 73-75, leave to appeal to S.C.C. refused, </w:t>
      </w:r>
      <w:hyperlink r:id="rId68" w:history="1">
        <w:r>
          <w:rPr>
            <w:rFonts w:ascii="arial" w:eastAsia="arial" w:hAnsi="arial" w:cs="arial"/>
            <w:i/>
            <w:color w:val="0077CC"/>
            <w:sz w:val="20"/>
            <w:u w:val="single"/>
            <w:shd w:val="clear" w:color="auto" w:fill="FFFFFF"/>
            <w:lang w:val="en-US" w:eastAsia="en-US" w:bidi="ar-SA"/>
          </w:rPr>
          <w:t>[2012] S.C.C.A. No. 448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Separately, in April 2008, Mr. Harrison filed a writ of summons and statement of claim in which he sought damages for defamation and "malfeasance". The matter came on for summary trial in the B.C. Supreme Court. The action was dismissed against one defendant, but the remainder was to go to trial (</w:t>
      </w:r>
      <w:hyperlink r:id="rId69" w:history="1">
        <w:r>
          <w:rPr>
            <w:rFonts w:ascii="arial" w:eastAsia="arial" w:hAnsi="arial" w:cs="arial"/>
            <w:i/>
            <w:color w:val="0077CC"/>
            <w:sz w:val="20"/>
            <w:u w:val="single"/>
            <w:shd w:val="clear" w:color="auto" w:fill="FFFFFF"/>
            <w:lang w:val="en-US" w:eastAsia="en-US" w:bidi="ar-SA"/>
          </w:rPr>
          <w:t>2009 BCSC 460</w:t>
        </w:r>
      </w:hyperlink>
      <w:r>
        <w:rPr>
          <w:rFonts w:ascii="arial" w:eastAsia="arial" w:hAnsi="arial" w:cs="arial"/>
          <w:color w:val="000000"/>
          <w:sz w:val="20"/>
          <w:lang w:val="en-US" w:eastAsia="en-US" w:bidi="ar-SA"/>
        </w:rPr>
        <w:t xml:space="preserve"> at paras. 71-72). The remaining defendants appealed that decision and the Court of Appeal dismissed the action entirely (</w:t>
      </w:r>
      <w:hyperlink r:id="rId70" w:history="1">
        <w:r>
          <w:rPr>
            <w:rFonts w:ascii="arial" w:eastAsia="arial" w:hAnsi="arial" w:cs="arial"/>
            <w:i/>
            <w:color w:val="0077CC"/>
            <w:sz w:val="20"/>
            <w:u w:val="single"/>
            <w:shd w:val="clear" w:color="auto" w:fill="FFFFFF"/>
            <w:lang w:val="en-US" w:eastAsia="en-US" w:bidi="ar-SA"/>
          </w:rPr>
          <w:t>2010 BCCA 220</w:t>
        </w:r>
      </w:hyperlink>
      <w:r>
        <w:rPr>
          <w:rFonts w:ascii="arial" w:eastAsia="arial" w:hAnsi="arial" w:cs="arial"/>
          <w:color w:val="000000"/>
          <w:sz w:val="20"/>
          <w:lang w:val="en-US" w:eastAsia="en-US" w:bidi="ar-SA"/>
        </w:rPr>
        <w:t xml:space="preserve"> at paras. 74-75, leave to appeal to S.C.C. refused, </w:t>
      </w:r>
      <w:hyperlink r:id="rId71" w:history="1">
        <w:r>
          <w:rPr>
            <w:rFonts w:ascii="arial" w:eastAsia="arial" w:hAnsi="arial" w:cs="arial"/>
            <w:i/>
            <w:color w:val="0077CC"/>
            <w:sz w:val="20"/>
            <w:u w:val="single"/>
            <w:shd w:val="clear" w:color="auto" w:fill="FFFFFF"/>
            <w:lang w:val="en-US" w:eastAsia="en-US" w:bidi="ar-SA"/>
          </w:rPr>
          <w:t>[2010] S.C.C.A. No. 293</w:t>
        </w:r>
      </w:hyperlink>
      <w:r>
        <w:rPr>
          <w:rFonts w:ascii="arial" w:eastAsia="arial" w:hAnsi="arial" w:cs="arial"/>
          <w:color w:val="000000"/>
          <w:sz w:val="20"/>
          <w:lang w:val="en-US" w:eastAsia="en-US" w:bidi="ar-SA"/>
        </w:rPr>
        <w:t>). The current defendant, Karen Horsman, was counsel for the defendants in that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the current action, Mr. Harrison seeks: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province amend submissions made to the Court of Appeal in the earlier action, now dismissed, or damages, should the province fail to do so;</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dismissal of his previous civil action;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damages for a loss of his employment in May 2006, loss of career and both professional and personal reputation, breach of s. 28 of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breach of s. 11(d)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emotional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He pleads that the 2010 BCCA decision dismissing his earlier action was incorrect. He says that this results from Ms. Horsman, as the defendant's lawyer in the previous action, breaching his right to a fair hearing by relying on facts which he says the 2009 BCCA decision had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He says that when his civil action was dismissed by the Court of Appeal, it was dismissed because the court heard the words "risk to children" and the hearing was "irreparably contaminated".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Harrison sought leave to appeal the order dismissing his civil action to the Supreme Court of Canada. Leave was denied. Mr. Harrison then sought reconsideration of the denial and was advised by letter from the Supreme Court of Canada registrar that reconsideration was not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March 24, 2011 Mr. Harrison asked for a re-opening of the British Columbia Court of Appeal decision dismissing his civil action. That request was declined.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the judicial review hearing before Mr. Justice Greyell (</w:t>
      </w:r>
      <w:hyperlink r:id="rId66" w:history="1">
        <w:r>
          <w:rPr>
            <w:rFonts w:ascii="arial" w:eastAsia="arial" w:hAnsi="arial" w:cs="arial"/>
            <w:i/>
            <w:color w:val="0077CC"/>
            <w:sz w:val="20"/>
            <w:u w:val="single"/>
            <w:shd w:val="clear" w:color="auto" w:fill="FFFFFF"/>
            <w:lang w:val="en-US" w:eastAsia="en-US" w:bidi="ar-SA"/>
          </w:rPr>
          <w:t>2011 BCSC 1204</w:t>
        </w:r>
      </w:hyperlink>
      <w:r>
        <w:rPr>
          <w:rFonts w:ascii="arial" w:eastAsia="arial" w:hAnsi="arial" w:cs="arial"/>
          <w:color w:val="000000"/>
          <w:sz w:val="20"/>
          <w:lang w:val="en-US" w:eastAsia="en-US" w:bidi="ar-SA"/>
        </w:rPr>
        <w:t xml:space="preserve">), Mr. Harrison sought a ruling that the British Columbia Court of Appeal had been wrong in its earlier decision. Mr. Justice Greyell ruled that that was outside of his jurisdiction (paras. 40-41, 71-72). Mr. Harrison appealed that decision and the Court of Appeal in </w:t>
      </w:r>
      <w:hyperlink r:id="rId67" w:history="1">
        <w:r>
          <w:rPr>
            <w:rFonts w:ascii="arial" w:eastAsia="arial" w:hAnsi="arial" w:cs="arial"/>
            <w:i/>
            <w:color w:val="0077CC"/>
            <w:sz w:val="20"/>
            <w:u w:val="single"/>
            <w:shd w:val="clear" w:color="auto" w:fill="FFFFFF"/>
            <w:lang w:val="en-US" w:eastAsia="en-US" w:bidi="ar-SA"/>
          </w:rPr>
          <w:t>2012 BCCA 277</w:t>
        </w:r>
      </w:hyperlink>
      <w:r>
        <w:rPr>
          <w:rFonts w:ascii="arial" w:eastAsia="arial" w:hAnsi="arial" w:cs="arial"/>
          <w:color w:val="000000"/>
          <w:sz w:val="20"/>
          <w:lang w:val="en-US" w:eastAsia="en-US" w:bidi="ar-SA"/>
        </w:rPr>
        <w:t xml:space="preserve"> held that there was no jurisdiction to re-open the 2010 BCCA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Harrison then wrote and later applied to the Court of Appeal to re-open the 2010 decision. The application was dismissed August 23,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Harrison then applied to a three member panel of the Court of Appeal to vary that order. That application was dismissed October 23, 2013 (</w:t>
      </w:r>
      <w:hyperlink r:id="rId72" w:history="1">
        <w:r>
          <w:rPr>
            <w:rFonts w:ascii="arial" w:eastAsia="arial" w:hAnsi="arial" w:cs="arial"/>
            <w:i/>
            <w:color w:val="0077CC"/>
            <w:sz w:val="20"/>
            <w:u w:val="single"/>
            <w:shd w:val="clear" w:color="auto" w:fill="FFFFFF"/>
            <w:lang w:val="en-US" w:eastAsia="en-US" w:bidi="ar-SA"/>
          </w:rPr>
          <w:t>2013 BCCA 465</w:t>
        </w:r>
      </w:hyperlink>
      <w:r>
        <w:rPr>
          <w:rFonts w:ascii="arial" w:eastAsia="arial" w:hAnsi="arial" w:cs="arial"/>
          <w:color w:val="000000"/>
          <w:sz w:val="20"/>
          <w:lang w:val="en-US" w:eastAsia="en-US" w:bidi="ar-SA"/>
        </w:rPr>
        <w:t>). Mr. Harrison has sought leave to appeal this decision to the Supreme Court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Harrison opposes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He argues that the Crown has continued to rely on false information despite the 2009 British Columbia Court of Appeal decision stating that there were "no risk to child" issues connected to this case. He says that by relying on the decision of </w:t>
      </w:r>
      <w:r>
        <w:rPr>
          <w:rFonts w:ascii="arial" w:eastAsia="arial" w:hAnsi="arial" w:cs="arial"/>
          <w:i/>
          <w:color w:val="000000"/>
          <w:sz w:val="20"/>
          <w:lang w:val="en-US" w:eastAsia="en-US" w:bidi="ar-SA"/>
        </w:rPr>
        <w:t>Syl Apps Secure Treatment Centre v. B.D.</w:t>
      </w:r>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2007 SCC 38</w:t>
        </w:r>
      </w:hyperlink>
      <w:r>
        <w:rPr>
          <w:rFonts w:ascii="arial" w:eastAsia="arial" w:hAnsi="arial" w:cs="arial"/>
          <w:color w:val="000000"/>
          <w:sz w:val="20"/>
          <w:lang w:val="en-US" w:eastAsia="en-US" w:bidi="ar-SA"/>
        </w:rPr>
        <w:t>, the province is saying that there was, in fact, a "risk to child" in his case. He says that the 2010 BCCA decision, dismissing his civil claim, relied on "risk to child". He says that "the Crown contaminated the Court with a procedurally unfair use of 'risk to child'". He says that if the Crown had properly complied with the 2009 BCCA decision and correctly informed the court that this matter did not, in fact, involve a "risk to child", it is highly unlikely the court would have dismissed the civil action by claiming that the Crown did not owe a private law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He says that his new statement of claim is grounded on the fact that the defendants did not comply with the 2009 BCCA decision and continue to rely on a false "risk to child"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Rule 9-5(1)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 the whole ... of a pleading ... on the ground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crux of the province's argument is that this matter has already been litigated and the action dismissed. The province argues that the action is barred by </w:t>
      </w:r>
      <w:r>
        <w:rPr>
          <w:rFonts w:ascii="arial" w:eastAsia="arial" w:hAnsi="arial" w:cs="arial"/>
          <w:i/>
          <w:color w:val="000000"/>
          <w:sz w:val="20"/>
          <w:lang w:val="en-US" w:eastAsia="en-US" w:bidi="ar-SA"/>
        </w:rPr>
        <w:t>res judicata.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With respect to the claims made against Ms. Horsman, the province argues that statements made in open court or in written documents filed with the court are subject to absolute privilege. As a result, Mr. Harrison may not bring action against Ms. Horsman.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province says that in any event, Mr. Harrison is simply attempting to re-litigate the earlier litigation, merely adding Ms. Horsman's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turn first to the decision of the British Columbia Court of Appeal dismissing the earlier civil action (</w:t>
      </w:r>
      <w:hyperlink r:id="rId70" w:history="1">
        <w:r>
          <w:rPr>
            <w:rFonts w:ascii="arial" w:eastAsia="arial" w:hAnsi="arial" w:cs="arial"/>
            <w:i/>
            <w:color w:val="0077CC"/>
            <w:sz w:val="20"/>
            <w:u w:val="single"/>
            <w:shd w:val="clear" w:color="auto" w:fill="FFFFFF"/>
            <w:lang w:val="en-US" w:eastAsia="en-US" w:bidi="ar-SA"/>
          </w:rPr>
          <w:t>2010 BCCA 220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that decision, the court noted that Mr. Harrison alleged three causes of action: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defamation and misfeasance in public office. The court concluded that none of those causes of action could succeed in law. First, dealing with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court concluded that the social worker did not owe a duty of care to Mr. Harrison. That finding was not dependent on a finding of fact, as the court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 irrespective of the conflict in the evidence, Mr. Harrison's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could not succeed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court came to that conclusion on the basis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 the recognition of an ancillary duty of care would create a conflict of duties that could interfere with the overriding mandate of child protection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That decision did not depend on any finding of fact with regard to Mr. Harrison. It dealt exclusively with the legal relationship between a social worker in the circumstances of the social worker in this case and a third party, an employee of a contracted agency.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As to the second cause of action, misfeasance in public office,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 Misfeasance in public office is an intentional tort requiring proof of bad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 there is nothing in the considerable record that was before the trial judge that could possibly satisfy this evidentiary burden ... even if the version of events argued by Mr. Harrison were to be established at trial, the record would remain incapable of providing the "clear proof" necessary for a trier of fact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With respect to the third cause of action, defamation, the court concluded that this cause of action could not succeed because communications were made on occasions of "qualified privilege without malice" (para. 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Contrary to Mr. Harrison's submission, there is nothing in the Court of Appeal judgment to suggest that the Court of Appeal believed that there was any "risk to child" in relation to Mr. Harrison.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my view, Mr. Harrison fundamentally misapprehends the decision of the Court of Appeal and that is at the root of the current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Turning to the current action, Mr. Harrison pleads:</w:t>
      </w:r>
      <w:r>
        <w:rPr>
          <w:rFonts w:ascii="arial" w:eastAsia="arial" w:hAnsi="arial" w:cs="arial"/>
          <w:sz w:val="20"/>
          <w:lang w:val="en-US" w:eastAsia="en-US" w:bidi="ar-SA"/>
        </w:rPr>
        <w:cr/>
      </w:r>
    </w:p>
    <w:p>
      <w:pPr>
        <w:numPr>
          <w:numId w:val="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B.C. Minister of Attorney General and Karen Horsman breached the Plaintiff's right to a fair hearing under 2(e) of the </w:t>
      </w:r>
      <w:r>
        <w:rPr>
          <w:rFonts w:ascii="arial" w:eastAsia="arial" w:hAnsi="arial" w:cs="arial"/>
          <w:i/>
          <w:color w:val="000000"/>
          <w:sz w:val="20"/>
          <w:lang w:val="en-US" w:eastAsia="en-US" w:bidi="ar-SA"/>
        </w:rPr>
        <w:t>Canadian Bill of Rights</w:t>
      </w:r>
      <w:r>
        <w:rPr>
          <w:rFonts w:ascii="arial" w:eastAsia="arial" w:hAnsi="arial" w:cs="arial"/>
          <w:color w:val="000000"/>
          <w:sz w:val="20"/>
          <w:lang w:val="en-US" w:eastAsia="en-US" w:bidi="ar-SA"/>
        </w:rPr>
        <w:t xml:space="preserve"> in the January 2010 civil appeal by continuing to rely on facts already rejected by the Court in the May 7, 2009 decision.</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instant the 2010 division heard 'risk to children' and the comparison to child safety in the Syl Apps case law, the hearing was irreparably contaminated. The Plaintiff suffered discrimination and a clear breach of procedural fairness.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Prejudicial facts related to 'risk to child' duty were improperly raised by the Defendants in the January 11 and 12, 2010 civil appeal hearing. Any 'risk to child' inferences were inadmissible and should have been excluded under the legal principle of </w:t>
      </w:r>
      <w:r>
        <w:rPr>
          <w:rFonts w:ascii="arial" w:eastAsia="arial" w:hAnsi="arial" w:cs="arial"/>
          <w:i/>
          <w:color w:val="000000"/>
          <w:sz w:val="20"/>
          <w:lang w:val="en-US" w:eastAsia="en-US" w:bidi="ar-SA"/>
        </w:rPr>
        <w:t>estoppel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 rem judicatem</w:t>
      </w:r>
      <w:r>
        <w:rPr>
          <w:rFonts w:ascii="arial" w:eastAsia="arial" w:hAnsi="arial" w:cs="arial"/>
          <w:color w:val="000000"/>
          <w:sz w:val="20"/>
          <w:lang w:val="en-US" w:eastAsia="en-US" w:bidi="ar-SA"/>
        </w:rPr>
        <w:t xml:space="preserve"> [sic].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use of false submissions in the January 2010 appeal hearings breached the Plaintiff [sic] right to a fair hearing and were reckless, malicious, corrupt, and intended to cause the plaintiff to be smeared with a false stench of 'risk to child'.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claims the Defendant's misuse and abuse of false submissions in the January 11, and 12, 2010 civil appeal hearing caused the Court to wrongly dismiss the Plaintiff's civil action, and permanently taint the Plaintiff with a 'risk to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He pleads that the defendant's failure to comply with the 2009 BCCA decision establishes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failing to implement a judicial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He pleads that the province and Karen Horsman breached a fiduciary duty to him by relying on false and malicious submissions to the Court of Appeal. He pleads four breaches of s. 28 of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in May 2006 to the plaintiff's employer; in May 2006 to a potential employer; in submissions to the privacy commissioner in 2006 and 2007; and in submissions to the court in 2007, 2008, 2009, 2010 and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He pleads damages for the following: breach of s. 28 of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breach of fiduciary duty; breach of trust;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misfeasance in public office; breach of s. 7 of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and breach of s. 2(e) of the </w:t>
      </w:r>
      <w:r>
        <w:rPr>
          <w:rFonts w:ascii="arial" w:eastAsia="arial" w:hAnsi="arial" w:cs="arial"/>
          <w:i/>
          <w:color w:val="000000"/>
          <w:sz w:val="20"/>
          <w:lang w:val="en-US" w:eastAsia="en-US" w:bidi="ar-SA"/>
        </w:rPr>
        <w:t>Canadian Bill of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agree with the defendant's submissions that in the current action, Mr. Harrison is attempting to re-litigate matters that have already been decided.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 litigant cannot litigate facts or legal propositions that were already decided against a litigant in a previous action or that should have been raised in a previous action (</w:t>
      </w:r>
      <w:r>
        <w:rPr>
          <w:rFonts w:ascii="arial" w:eastAsia="arial" w:hAnsi="arial" w:cs="arial"/>
          <w:i/>
          <w:color w:val="000000"/>
          <w:sz w:val="20"/>
          <w:lang w:val="en-US" w:eastAsia="en-US" w:bidi="ar-SA"/>
        </w:rPr>
        <w:t>Lehndorff Management Ltd. v. L.R.S. Development Enterprises Ltd.</w:t>
      </w:r>
      <w:r>
        <w:rPr>
          <w:rFonts w:ascii="arial" w:eastAsia="arial" w:hAnsi="arial" w:cs="arial"/>
          <w:color w:val="000000"/>
          <w:sz w:val="20"/>
          <w:lang w:val="en-US" w:eastAsia="en-US" w:bidi="ar-SA"/>
        </w:rPr>
        <w:t xml:space="preserve">, </w:t>
      </w:r>
      <w:hyperlink r:id="rId74" w:history="1">
        <w:r>
          <w:rPr>
            <w:rFonts w:ascii="arial" w:eastAsia="arial" w:hAnsi="arial" w:cs="arial"/>
            <w:i/>
            <w:color w:val="0077CC"/>
            <w:sz w:val="20"/>
            <w:u w:val="single"/>
            <w:shd w:val="clear" w:color="auto" w:fill="FFFFFF"/>
            <w:lang w:val="en-US" w:eastAsia="en-US" w:bidi="ar-SA"/>
          </w:rPr>
          <w:t>[1980] B.C.J. No. 2</w:t>
        </w:r>
      </w:hyperlink>
      <w:r>
        <w:rPr>
          <w:rFonts w:ascii="arial" w:eastAsia="arial" w:hAnsi="arial" w:cs="arial"/>
          <w:color w:val="000000"/>
          <w:sz w:val="20"/>
          <w:lang w:val="en-US" w:eastAsia="en-US" w:bidi="ar-SA"/>
        </w:rPr>
        <w:t xml:space="preserve"> at paras. 14-16).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crux of Mr. Harrison's complaint, as I've already noted, is that he is not happy with the 2010 decision of the British Columbia Court of Appeal. He cannot attack that decision laterally, by starting a new action in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Nor can he re-litigate matters by casting them in a different legal light. He could have and should have brought any claim arising from those facts in the earlier litigation. Those matters are now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Accordingly, I am satisfied that the current action is unnecessary and vexatious or is otherwise an abuse of the process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With respect to the claim against Ms. Horsman, I accept the province's submissions that the argument that she filed in the Court of Appeal and her submissions in the Court of Appeal were subject to absolute privilege and Mr. Harrison cannot sue Ms. Horsman as the lawyer acting on behalf of the province in that matter (</w:t>
      </w:r>
      <w:r>
        <w:rPr>
          <w:rFonts w:ascii="arial" w:eastAsia="arial" w:hAnsi="arial" w:cs="arial"/>
          <w:i/>
          <w:color w:val="000000"/>
          <w:sz w:val="20"/>
          <w:lang w:val="en-US" w:eastAsia="en-US" w:bidi="ar-SA"/>
        </w:rPr>
        <w:t>Geyer v. C.C.I. Merritt</w:t>
      </w:r>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[1979] B.C.J. No. 640</w:t>
        </w:r>
      </w:hyperlink>
      <w:r>
        <w:rPr>
          <w:rFonts w:ascii="arial" w:eastAsia="arial" w:hAnsi="arial" w:cs="arial"/>
          <w:color w:val="000000"/>
          <w:sz w:val="20"/>
          <w:lang w:val="en-US" w:eastAsia="en-US" w:bidi="ar-SA"/>
        </w:rPr>
        <w:t xml:space="preserve"> at para. 3 (S.C.), aff'd </w:t>
      </w:r>
      <w:hyperlink r:id="rId76" w:history="1">
        <w:r>
          <w:rPr>
            <w:rFonts w:ascii="arial" w:eastAsia="arial" w:hAnsi="arial" w:cs="arial"/>
            <w:i/>
            <w:color w:val="0077CC"/>
            <w:sz w:val="20"/>
            <w:u w:val="single"/>
            <w:shd w:val="clear" w:color="auto" w:fill="FFFFFF"/>
            <w:lang w:val="en-US" w:eastAsia="en-US" w:bidi="ar-SA"/>
          </w:rPr>
          <w:t>[1980] B.C.J. No. 1290</w:t>
        </w:r>
      </w:hyperlink>
      <w:r>
        <w:rPr>
          <w:rFonts w:ascii="arial" w:eastAsia="arial" w:hAnsi="arial" w:cs="arial"/>
          <w:color w:val="000000"/>
          <w:sz w:val="20"/>
          <w:lang w:val="en-US" w:eastAsia="en-US" w:bidi="ar-SA"/>
        </w:rPr>
        <w:t xml:space="preserve"> (C.A.)). Accordingly, this aspect of the statement of claim must be dismissed as an abuse of process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SECTION 18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Section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on application by any person, the court is satisfied that a person has habitually, persistently and without reasonable grounds, instituted vexatious legal proceedings in the Supreme Court or in the Provincial Court against the same or different persons, the court may, after hearing that person or giving him or her an opportunity to be heard, order that a legal proceeding must not, without leave of the court, be instituted by that person in any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am not satisfied that Mr. Harrison's actions in this court come within s.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From my review of the decisions, only the current pleadings can be said to be vexatious or an abuse of the process of the court. It may be otherwise in the Court of Appeal and the Supreme Court of Canada, but that does not come within s.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anticipate that the province will renew the s. 18 application should Mr. Harrison continue to bring action seeking relief arising out of the 2006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conclusion, Mr. Harrison's action is struck pursuant to Rule 9-5(1)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I decline to make an order pursuant to s.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province seeks an order for special costs in this application and the action. Special costs are justified where the court finds that a party is guilty of reprehensible conduct as "[t]he very nature of special costs is to address the conduct of the parties" (</w:t>
      </w:r>
      <w:r>
        <w:rPr>
          <w:rFonts w:ascii="arial" w:eastAsia="arial" w:hAnsi="arial" w:cs="arial"/>
          <w:i/>
          <w:color w:val="000000"/>
          <w:sz w:val="20"/>
          <w:lang w:val="en-US" w:eastAsia="en-US" w:bidi="ar-SA"/>
        </w:rPr>
        <w:t>Watson v. Slavik</w:t>
      </w: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[1996] B.C.J. No. 1885</w:t>
        </w:r>
      </w:hyperlink>
      <w:r>
        <w:rPr>
          <w:rFonts w:ascii="arial" w:eastAsia="arial" w:hAnsi="arial" w:cs="arial"/>
          <w:color w:val="000000"/>
          <w:sz w:val="20"/>
          <w:lang w:val="en-US" w:eastAsia="en-US" w:bidi="ar-SA"/>
        </w:rPr>
        <w:t xml:space="preserve"> at paras. 5, 16; see also </w:t>
      </w:r>
      <w:r>
        <w:rPr>
          <w:rFonts w:ascii="arial" w:eastAsia="arial" w:hAnsi="arial" w:cs="arial"/>
          <w:i/>
          <w:color w:val="000000"/>
          <w:sz w:val="20"/>
          <w:lang w:val="en-US" w:eastAsia="en-US" w:bidi="ar-SA"/>
        </w:rPr>
        <w:t>Glase v. Glase</w:t>
      </w:r>
      <w:r>
        <w:rPr>
          <w:rFonts w:ascii="arial" w:eastAsia="arial" w:hAnsi="arial" w:cs="arial"/>
          <w:color w:val="000000"/>
          <w:sz w:val="20"/>
          <w:lang w:val="en-US" w:eastAsia="en-US" w:bidi="ar-SA"/>
        </w:rPr>
        <w:t xml:space="preserve">, </w:t>
      </w:r>
      <w:hyperlink r:id="rId78" w:history="1">
        <w:r>
          <w:rPr>
            <w:rFonts w:ascii="arial" w:eastAsia="arial" w:hAnsi="arial" w:cs="arial"/>
            <w:i/>
            <w:color w:val="0077CC"/>
            <w:sz w:val="20"/>
            <w:u w:val="single"/>
            <w:shd w:val="clear" w:color="auto" w:fill="FFFFFF"/>
            <w:lang w:val="en-US" w:eastAsia="en-US" w:bidi="ar-SA"/>
          </w:rPr>
          <w:t>2008 BCSC 887</w:t>
        </w:r>
      </w:hyperlink>
      <w:r>
        <w:rPr>
          <w:rFonts w:ascii="arial" w:eastAsia="arial" w:hAnsi="arial" w:cs="arial"/>
          <w:color w:val="000000"/>
          <w:sz w:val="20"/>
          <w:lang w:val="en-US" w:eastAsia="en-US" w:bidi="ar-SA"/>
        </w:rPr>
        <w:t xml:space="preserve"> at para. 8). I do not find that Mr. Harrison's conduct comes within the criteria set out to order special costs and I decline to order special costs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province has been substantially successful on this application; accordingly it will have its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B.J. BROWN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8" style="position:absolute;z-index:2517022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9"/>
          <w:headerReference w:type="default" r:id="rId80"/>
          <w:footerReference w:type="even" r:id="rId81"/>
          <w:footerReference w:type="default" r:id="rId82"/>
          <w:headerReference w:type="first" r:id="rId83"/>
          <w:footerReference w:type="first" r:id="rId8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5" w:history="1">
        <w:r>
          <w:rPr>
            <w:rFonts w:ascii="arial" w:eastAsia="arial" w:hAnsi="arial" w:cs="arial"/>
            <w:b/>
            <w:bCs/>
            <w:i/>
            <w:color w:val="0077CC"/>
            <w:kern w:val="32"/>
            <w:sz w:val="28"/>
            <w:szCs w:val="32"/>
            <w:u w:val="single"/>
            <w:shd w:val="clear" w:color="auto" w:fill="FFFFFF"/>
            <w:lang w:val="en-US" w:eastAsia="en-US" w:bidi="ar-SA"/>
          </w:rPr>
          <w:t>Hoy v. Medtronic, Inc., [2002] B.C.J. No. 2675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Kirkpatrick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25,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M000047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2675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1648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31 C.P.C. (5th) 86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118 A.C.W.S. (3d) 499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CarswellBC 2819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James Hoy and Andrew Steeds, plaintiffs, and Medtronic, Inc. and Medtronic of Canada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9"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3" w:name="Keywords_4"/>
      <w:bookmarkEnd w:id="33"/>
      <w:r>
        <w:rPr>
          <w:rFonts w:ascii="arial" w:eastAsia="arial" w:hAnsi="arial" w:cs="arial"/>
          <w:b/>
          <w:color w:val="000000"/>
          <w:sz w:val="20"/>
          <w:lang w:val="en-US" w:eastAsia="en-US" w:bidi="ar-SA"/>
        </w:rPr>
        <w:t>Practice — Persons who can sue and be sued — Individuals and corporations, status or standing — Class or representative actions — Pleadings — Particulars — Time for demand — Application for, considerations — Object or purpose of particulars.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4" w:name="Case Summary_4"/>
            <w:bookmarkEnd w:id="3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Medtronic Inc. and Medtronic of Canada Ltd., for an order requiring the plaintiffs, Hoy and Steeds, to amend their statement of claim to conform with the certified common issues by including further and better particulars. The plaintiffs brought a complex products liability claim against Medtronic. Medtronic applied for an order that Hoy provide further and better particulars of his claim. Hoy was ordered to provide a limited number of particulars, and the particulars were included in an amended statement of claim. The action was certified as a class proceeding. After the action was certified, Medtronic delivered another demand for particulars. The plaintiffs argued that the demand was premature because neither discoveries nor document production had been completed. Medtronic argued that since much of the evidence was to be given by experts, proper trial management required that the issues be defined precisely. The plaintiffs further argued that there was no jurisdiction to order particulars of the common issues as defined by the certification order, because the Rules of Court only contemplated an order for further and better particulars of a matter stated in a pleading. Finally, the plaintiffs argued that Medtronic's application was res judicata, and that the particulars sought were entirely unnecessary.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5" w:name="Holdings of Court_3"/>
            <w:bookmarkEnd w:id="35"/>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Although the Rules did not explicitly refer to common issues in a class proceeding, the Class Proceedings Act allowed for the making of any order appropriate to ensure the fair and expeditious determination of a class proceeding. Making an order for further and better particulars in respect of the common issues did not conflict with anything in the Rules. It would have been folly to permit the action to proceed to trial without further refinement and elucidation of the issues. The matter was not res judicata because the first application for particulars had been made prior to the certification order. The matter was not premature, as discovery was not an adequate substitute for particulars and there was no evidence that the plaintiffs were not in a position to give particulars.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6" w:name="Legislation Cited_3"/>
      <w:bookmarkEnd w:id="3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0"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British Columbia Supreme Court Rules, Rule 19(16). Class Proceedings Act, S.B.C. 1995, c. 21. Class Proceedings Act, </w:t>
      </w:r>
      <w:hyperlink r:id="rId86" w:history="1">
        <w:r>
          <w:rPr>
            <w:rFonts w:ascii="arial" w:eastAsia="arial" w:hAnsi="arial" w:cs="arial"/>
            <w:i/>
            <w:color w:val="0077CC"/>
            <w:sz w:val="20"/>
            <w:u w:val="single"/>
            <w:shd w:val="clear" w:color="auto" w:fill="FFFFFF"/>
            <w:lang w:val="en-US" w:eastAsia="en-US" w:bidi="ar-SA"/>
          </w:rPr>
          <w:t>R.S.B.C. 1996, c. 50, ss. 12</w:t>
        </w:r>
      </w:hyperlink>
      <w:r>
        <w:rPr>
          <w:rFonts w:ascii="arial" w:eastAsia="arial" w:hAnsi="arial" w:cs="arial"/>
          <w:color w:val="000000"/>
          <w:sz w:val="20"/>
          <w:lang w:val="en-US" w:eastAsia="en-US" w:bidi="ar-SA"/>
        </w:rPr>
        <w:t>, 40.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7" w:name="Counsel_4"/>
      <w:bookmarkEnd w:id="3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1"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W.K. Branch and C. Rhone, for the plaintiffs. H. Poulus, Q.C., D.R. Brown, G.T. Palm and B. Brent,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8" w:name="Judgment_4"/>
      <w:bookmarkEnd w:id="38"/>
      <w:r>
        <w:pict>
          <v:line id="_x0000_s1052" style="position:absolute;z-index:25169408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9" w:name="KIRKPATRICK J."/>
            <w:bookmarkEnd w:id="39"/>
            <w:r>
              <w:rPr>
                <w:rFonts w:ascii="arial" w:eastAsia="arial" w:hAnsi="arial" w:cs="arial"/>
                <w:b/>
                <w:color w:val="000000"/>
                <w:sz w:val="30"/>
                <w:lang w:val="en-US" w:eastAsia="en-US" w:bidi="ar-SA"/>
              </w:rPr>
              <w:t>KIRKPATRICK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Medtronic Inc. and Medtronic of Canada Ltd. ("Medtronic") apply in this class action for an order that the plaintiffs, within 21 days, further amend the amended statement of claim to bring it into conformity with the common issues as certified on September 27, 2001 and that the further amended statement of claim include further and better particulars in accordance with requests set out in Schedule "A" to the notice of motion. In the alternative, Medtronic seeks an order that the proceeding be decertified or that the certification order be amended to decertify the issue of entitlement to punitive damages; or in the further alternative, that the plaintiffs, within 21 days, deliver to Medtronic further and better particulars as set out in Schedule "A" to the notice of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 attach Schedule "A" to these reasons to demonstrate the breadth and detail of the demanded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issue as to Medtronic's entitlement to demand further and better particulars was the subject of a hearing on October 25, 2002. The submissions in respect of the actual particulars demanded by Medtronic was adjourned to November 19, 2002, there being insufficient time on October 25, 2002 to hear submissions in respect of the demanded particulars. The continuation of the application has since been adjourned to December 16,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Prior to the certification of this action as a class action, the defendants applied for an order that the then sole plaintiff, James Hoy, provide further and better particulars of his claim. In oral reasons for judgment delivered on May 3, 2000, I ordered that the plaintiff provide a limited number of the particulars which had been demanded. However, with respect to other of the defendants' demand for particulars, I concluded that the particulars were not necessary at that stage of the proceeding. At paragraph 31, I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to demands 4, 5 and 6 of the demand for particulars [concerning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allegations], I have concluded that, at this stage of the proceeding, the answers to the demands dealt with above will be sufficient to permit the defendants to proceed to the certification hearing. The demands in paragraphs 5 through 6 are much more detailed and require, as counsel for the plaintiff asserted, information that will be disclosed by expert reports that the plaintiff does not yet have. I therefore conclude that it would be fruitless, at this stage, to order the production of those particulars. Furthermore, I do not consider that it is necessary at this stage to require production of those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Counsel for the plaintiffs filed an amended statement of claim on May 12, 2000, which contained the particulars ordered on May 3,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May 12, 2000, counsel for the plaintiffs also filed and delivered a motion seeking to have this action certified as a class action. In support of that application, a number of affidavits were delivered, the deponents consisting of (among others) an expert medical witness, Dr. Tyers; Dr. Blais, an expert in medical devices and a former scientist of the Health Protection Branch of the Department of National Health and Welfare, Canada; and Dr. Dillon, a former employee of the U.S. Food and Drug Administration.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It is common ground that counsel for the plaintiffs has access to a significant amount of information that they have termed "legal capital." That so-called legal capital is available to counsel for the plaintiffs pursuant to an arrangement between plaintiffs' counsel in British Columbia and attorneys in the United States who have been involved in litigation against Medtronic in the United States. One of those lawyers, John Emerson, in a letter pre-dating the agreement between him and counsel for the plaintiffs, described the information that he would be able to provide to plaintiffs' counsel,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deposed the defendants' employees and experts, have reviewed over a million documents, have retained internationally recognized experts on the plaintiffs' side of the case, and can have the Canadian clients lined up to sign on for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connection with litigation in Texas, in which Mr. Emerson was counsel, the Texas court granted a protective order which permitted plaintiffs' counsel to provide confidential information obtained from Medtronic to other counsel engaged in related litigation, which was defined as "polyurethane-insulated pacemaker lead litigation where Medtronic is a defendant in cases where a similar protective order was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order to gain access to that confidential information, plaintiffs' counsel sought Medtronic's agreement to the entry of a similar order in this litigation. On March 27, 2000, a protective order was made by consent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part of the agreement providing for the protective order, Medtronic also agreed to give plaintiffs' counsel access to their document repository in the United States which contains approximately 800,000 pages of documents. In return, plaintiffs' counsel agreed to accept the repository index as representing the list of documents of Medtronic Inc. in this proceeding and to provide Medtronic's counsel with copies of all documents they received from sources in the United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Medtronic's application for particulars was delivered on March 24, 2000. The application was heard on May 1, 2000. The general position taken by plaintiffs' counsel on the May 2000 application for particulars was that particulars were not necessary to enable the defendants to defend the certification proceeding and, in any event, the demand for particulars was premature. As I noted in my reasons of May 3, 2000: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takes the broad view that, if the action is certified to proceed as a class proceeding, then its future course will be highly dependent on the definition of the common issues and the plan approved by the court for the resolution of the common issues. Thus, the plaintiff contends that the original pleadings in the action will become of secondary importance after the issues are narrowed by the certification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Pursuant to the protective order for the production of documents, plaintiffs' counsel received 13 boxes of Medtronic documents and related materials from their colleagues in the United States. Those were in turn provided to counsel for Medtronic and occupy 50 four-inch binders and one two-inch binder. I am advised that this represents the entirety of the document production by Medtronic in relation to relevant and non-privileged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Among the documents provided to plaintiffs' counsel were the following:</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90 volumes of transcript from the depositions of 52 different Medtronic employees and former employees in other proceedings, including eight volumes of transcript from the depositions of Ken Stokes and six volumes of transcript from the depositions of Charles Swanson (both of whom provided evidence on the certification hearing);</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39 documents marked as "Plaintiffs' Exhibit";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approximately 25 individual articles and three collections of multiple articles on polyurethane leads and pacing generally;</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Emerson's collection of pleadings and other court papers referable to the action in which he was counsel in Texas;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approximately 3,500 pages of documents from the Medtronic document repository.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On July 26, 2000, the defendants filed a statement of defence in which they acknowledged that they owed a duty to users of their products to use reasonable care and denied any breach of that duty and all of the plaintiffs'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thus putting those allegations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Between August 28, 2000 and September 8, 2000, the parties to this action conducted cross-examinations on the affidavits filed in connection with the certification application. At those examinations, counsel for the plaintiffs produced a number of documents that were marked as exhibits, including Medtronic documents, FDA documents, and transcripts from other proceedings in which Medtronic was involved in litigation in the United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September 27, 2001, I delivered reasons in which I ordered that the action be certified as a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February 26, 2002, Medtronic delivered a demand for particulars to plaintiffs' counsel. In correspondence with Medtronic's counsel, plaintiffs' counsel took the position that there was no need for any further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August 2002, the parties exchanged lists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At a case management conference on September 12, 2002, plaintiffs' counsel stated that because the document lists had only been exchanged in August, they needed time to review the documents and conduct examinations for discovery. Plaintiffs' counsel submitted that until that time, it remained premature to provide further particulars. Following that case management conference, counsel for Medtronic wrote to plaintiffs' counsel to put them on notice that if they intended to take the position that they were unable to give particulars at the present time, Medtronic would take the position that the point was not open to them unless they delivered affidavit material to displace the evidence on the record that indicates that class counsel have (and for many months have had) access to an extensive body of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By letter dated September 25, 2002, plaintiffs' counsel re-asserted their position that the provision of particulars is premature because discoveries have not been completed and document production and review is not yet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Drawing on the general principles distilled from the authorities cited by counsel for the defendants on the application, Medtronic argues that it is crucial that it receive particulars of the plaintiffs' claims to enable Medtronic to make full answer and defence to the various allegations contained in the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can be no question that this is a complex products liability case involving serious allegations against Medtronic, including a claim for punitive damages. Counsel for the defendants helpfully summarized the authorities and the general principles to be distilled from them in his argument,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Proper particulars are any that tend to delineate the issues between the parties.</w:t>
      </w:r>
      <w:bookmarkStart w:id="40"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40"/>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usual for particulars to be provided by the plaintiff where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made.</w:t>
      </w:r>
      <w:bookmarkStart w:id="41" w:name="Backward_fnref_fnr-2"/>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41"/>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Particulars are to be encouraged where they would bring the real issues between the parties forward and reduce the length of trials.</w:t>
      </w:r>
      <w:bookmarkStart w:id="42" w:name="Backward_fnref_fnr-3"/>
      <w:hyperlink w:anchor="Forward_fnref_fnr-3" w:history="1">
        <w:r>
          <w:rPr>
            <w:rFonts w:ascii="arial" w:eastAsia="arial" w:hAnsi="arial" w:cs="arial"/>
            <w:b/>
            <w:color w:val="BE161D"/>
            <w:sz w:val="20"/>
            <w:shd w:val="clear" w:color="auto" w:fill="FFFFFF"/>
            <w:vertAlign w:val="superscript"/>
            <w:lang w:val="en-US" w:eastAsia="en-US" w:bidi="ar-SA"/>
          </w:rPr>
          <w:t>3</w:t>
        </w:r>
      </w:hyperlink>
      <w:bookmarkEnd w:id="42"/>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Particulars are especially important in complicated products liability cases. As this court said in GWL:</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 consider the [Cominco] case illustrative of a practical approach to delineating the issues to be tried in a complex products liability case where the pleadings are broad and the need to avoid surprise requires the court's discretion be exercised in favour of the party seeking to tie the hands of its adversary.</w:t>
      </w:r>
      <w:bookmarkStart w:id="43" w:name="Backward_fnref_fnr-4"/>
      <w:hyperlink w:anchor="Forward_fnref_fnr-4" w:history="1">
        <w:r>
          <w:rPr>
            <w:rFonts w:ascii="arial" w:eastAsia="arial" w:hAnsi="arial" w:cs="arial"/>
            <w:b/>
            <w:color w:val="BE161D"/>
            <w:sz w:val="20"/>
            <w:shd w:val="clear" w:color="auto" w:fill="FFFFFF"/>
            <w:vertAlign w:val="superscript"/>
            <w:lang w:val="en-US" w:eastAsia="en-US" w:bidi="ar-SA"/>
          </w:rPr>
          <w:t>4</w:t>
        </w:r>
      </w:hyperlink>
      <w:bookmarkEnd w:id="43"/>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cases of serious allegations, such as those involving claims for punitive damages, particulars are appropriate.</w:t>
      </w:r>
      <w:bookmarkStart w:id="44" w:name="Backward_fnref_fnr-5"/>
      <w:hyperlink w:anchor="Forward_fnref_fnr-5" w:history="1">
        <w:r>
          <w:rPr>
            <w:rFonts w:ascii="arial" w:eastAsia="arial" w:hAnsi="arial" w:cs="arial"/>
            <w:b/>
            <w:color w:val="BE161D"/>
            <w:sz w:val="20"/>
            <w:shd w:val="clear" w:color="auto" w:fill="FFFFFF"/>
            <w:vertAlign w:val="superscript"/>
            <w:lang w:val="en-US" w:eastAsia="en-US" w:bidi="ar-SA"/>
          </w:rPr>
          <w:t>5</w:t>
        </w:r>
      </w:hyperlink>
      <w:bookmarkEnd w:id="44"/>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functions of particulars include:</w:t>
      </w:r>
      <w:bookmarkStart w:id="45" w:name="Backward_fnref_fnr-6"/>
      <w:hyperlink w:anchor="Forward_fnref_fnr-6" w:history="1">
        <w:r>
          <w:rPr>
            <w:rFonts w:ascii="arial" w:eastAsia="arial" w:hAnsi="arial" w:cs="arial"/>
            <w:b/>
            <w:color w:val="BE161D"/>
            <w:sz w:val="20"/>
            <w:shd w:val="clear" w:color="auto" w:fill="FFFFFF"/>
            <w:vertAlign w:val="superscript"/>
            <w:lang w:val="en-US" w:eastAsia="en-US" w:bidi="ar-SA"/>
          </w:rPr>
          <w:t>6</w:t>
        </w:r>
      </w:hyperlink>
      <w:bookmarkEnd w:id="45"/>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inform the other side of the nature of the case they have to meet as distinguished from the mode in which that case is to be proved;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prevent the other side from being taken by surprise at the trial;</w:t>
      </w:r>
    </w:p>
    <w:p>
      <w:pPr>
        <w:numPr>
          <w:numId w:val="6"/>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to enable the other side to know what evidence they ought to be prepared with and to prepare for trial;</w:t>
      </w:r>
    </w:p>
    <w:p>
      <w:pPr>
        <w:numPr>
          <w:numId w:val="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to limit the generality of the pleadings;</w:t>
      </w:r>
    </w:p>
    <w:p>
      <w:pPr>
        <w:numPr>
          <w:numId w:val="8"/>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to limit and decide the issues to be tried, and as to which discovery is required; and</w:t>
      </w:r>
    </w:p>
    <w:p>
      <w:pPr>
        <w:numPr>
          <w:numId w:val="9"/>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to tie the hands of the party so that he cannot without leave go into any matters not included.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the particulars sought are known (or even best known) to the demanding party is not a reason to refuse particulars. Particulars of such allegations should still be provided if the party of whom the demand is made is in a position to give them. A defendant is entitled to know what case is made against it.</w:t>
      </w:r>
      <w:bookmarkStart w:id="46" w:name="Backward_fnref_fnr-7"/>
      <w:hyperlink w:anchor="Forward_fnref_fnr-7" w:history="1">
        <w:r>
          <w:rPr>
            <w:rFonts w:ascii="arial" w:eastAsia="arial" w:hAnsi="arial" w:cs="arial"/>
            <w:b/>
            <w:color w:val="BE161D"/>
            <w:sz w:val="20"/>
            <w:shd w:val="clear" w:color="auto" w:fill="FFFFFF"/>
            <w:vertAlign w:val="superscript"/>
            <w:lang w:val="en-US" w:eastAsia="en-US" w:bidi="ar-SA"/>
          </w:rPr>
          <w:t>7</w:t>
        </w:r>
      </w:hyperlink>
      <w:bookmarkEnd w:id="46"/>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the information sought by way of particulars might be obtained on an examination for discovery is no answer to a demand for particulars. The functions of the two are different. Discovery is not a substitute for particulars. Rather, particulars serve to define the issues on which examinations for discovery are based.</w:t>
      </w:r>
      <w:bookmarkStart w:id="47" w:name="Backward_fnref_fnr-8"/>
      <w:hyperlink w:anchor="Forward_fnref_fnr-8" w:history="1">
        <w:r>
          <w:rPr>
            <w:rFonts w:ascii="arial" w:eastAsia="arial" w:hAnsi="arial" w:cs="arial"/>
            <w:b/>
            <w:color w:val="BE161D"/>
            <w:sz w:val="20"/>
            <w:shd w:val="clear" w:color="auto" w:fill="FFFFFF"/>
            <w:vertAlign w:val="superscript"/>
            <w:lang w:val="en-US" w:eastAsia="en-US" w:bidi="ar-SA"/>
          </w:rPr>
          <w:t>8</w:t>
        </w:r>
      </w:hyperlink>
      <w:bookmarkEnd w:id="47"/>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Counsel for the defendants argued that in this complex products liability case, much of the evidence will be given by experts. The experts will have to rely on factual assumptions which, if the expert evidence is to be accepted, will have to accord to the findings of fact that the court will make, that is, on evidence as to what occurred. Counsel for the defendants asserts that proper trial management requires that the issues - in the sense of allegations of fact made by the plaintiffs and denied by Medtronic - be defined with precision. The defendants say that a lack of precision in defining the facts in issue will conduce mismatches between the experts' assumptions and the facts as found by the court and will result in a near interminable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Counsel for the defendants further argues that the issues as currently defined are conclusory and virtually devoid of factual content. Medtronic argues that the provision of particulars will define the scope of: further documentary discovery and review; examinations for discovery; and the evidence that will have to be marshalled as the factual substratum for expert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Lastly, the defendants assert that allegations of reprehensible conduct on the part of Medtronic, upon which the claim for punitive damages is advanced, should not be made without an adequate basis, and if the adequate basis cannot be provided in the form of particulars, then the claim in that regard should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Counsel for the plaintiffs in their written argument raised three main objections to the order for particulars:</w:t>
      </w:r>
      <w:r>
        <w:rPr>
          <w:rFonts w:ascii="arial" w:eastAsia="arial" w:hAnsi="arial" w:cs="arial"/>
          <w:sz w:val="20"/>
          <w:lang w:val="en-US" w:eastAsia="en-US" w:bidi="ar-SA"/>
        </w:rPr>
        <w:cr/>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court lacks jurisdiction to order particulars of the common issues as defined by the certification order;</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application is res judicata because the defendants applied for many of the same particulars in April 2000 and the court made its order in respect of that application on May 3, 2000; and</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particulars sought by the defendants are entirely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Much of the argument between counsel concerned the jurisdiction of the court to order the plaintiffs to provide further particulars. That argument appears to have its genesis in the earlier notice of motion filed on October 9, 2002. In that notice of motion, the defendants stated that they sought particulars identified by reference to the common issues and sub-issues set out in the certification order of September 27, 2001. After receiving the plaintiffs' argument, the defendants amended their notice of motion in an attempt to resolve any technical issues of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Rule 19(16)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may order a party to deliver further and better particulars of a matter stated in a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common issues as defined in the certification order are, of course, not pleadings. However, as I stated in my reasons allowing certification of the action, the common issues as defined in the certification order were specifically taken from the statement of claim. The plaintiffs assert that Rule 19(16), because it refers only to pleadings, does not grant the requisite jurisdiction for the court to order the particulars sought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defendants have also relied on s. 12 of the Class Proceedings Act,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may at any time make any order it considers appropriate respecting the conduct of a class proceeding to ensure its fair and expeditious determination and, for that purpose, may impose on one or more of the parties the terms it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Section 40 of the Class Proceedings Act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Rules of Court apply to class proceedings to the extent that those rules are not in conflict with this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Counsel for the plaintiffs say that s. 12 cannot be relied upon to order particulars of common issues citing Stern v. Imasco Ltd. </w:t>
      </w:r>
      <w:hyperlink r:id="rId87" w:history="1">
        <w:r>
          <w:rPr>
            <w:rFonts w:ascii="arial" w:eastAsia="arial" w:hAnsi="arial" w:cs="arial"/>
            <w:i/>
            <w:color w:val="0077CC"/>
            <w:sz w:val="20"/>
            <w:u w:val="single"/>
            <w:shd w:val="clear" w:color="auto" w:fill="FFFFFF"/>
            <w:lang w:val="en-US" w:eastAsia="en-US" w:bidi="ar-SA"/>
          </w:rPr>
          <w:t>(1999), 38 C.P.C. (4th) 347</w:t>
        </w:r>
      </w:hyperlink>
      <w:r>
        <w:rPr>
          <w:rFonts w:ascii="arial" w:eastAsia="arial" w:hAnsi="arial" w:cs="arial"/>
          <w:color w:val="000000"/>
          <w:sz w:val="20"/>
          <w:lang w:val="en-US" w:eastAsia="en-US" w:bidi="ar-SA"/>
        </w:rPr>
        <w:t xml:space="preserve">; </w:t>
      </w:r>
      <w:hyperlink r:id="rId87" w:history="1">
        <w:r>
          <w:rPr>
            <w:rFonts w:ascii="arial" w:eastAsia="arial" w:hAnsi="arial" w:cs="arial"/>
            <w:i/>
            <w:color w:val="0077CC"/>
            <w:sz w:val="20"/>
            <w:u w:val="single"/>
            <w:shd w:val="clear" w:color="auto" w:fill="FFFFFF"/>
            <w:lang w:val="en-US" w:eastAsia="en-US" w:bidi="ar-SA"/>
          </w:rPr>
          <w:t>[1999] O.J. No. 4235</w:t>
        </w:r>
      </w:hyperlink>
      <w:r>
        <w:rPr>
          <w:rFonts w:ascii="arial" w:eastAsia="arial" w:hAnsi="arial" w:cs="arial"/>
          <w:color w:val="000000"/>
          <w:sz w:val="20"/>
          <w:lang w:val="en-US" w:eastAsia="en-US" w:bidi="ar-SA"/>
        </w:rPr>
        <w:t xml:space="preserve"> (Ont. Sup. Ct. J.) and MacDonald v. Dufferin-Peel Catholic District School Board, </w:t>
      </w:r>
      <w:hyperlink r:id="rId88" w:history="1">
        <w:r>
          <w:rPr>
            <w:rFonts w:ascii="arial" w:eastAsia="arial" w:hAnsi="arial" w:cs="arial"/>
            <w:i/>
            <w:color w:val="0077CC"/>
            <w:sz w:val="20"/>
            <w:u w:val="single"/>
            <w:shd w:val="clear" w:color="auto" w:fill="FFFFFF"/>
            <w:lang w:val="en-US" w:eastAsia="en-US" w:bidi="ar-SA"/>
          </w:rPr>
          <w:t>[1999] O.J. No. 4231</w:t>
        </w:r>
      </w:hyperlink>
      <w:r>
        <w:rPr>
          <w:rFonts w:ascii="arial" w:eastAsia="arial" w:hAnsi="arial" w:cs="arial"/>
          <w:color w:val="000000"/>
          <w:sz w:val="20"/>
          <w:lang w:val="en-US" w:eastAsia="en-US" w:bidi="ar-SA"/>
        </w:rPr>
        <w:t xml:space="preserve"> (Ont. Sup.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Rule 19(16) is derived from marginal rule 203 of the English Rules of 1883. Order 19, Rule 7, Marginal Rule 161 of the British Columbia Supreme Court Rules, 1890, was proclaimed in force by Order-in-Council of October 22, 1892. The Rule long predates the Class Proceedings Act which came into force on August 1, 1995 in accordance with s. 45(1) Class Proceedings Act, S.B.C. 1995 c. 21. Rule 19(16) obviously did not contemplate the potential need for the particularization of common issues. At the time Rule 19(16) came into force, the concept of common issues in a class proceeding was unknown.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Kimpton v. Canada (Attorney General), </w:t>
      </w:r>
      <w:hyperlink r:id="rId89" w:history="1">
        <w:r>
          <w:rPr>
            <w:rFonts w:ascii="arial" w:eastAsia="arial" w:hAnsi="arial" w:cs="arial"/>
            <w:i/>
            <w:color w:val="0077CC"/>
            <w:sz w:val="20"/>
            <w:u w:val="single"/>
            <w:shd w:val="clear" w:color="auto" w:fill="FFFFFF"/>
            <w:lang w:val="en-US" w:eastAsia="en-US" w:bidi="ar-SA"/>
          </w:rPr>
          <w:t>[2002] B.C.J. No. 87</w:t>
        </w:r>
      </w:hyperlink>
      <w:r>
        <w:rPr>
          <w:rFonts w:ascii="arial" w:eastAsia="arial" w:hAnsi="arial" w:cs="arial"/>
          <w:color w:val="000000"/>
          <w:sz w:val="20"/>
          <w:lang w:val="en-US" w:eastAsia="en-US" w:bidi="ar-SA"/>
        </w:rPr>
        <w:t xml:space="preserve"> (S.C.); </w:t>
      </w:r>
      <w:hyperlink r:id="rId89" w:history="1">
        <w:r>
          <w:rPr>
            <w:rFonts w:ascii="arial" w:eastAsia="arial" w:hAnsi="arial" w:cs="arial"/>
            <w:i/>
            <w:color w:val="0077CC"/>
            <w:sz w:val="20"/>
            <w:u w:val="single"/>
            <w:shd w:val="clear" w:color="auto" w:fill="FFFFFF"/>
            <w:lang w:val="en-US" w:eastAsia="en-US" w:bidi="ar-SA"/>
          </w:rPr>
          <w:t>2002 BCSC 67</w:t>
        </w:r>
      </w:hyperlink>
      <w:r>
        <w:rPr>
          <w:rFonts w:ascii="arial" w:eastAsia="arial" w:hAnsi="arial" w:cs="arial"/>
          <w:color w:val="000000"/>
          <w:sz w:val="20"/>
          <w:lang w:val="en-US" w:eastAsia="en-US" w:bidi="ar-SA"/>
        </w:rPr>
        <w:t>, the court was confronted by an application for further and better particulars in the pre-certification stage of a proposed class action. Macaulay J. held, at para.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difficulty in reconciling the Act [the Class Proceedings Act] and the Rules lies not in their objectives but in their respective limitations. This is because the Act is largely silent on the procedural issues arising at the pre-certification stage, yet the Rules were drafted without directly addressing the different needs of litigants in potential class proceedings. Accordingly, there is a lacuna that must be filled by applying a flexible interpretation to the existing rules that is consistent with the procedural and substantive objectives of both the Act and the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 Macaulay J. also noted, at para.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Act does not expressly address the right to either particulars or discovery of documents at any stage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Macaulay J. thereafter referred to the functions of particulars as enunciated in Cansulex Limited v. Perry: see para. 22(f) above. Implicit in those remarks is the recognition that class actions are subject to the same procedural safeguards as ordinary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can think of no logical reason why the statements of principle in Kimpton should not also apply to the post-certification stage of class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This proceeding is now certified as a class action. The trial of the common issues is now scheduled to commence in September 2003. At this stage, this action, like any other complex products liability case set for trial, requires management and direction. The only significant difference is that the court has certified the common issues to be decided at the trial. It is those common issues which the defendants must address in their pre-trial preparation. If the common issues as presently defined do not permit the defendants to conduct an appropriate level of pre-trial preparation, including most importantly the instruction to experts as to the facts to be assumed, then this trial will spiral out of all control and will certainly exceed the 10 weeks currently reserved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Whether particulars are ordered in respect of common issues or in respect of the plaintiffs' amended statement of claim, the purpose is the same. It is ultimately to ensure that the defendants know the nature of the case they have to meet and are prevented from being taken by surprise at the trial. As well, particulars will limit the matters that are truly in issue and will restrict the parties from embarking upon matters that have not been defined either by the pleadings or by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its face, Rule 19(16) does not permit me to order particulars of the common issues. I conclude, however, that s. 12 of the Class Proceedings Act permits me to make the order the defendants seek for the following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agree with counsel for the defendants that the cases upon which the plaintiffs rely to say that s. 12 of the Class Proceedings Act does not give the court jurisdiction are distinguishable from the case at bar. In Stern v. Imasco Ltd., the court was asked to make an order granting the plaintiff accelerated rights of documentary discovery prior to the close of pleadings in the face of provisions that the defendant was not required to deliver an affidavit of documents until ten days after the close of pleadings. In MacDonald v. Dufferin-Peel Catholic District School Board, the court was faced with an application to hear a certification motion outside the county specifically mandated by the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As I have already observed, Rule 19(16) does not refer to common issues under the Class Proceedings Act. It is plain that the Rules of Court have not been drafted with class proceedings in mind. However, I do not consider that, by making an order under s. 12 of the Class Proceedings Act for the production of particulars in respect of the common issues, I will be ousting or nullifying a clear direction in the Rules of Court. That is so because no such direction exists in the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my view, it would defy common sense and logic to suggest that the court cannot control its own process under s. 12 of the Act. In my view, it makes good sense to allow for the production of particulars in relation to common issues because that is the basis upon which both the plaintiffs and the defendants will proceed in preparation for trial. If that common sense approach did not meet the technical requirements of the Class Proceedings Act, I would order that the plaintiffs amend their amended statement of claim to conform with the common issues and thereafter order that they provide particulars of the further amended statement of claim. However, I need not make that alternative order. In my view, the court has the capacity to make the order the defendants seek under s. 12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RES JUDICATA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my view, not much needs to be said in respect of this branch of the plaintiffs' objection to the defendants' motion. The application for particulars in April 2000 was made prior to the certification order. I specifically reserved the possibility that, if the matter proceeded to trial, particulars would have to be provided. My ruling on May 3, 2000, was restricted solely to the necessity of the production of particulars at that time, namely to address the issues concerning certification of the action. Furthermore, in my reasons for certifying the class proceeding, I noted that the common issues would be subject to further refinement and reduction and would have to conform to the pleadings, including particulars. That ruling clearly contemplated the very real prospect that particulars would be needed to refine the issues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PREMATURITY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Counsel for the plaintiffs argues that very little has changed since the defendants' application for particulars in May 2000. As plaintiffs' counsel notes, the focus of the efforts on behalf of the plaintiffs to date has been with respect to the certification application; the appeal from that order; and the various issues associated with the notice program. Plaintiffs' counsel says that it is only recently that the merits of the case have come into focus. Plaintiffs' counsel also say that in addition to the legal capital to which they have access from the United States, they also intend to conduct their own examinations for discovery and to obtain their own expert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As I have noted, prior to the hearing of this application counsel for the defendants placed the plaintiffs' inability to provide particulars at this time squarely in issue. In a letter dated September 17, 2002, counsel wrote to plaintiffs' counsel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considerable evidence before the court to suggest that the plaintiffs are unusually well-positioned to give particulars now. If you were to take the position that you are unable to give particulars at this time, you would have to displace that evidence. That would require you to deliver affidavit material. ... If you do not deliver evidence on this point, then we will take the position that the point is not open to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have not filed evidence to the effect that they are unable to provide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Defendants' counsel took this position based on the decision in Proconic Electronics Limited and Far East United Electronics Ltd. v. Wong et al. </w:t>
      </w:r>
      <w:hyperlink r:id="rId90" w:history="1">
        <w:r>
          <w:rPr>
            <w:rFonts w:ascii="arial" w:eastAsia="arial" w:hAnsi="arial" w:cs="arial"/>
            <w:i/>
            <w:color w:val="0077CC"/>
            <w:sz w:val="20"/>
            <w:u w:val="single"/>
            <w:shd w:val="clear" w:color="auto" w:fill="FFFFFF"/>
            <w:lang w:val="en-US" w:eastAsia="en-US" w:bidi="ar-SA"/>
          </w:rPr>
          <w:t>(1985), 67 B.C.L.R. 237</w:t>
        </w:r>
      </w:hyperlink>
      <w:r>
        <w:rPr>
          <w:rFonts w:ascii="arial" w:eastAsia="arial" w:hAnsi="arial" w:cs="arial"/>
          <w:color w:val="000000"/>
          <w:sz w:val="20"/>
          <w:lang w:val="en-US" w:eastAsia="en-US" w:bidi="ar-SA"/>
        </w:rPr>
        <w:t xml:space="preserve"> (S.C.). In that case, the plaintiff argued that it was unable to give particulars because the facts were solely within the knowledge of the defendant and that, as such, they ought to await the completion of examinations for discovery. Southin J. (as she then was) held, at 240: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might agree with the submission of counsel for the plaintiffs if the material had, for instance, included an affidavit from some officer of the plaintiffs:</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they were unable to give particulars but,</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believe that there was wrongdoing of the kind alleged in the plea at issue and giving the grounds of that belief.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counsel for the defendants argues, plaintiffs' counsel have had the index and access to Medtronic's repository of 800,000 pages of documents since March 2000. In addition, they have had the assistance of the United States attorneys, Mr. Emerson and Mr. Drakulich, and the 13 boxes of documents from Mr. Emerson, including numerous transcripts of depositions of Medtronic's past and present employees, since July of 2000. As well, they have known and consulted with at least three of their own experts since at least July of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extent of the document discovery to date strongly supports an inference that plaintiffs' counsel do not lack the knowledge or information from which they can produce particulars, but have been unwilling to invest the time and resources to inform themselves of the particulars demanded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appreciate the position in which plaintiffs' counsel find themselves. As plaintiffs' counsel stated in a case management conference held in June 2002: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Catch-22 of the class actions, is that until you actually know you are a certified class action it's difficult to make the commitment to the financing and everything else that's needed to bring the litigation. And we're going to have that uncertainty hanging over our heads for another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By those remarks, I understand plaintiffs' counsel to be saying that they are not presently in a financial position to invest the time and resources necessary to examine all of the massive amount of material which has been produced in order to answer the defendants' demand for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On the other hand, the trial is due to commence in about 11 months' time. I think it can be fairly said that the defendants' examination for discovery of the representative plaintiffs will not serve as an adequate substitute for particulars. This is so, for the reasons stated by plaintiffs' counsel. The representative plaintiffs were passive patients in whom the cardiac leads were implanted. They will be unlikely to have any knowledge as to the specific facts by which their counsel intend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However, it has long been held that the object of particulars is, in part, to enable the party asking for them to know what case it has to meet at trial, to save unnecessary expense, and to avoid being taken by surprise: see Anglo-Canadian Timber Products Ltd. v. British Columbia Electric Company Limited at 605 referring to Spedding v. Fitzpatrick (1888), 38 Ch. D. 410.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my view, it would be absolute folly to permit this action to proceed to trial without further refinement and elucidation of the issues that will require the court's determination. All of the authorities cited at para. 22 of these reasons explain why particulars may be necessary in a given case. The remarks in G.W.L., at 129, are particularly applicable (cited at para.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Discovery is not a substitute for particulars. The contention that what is demanded can be obtained, or that it has been obtained, on discovery is no reason to refuse particulars properly sought. Further, the fact that what is sought in a demand for particulars is best known to the party demanding is no reason to refuse. A party is entitled to know what case is made against it when (whether before or after discovery) the other side is in a position to give particulars of the facts it will prove at trial: Cominco Ltd. v. Westinghouse Can. Ltd. </w:t>
      </w:r>
      <w:hyperlink r:id="rId91" w:history="1">
        <w:r>
          <w:rPr>
            <w:rFonts w:ascii="arial" w:eastAsia="arial" w:hAnsi="arial" w:cs="arial"/>
            <w:i/>
            <w:color w:val="0077CC"/>
            <w:sz w:val="20"/>
            <w:u w:val="single"/>
            <w:shd w:val="clear" w:color="auto" w:fill="FFFFFF"/>
            <w:lang w:val="en-US" w:eastAsia="en-US" w:bidi="ar-SA"/>
          </w:rPr>
          <w:t>(1978), 6 B.C.L.R. 25</w:t>
        </w:r>
      </w:hyperlink>
      <w:r>
        <w:rPr>
          <w:rFonts w:ascii="arial" w:eastAsia="arial" w:hAnsi="arial" w:cs="arial"/>
          <w:color w:val="000000"/>
          <w:sz w:val="20"/>
          <w:lang w:val="en-US" w:eastAsia="en-US" w:bidi="ar-SA"/>
        </w:rPr>
        <w:t xml:space="preserve"> (S.C.)] at pp. 28-29.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There is no evidence before me that the plaintiffs are not in a position to give particulars. On the contrary, the evidence strongly suggests that there is ample information available to the plaintiffs from which the particulars can be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Given the relatively aged population of the class, and the time since the last of the impugned cardiac leads was implanted, it is important that the trial of the common issues proceed at the earliest possible date. Counsel have secured a 10 week trial date to commence in September 2003. It is imperative that between now and the trial date both the parties and the court understand the precise nature of the common issues to be decided. Particulars will lead to precision and clarity in the definition of the common issues, either through pleadings or through a refinement of the common issues, which will in turn aid in the efficient conduct of examinations for discovery and, most importantly, in the preparation of expert reports. Due to the very significant amount of document production in this case to date, it appears that the information and knowledge necessary for the plaintiffs to answer the defendants' demands for particulars is available. It will no doubt require a significant amount of time and work to examine that information and produce any necessary particulars. However, it is a task that is better done sooner than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Accordingly, I propose to hear the defendants' specific demands for particulars and the plaintiffs' submissions concerning why the demanded particulars are unnecessary at this time. As noted earlier, those submissions will be heard on December 16,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KIRKPATRICK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SCHEDULE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particulars that the defendants seek are identified by reference to the common issues and sub-issues as set out in the Order of the Honourable Madam Justice Kirkpatrick pronounced on September 27, 2001. The defendants seek particulars of the allegations made by the plaintiffs or the class as to those issues as follows:</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paragraph 6 (a) (iii) of the order, which reads as follows: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lead insulation unreasonably prone to degeneration and failure due to ...</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processing of polyurethane during the manufacture of the Leads?"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to each model of the Leads, please provide particulars of:</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way or ways in which the processing of the polyurethane during manufacture was negligent, including each standard that the defendants should have met but failed to meet in manufacturing and each respect in which they failed to meet such standard;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to each such standard, when that standard first became applicable;</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to paragraph 6 (b) (i), which reads: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fail to ...</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that the Leads were free of defects;"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to each model of the Leads, please provide particulars of:</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act or omission that is alleged to amount to an actionable failure to ensure that such model was free of defects;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such defect;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each such defect is alleged to have occurred or been allowed to occur.</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to paragraph 6 (b) (ii), which reads: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fail to</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perform sufficient pre-market tests on the Leads;"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provide particulars of:</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standard of pre-market testing which applied to each model of the Leads;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act or omission that is alleged to amount to an actionable failure to perform proper and sufficient pre-market testing by reference to such standard or standards; and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to each such standard, when the standard first began to apply.</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to paragraph 6 (b) (iii), which reads:</w:t>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fail to ...</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design and manufacture Leads that were adequate to protect against failure and degeneration during ordinary use in employing P80A as insulation;"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provide particulars of:</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characteristics of the use or uses alleged to amount to "ordinary use";</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respect in which P80A was inadequate to protect against failure and degeneration during such ordinary use;</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act or omission of the defendants which caused or contributed to any such failure; and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standard applicable to Lead design and manufacturer that such act or omission breached; and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each such standard first became applicable.</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to paragraph 6 (b) (iv), which reads:</w:t>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fail to ...</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produce a product capable of withstanding the stresses of ordinary and foreseeable uses;"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provide particulars of:</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characteristics of the use or uses which are alleged to amount to "ordinary and foreseeable uses" of the Leads; and</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act or omission of the defendants that is alleged to be such an actionable failure.</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standard of Lead production that such act or omission breached; and</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each such standard first became applicable.</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to paragraph 6 (b) (v), which reads:</w:t>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fail to ...</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employ available design and manufacture techniques that would have reduced the likelihood of failure of the Leads;"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provide particulars of:</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such design technique and when it first became available; and</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to each such technique:</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failure, the likelihood of which it would have reduced; and</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it would have reduced the likelihood of each such failure.</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to paragraph 6 (b) (vi), which reads:</w:t>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fail to ...</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that the Leads did not deviate in a material way from their design and release specifications;"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provide particulars of:</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respect in which each model of the Leads deviated from its:</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design specifications; and</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release specifications; and</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to each such deviation, each act and each omission that caused or contributed to such deviation.</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to paragraph 6 (b) (vii), which reads:</w:t>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fail to ...</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recall the Leads when they knew or ought to have known of the risk of injury prior to the implantation of Leads into class members;"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provide particulars of:</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risk of injury (including the nature of the injury) of which the defendant had knowledge, or the means of knowledge; and</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to each such risk, the time at which the defendants first had, or ought to have had, such knowledge; and</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source of information from which the defendants received, or should have received, such knowledge.</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to paragraph 6 (b) (viii), which reads:</w:t>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fail to ...</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obtain all required approvals;"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provide particulars of each required approval that any defendant failed to obtain.</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to paragraph 6 (b) (ix), which reads:</w:t>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fail to ...</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Health Canada (and its predecessors) and the U.S. Food and Drug Administration ("FDA") with all relevant information regarding any risks posed by the Leads;"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provide particulars, as to each of Health Canada, its predecessors, and the FDA, of:</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risk as to which the defendants failed to provide relevant information;</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item of information that it is alleged that a defendant should have provided but failed to provide; and</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each such item of information ought to have been provided.</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to paragraph 6 (b) (x), which reads:</w:t>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fail to ...</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adequate warnings as to any risk of the Leads to physicians, surgeons and all other intermediaries as well as class members of any potential risks or hazards associated with the use of the Leads?"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provide particulars of:</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warning that a defendant should have provided but failed to provide, specifying:</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warning that should have been provided;</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and</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whom;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should have been given;</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failure to adequately or sufficiently inform:</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doctor;</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surgeon;</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learned intermediary; or</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class member;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of potential risks or hazards associated with the use of such lead (identifying the person or persons whom such Defendant failed to inform) and, as to each such failure, specifying:</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such failure is alleged to have occurred; and</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potential risk; or</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potential hazard (as the case may be)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identifying each item of information that alerted, or should have alerted, any Defendant that it should warn any such person.</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to paragraph 6 (c), which reads:</w:t>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the defendants breached the duty of care owed to the plaintiffs, are the plaintiffs entitled to an award of punitive damages having regard to the nature of the established breaches?"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provide particulars of any act of any defendant that alone or taken together with any other act of any defendant is alleged to have been:</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harsh;</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vindictive;</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reprehensible;</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malicious;</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high handed;</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arbitrary;</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deserving of condemnation; or</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deserving of punishment,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in respect of each such act, please specify:</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and</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whom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such act was committed.</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to paragraph 5 (b), which reads:</w:t>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breach the standard of care in designing, manufacturing and distributing the Leads, and if so, when did the breach begin?"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the extent that the facts alleged by the plaintiffs relevant to this common issue are not expressly identified in paragraph 6 of the draft order, please provide particulars of:</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relevant standard of care in respect of design, manufacture or distribution which the defendants are alleged to have breached, when that standard became applicable and when, if at all, it ceased to be applicable;</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way or ways, not previously particularized in response to requests 1 through 12 above, that a defendant breached the relevant standard with respect to a model of the Leads; and</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to each such alleged breach, when the breach began.</w:t>
      </w:r>
    </w:p>
    <w:p>
      <w:pPr>
        <w:spacing w:after="240"/>
        <w:rPr>
          <w:rFonts w:ascii="arial" w:eastAsia="arial" w:hAnsi="arial" w:cs="arial"/>
          <w:sz w:val="20"/>
          <w:lang w:val="en-US" w:eastAsia="en-US" w:bidi="ar-SA"/>
        </w:rPr>
      </w:pPr>
      <w:r>
        <w:pict>
          <v:line id="_x0000_s1053" style="position:absolute;z-index:251703296"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48"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48"/>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As apart from material which tends to disclose the means by which the party of whom particulars are demanded intends to prove its case: Cansulex Ltd. v. Perry, </w:t>
      </w:r>
      <w:hyperlink r:id="rId92" w:history="1">
        <w:r>
          <w:rPr>
            <w:rFonts w:ascii="arial" w:eastAsia="arial" w:hAnsi="arial" w:cs="arial"/>
            <w:i/>
            <w:color w:val="0077CC"/>
            <w:sz w:val="18"/>
            <w:u w:val="single"/>
            <w:shd w:val="clear" w:color="auto" w:fill="FFFFFF"/>
            <w:lang w:val="en-US" w:eastAsia="en-US" w:bidi="ar-SA"/>
          </w:rPr>
          <w:t>[1982] B.C.J. No. 369</w:t>
        </w:r>
      </w:hyperlink>
      <w:r>
        <w:rPr>
          <w:rFonts w:ascii="arial" w:eastAsia="arial" w:hAnsi="arial" w:cs="arial"/>
          <w:color w:val="6D6E71"/>
          <w:sz w:val="18"/>
          <w:lang w:val="en-US" w:eastAsia="en-US" w:bidi="ar-SA"/>
        </w:rPr>
        <w:t xml:space="preserve"> (C.A.) at para. 11 ("Cansulex"); G.W.L. Properties Ltd. V. W.R. Grace &amp; Co. of Canada </w:t>
      </w:r>
      <w:hyperlink r:id="rId93" w:history="1">
        <w:r>
          <w:rPr>
            <w:rFonts w:ascii="arial" w:eastAsia="arial" w:hAnsi="arial" w:cs="arial"/>
            <w:i/>
            <w:color w:val="0077CC"/>
            <w:sz w:val="18"/>
            <w:u w:val="single"/>
            <w:shd w:val="clear" w:color="auto" w:fill="FFFFFF"/>
            <w:lang w:val="en-US" w:eastAsia="en-US" w:bidi="ar-SA"/>
          </w:rPr>
          <w:t>(1993), 79 B.C.L.R. (2d) 126</w:t>
        </w:r>
      </w:hyperlink>
      <w:r>
        <w:rPr>
          <w:rFonts w:ascii="arial" w:eastAsia="arial" w:hAnsi="arial" w:cs="arial"/>
          <w:color w:val="6D6E71"/>
          <w:sz w:val="18"/>
          <w:lang w:val="en-US" w:eastAsia="en-US" w:bidi="ar-SA"/>
        </w:rPr>
        <w:t xml:space="preserve"> (S.C.) at 129 ("GWL").</w:t>
      </w:r>
    </w:p>
    <w:p>
      <w:pPr>
        <w:spacing w:before="120" w:after="20" w:line="240" w:lineRule="atLeast"/>
        <w:ind w:left="720" w:hanging="360"/>
        <w:jc w:val="both"/>
        <w:rPr>
          <w:rFonts w:ascii="arial" w:eastAsia="arial" w:hAnsi="arial" w:cs="arial"/>
          <w:sz w:val="20"/>
          <w:lang w:val="en-US" w:eastAsia="en-US" w:bidi="ar-SA"/>
        </w:rPr>
      </w:pPr>
      <w:bookmarkStart w:id="49" w:name="Forward_fnref_fnr-2"/>
      <w:hyperlink w:anchor="Backward_fnref_fnr-2" w:history="1">
        <w:r>
          <w:rPr>
            <w:rFonts w:ascii="arial" w:eastAsia="arial" w:hAnsi="arial" w:cs="arial"/>
            <w:b/>
            <w:color w:val="BE161D"/>
            <w:sz w:val="18"/>
            <w:shd w:val="clear" w:color="auto" w:fill="FFFFFF"/>
            <w:lang w:val="en-US" w:eastAsia="en-US" w:bidi="ar-SA"/>
          </w:rPr>
          <w:t>2</w:t>
        </w:r>
      </w:hyperlink>
      <w:bookmarkEnd w:id="49"/>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Anglo-Canadian Timber Products Ltd. v. British Columbia Electric Company Limited (1960), 31 W.W.R. 604 (B.C.C.A.) at 608 ("Anglo-Canadian").</w:t>
      </w:r>
    </w:p>
    <w:p>
      <w:pPr>
        <w:spacing w:before="120" w:after="20" w:line="240" w:lineRule="atLeast"/>
        <w:ind w:left="720" w:hanging="360"/>
        <w:jc w:val="both"/>
        <w:rPr>
          <w:rFonts w:ascii="arial" w:eastAsia="arial" w:hAnsi="arial" w:cs="arial"/>
          <w:sz w:val="20"/>
          <w:lang w:val="en-US" w:eastAsia="en-US" w:bidi="ar-SA"/>
        </w:rPr>
      </w:pPr>
      <w:bookmarkStart w:id="50" w:name="Forward_fnref_fnr-3"/>
      <w:hyperlink w:anchor="Backward_fnref_fnr-3" w:history="1">
        <w:r>
          <w:rPr>
            <w:rFonts w:ascii="arial" w:eastAsia="arial" w:hAnsi="arial" w:cs="arial"/>
            <w:b/>
            <w:color w:val="BE161D"/>
            <w:sz w:val="18"/>
            <w:shd w:val="clear" w:color="auto" w:fill="FFFFFF"/>
            <w:lang w:val="en-US" w:eastAsia="en-US" w:bidi="ar-SA"/>
          </w:rPr>
          <w:t>3</w:t>
        </w:r>
      </w:hyperlink>
      <w:bookmarkEnd w:id="50"/>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Cansulex at para. 16; GWL at 130; Alford v. Canada (Attorney General), </w:t>
      </w:r>
      <w:hyperlink r:id="rId94" w:history="1">
        <w:r>
          <w:rPr>
            <w:rFonts w:ascii="arial" w:eastAsia="arial" w:hAnsi="arial" w:cs="arial"/>
            <w:i/>
            <w:color w:val="0077CC"/>
            <w:sz w:val="18"/>
            <w:u w:val="single"/>
            <w:shd w:val="clear" w:color="auto" w:fill="FFFFFF"/>
            <w:lang w:val="en-US" w:eastAsia="en-US" w:bidi="ar-SA"/>
          </w:rPr>
          <w:t>[1999] B.C.J. No. 1937</w:t>
        </w:r>
      </w:hyperlink>
      <w:r>
        <w:rPr>
          <w:rFonts w:ascii="arial" w:eastAsia="arial" w:hAnsi="arial" w:cs="arial"/>
          <w:color w:val="6D6E71"/>
          <w:sz w:val="18"/>
          <w:lang w:val="en-US" w:eastAsia="en-US" w:bidi="ar-SA"/>
        </w:rPr>
        <w:t xml:space="preserve"> (S.C.) at para. 17 ("Alford").</w:t>
      </w:r>
    </w:p>
    <w:p>
      <w:pPr>
        <w:spacing w:before="120" w:after="20" w:line="240" w:lineRule="atLeast"/>
        <w:ind w:left="720" w:hanging="360"/>
        <w:jc w:val="both"/>
        <w:rPr>
          <w:rFonts w:ascii="arial" w:eastAsia="arial" w:hAnsi="arial" w:cs="arial"/>
          <w:sz w:val="20"/>
          <w:lang w:val="en-US" w:eastAsia="en-US" w:bidi="ar-SA"/>
        </w:rPr>
      </w:pPr>
      <w:bookmarkStart w:id="51" w:name="Forward_fnref_fnr-4"/>
      <w:hyperlink w:anchor="Backward_fnref_fnr-4" w:history="1">
        <w:r>
          <w:rPr>
            <w:rFonts w:ascii="arial" w:eastAsia="arial" w:hAnsi="arial" w:cs="arial"/>
            <w:b/>
            <w:color w:val="BE161D"/>
            <w:sz w:val="18"/>
            <w:shd w:val="clear" w:color="auto" w:fill="FFFFFF"/>
            <w:lang w:val="en-US" w:eastAsia="en-US" w:bidi="ar-SA"/>
          </w:rPr>
          <w:t>4</w:t>
        </w:r>
      </w:hyperlink>
      <w:bookmarkEnd w:id="51"/>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GWL at 130.</w:t>
      </w:r>
    </w:p>
    <w:p>
      <w:pPr>
        <w:spacing w:before="120" w:after="20" w:line="240" w:lineRule="atLeast"/>
        <w:ind w:left="720" w:hanging="360"/>
        <w:jc w:val="both"/>
        <w:rPr>
          <w:rFonts w:ascii="arial" w:eastAsia="arial" w:hAnsi="arial" w:cs="arial"/>
          <w:sz w:val="20"/>
          <w:lang w:val="en-US" w:eastAsia="en-US" w:bidi="ar-SA"/>
        </w:rPr>
      </w:pPr>
      <w:bookmarkStart w:id="52" w:name="Forward_fnref_fnr-5"/>
      <w:hyperlink w:anchor="Backward_fnref_fnr-5" w:history="1">
        <w:r>
          <w:rPr>
            <w:rFonts w:ascii="arial" w:eastAsia="arial" w:hAnsi="arial" w:cs="arial"/>
            <w:b/>
            <w:color w:val="BE161D"/>
            <w:sz w:val="18"/>
            <w:shd w:val="clear" w:color="auto" w:fill="FFFFFF"/>
            <w:lang w:val="en-US" w:eastAsia="en-US" w:bidi="ar-SA"/>
          </w:rPr>
          <w:t>5</w:t>
        </w:r>
      </w:hyperlink>
      <w:bookmarkEnd w:id="52"/>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Whiten v. Pilot Insurance Co. </w:t>
      </w:r>
      <w:hyperlink r:id="rId95" w:history="1">
        <w:r>
          <w:rPr>
            <w:rFonts w:ascii="arial" w:eastAsia="arial" w:hAnsi="arial" w:cs="arial"/>
            <w:i/>
            <w:color w:val="0077CC"/>
            <w:sz w:val="18"/>
            <w:u w:val="single"/>
            <w:shd w:val="clear" w:color="auto" w:fill="FFFFFF"/>
            <w:lang w:val="en-US" w:eastAsia="en-US" w:bidi="ar-SA"/>
          </w:rPr>
          <w:t>(2002), 209 D.L.R. (4th) 257</w:t>
        </w:r>
      </w:hyperlink>
      <w:r>
        <w:rPr>
          <w:rFonts w:ascii="arial" w:eastAsia="arial" w:hAnsi="arial" w:cs="arial"/>
          <w:color w:val="6D6E71"/>
          <w:sz w:val="18"/>
          <w:lang w:val="en-US" w:eastAsia="en-US" w:bidi="ar-SA"/>
        </w:rPr>
        <w:t xml:space="preserve"> at 293 (S.C.C.).</w:t>
      </w:r>
    </w:p>
    <w:p>
      <w:pPr>
        <w:spacing w:before="120" w:after="20" w:line="240" w:lineRule="atLeast"/>
        <w:ind w:left="720" w:hanging="360"/>
        <w:jc w:val="both"/>
        <w:rPr>
          <w:rFonts w:ascii="arial" w:eastAsia="arial" w:hAnsi="arial" w:cs="arial"/>
          <w:sz w:val="20"/>
          <w:lang w:val="en-US" w:eastAsia="en-US" w:bidi="ar-SA"/>
        </w:rPr>
      </w:pPr>
      <w:bookmarkStart w:id="53" w:name="Forward_fnref_fnr-6"/>
      <w:hyperlink w:anchor="Backward_fnref_fnr-6" w:history="1">
        <w:r>
          <w:rPr>
            <w:rFonts w:ascii="arial" w:eastAsia="arial" w:hAnsi="arial" w:cs="arial"/>
            <w:b/>
            <w:color w:val="BE161D"/>
            <w:sz w:val="18"/>
            <w:shd w:val="clear" w:color="auto" w:fill="FFFFFF"/>
            <w:lang w:val="en-US" w:eastAsia="en-US" w:bidi="ar-SA"/>
          </w:rPr>
          <w:t>6</w:t>
        </w:r>
      </w:hyperlink>
      <w:bookmarkEnd w:id="53"/>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Cansulex at para. 15; GWL at 128-129; Tse-Ching v. Wesbild Holdings Ltd. </w:t>
      </w:r>
      <w:hyperlink r:id="rId96" w:history="1">
        <w:r>
          <w:rPr>
            <w:rFonts w:ascii="arial" w:eastAsia="arial" w:hAnsi="arial" w:cs="arial"/>
            <w:i/>
            <w:color w:val="0077CC"/>
            <w:sz w:val="18"/>
            <w:u w:val="single"/>
            <w:shd w:val="clear" w:color="auto" w:fill="FFFFFF"/>
            <w:lang w:val="en-US" w:eastAsia="en-US" w:bidi="ar-SA"/>
          </w:rPr>
          <w:t>(1994), 98 B.C.L.R. (2d) 92</w:t>
        </w:r>
      </w:hyperlink>
      <w:r>
        <w:rPr>
          <w:rFonts w:ascii="arial" w:eastAsia="arial" w:hAnsi="arial" w:cs="arial"/>
          <w:color w:val="6D6E71"/>
          <w:sz w:val="18"/>
          <w:lang w:val="en-US" w:eastAsia="en-US" w:bidi="ar-SA"/>
        </w:rPr>
        <w:t xml:space="preserve"> (S.C.) at 100 ("Tse-Ching").</w:t>
      </w:r>
    </w:p>
    <w:p>
      <w:pPr>
        <w:spacing w:before="120" w:after="20" w:line="240" w:lineRule="atLeast"/>
        <w:ind w:left="720" w:hanging="360"/>
        <w:jc w:val="both"/>
        <w:rPr>
          <w:rFonts w:ascii="arial" w:eastAsia="arial" w:hAnsi="arial" w:cs="arial"/>
          <w:sz w:val="20"/>
          <w:lang w:val="en-US" w:eastAsia="en-US" w:bidi="ar-SA"/>
        </w:rPr>
      </w:pPr>
      <w:bookmarkStart w:id="54" w:name="Forward_fnref_fnr-7"/>
      <w:hyperlink w:anchor="Backward_fnref_fnr-7" w:history="1">
        <w:r>
          <w:rPr>
            <w:rFonts w:ascii="arial" w:eastAsia="arial" w:hAnsi="arial" w:cs="arial"/>
            <w:b/>
            <w:color w:val="BE161D"/>
            <w:sz w:val="18"/>
            <w:shd w:val="clear" w:color="auto" w:fill="FFFFFF"/>
            <w:lang w:val="en-US" w:eastAsia="en-US" w:bidi="ar-SA"/>
          </w:rPr>
          <w:t>7</w:t>
        </w:r>
      </w:hyperlink>
      <w:bookmarkEnd w:id="54"/>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GWL at 129; Tse-Ching at 100; Cominco Ltd. v. Westinghouse Can. Ltd. </w:t>
      </w:r>
      <w:hyperlink r:id="rId91" w:history="1">
        <w:r>
          <w:rPr>
            <w:rFonts w:ascii="arial" w:eastAsia="arial" w:hAnsi="arial" w:cs="arial"/>
            <w:i/>
            <w:color w:val="0077CC"/>
            <w:sz w:val="18"/>
            <w:u w:val="single"/>
            <w:shd w:val="clear" w:color="auto" w:fill="FFFFFF"/>
            <w:lang w:val="en-US" w:eastAsia="en-US" w:bidi="ar-SA"/>
          </w:rPr>
          <w:t>(1978), 6 B.C.L.R. 25</w:t>
        </w:r>
      </w:hyperlink>
      <w:r>
        <w:rPr>
          <w:rFonts w:ascii="arial" w:eastAsia="arial" w:hAnsi="arial" w:cs="arial"/>
          <w:color w:val="6D6E71"/>
          <w:sz w:val="18"/>
          <w:lang w:val="en-US" w:eastAsia="en-US" w:bidi="ar-SA"/>
        </w:rPr>
        <w:t xml:space="preserve"> (S.C.) at 29 ("Cominco"); Alford at para. 18.</w:t>
      </w:r>
    </w:p>
    <w:p>
      <w:pPr>
        <w:spacing w:before="120" w:after="20" w:line="240" w:lineRule="atLeast"/>
        <w:ind w:left="720" w:hanging="360"/>
        <w:jc w:val="both"/>
        <w:rPr>
          <w:rFonts w:ascii="arial" w:eastAsia="arial" w:hAnsi="arial" w:cs="arial"/>
          <w:sz w:val="20"/>
          <w:lang w:val="en-US" w:eastAsia="en-US" w:bidi="ar-SA"/>
        </w:rPr>
      </w:pPr>
      <w:bookmarkStart w:id="55" w:name="Forward_fnref_fnr-8"/>
      <w:hyperlink w:anchor="Backward_fnref_fnr-8" w:history="1">
        <w:r>
          <w:rPr>
            <w:rFonts w:ascii="arial" w:eastAsia="arial" w:hAnsi="arial" w:cs="arial"/>
            <w:b/>
            <w:color w:val="BE161D"/>
            <w:sz w:val="18"/>
            <w:shd w:val="clear" w:color="auto" w:fill="FFFFFF"/>
            <w:lang w:val="en-US" w:eastAsia="en-US" w:bidi="ar-SA"/>
          </w:rPr>
          <w:t>8</w:t>
        </w:r>
      </w:hyperlink>
      <w:bookmarkEnd w:id="55"/>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Anglo-Canadian at 604-606; GWL at 129; Tse-Ching at 100-101; Alford at para. 18.</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4" style="position:absolute;z-index:2517063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7"/>
          <w:headerReference w:type="default" r:id="rId98"/>
          <w:footerReference w:type="even" r:id="rId99"/>
          <w:footerReference w:type="default" r:id="rId100"/>
          <w:headerReference w:type="first" r:id="rId101"/>
          <w:footerReference w:type="first" r:id="rId10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3" w:history="1">
        <w:r>
          <w:rPr>
            <w:rFonts w:ascii="arial" w:eastAsia="arial" w:hAnsi="arial" w:cs="arial"/>
            <w:b/>
            <w:bCs/>
            <w:i/>
            <w:color w:val="0077CC"/>
            <w:kern w:val="32"/>
            <w:sz w:val="28"/>
            <w:szCs w:val="32"/>
            <w:u w:val="single"/>
            <w:shd w:val="clear" w:color="auto" w:fill="FFFFFF"/>
            <w:lang w:val="en-US" w:eastAsia="en-US" w:bidi="ar-SA"/>
          </w:rPr>
          <w:t>Hurn v. McLellan, [2011] B.C.J. No. 649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C.P. Bouck</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29,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8,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09 3547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649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447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840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 A.C.W.S. (3d) 379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Andrew Hurn, Plaintiff, and Colleen McLellan,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5"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6" w:name="Keywords_5"/>
      <w:bookmarkEnd w:id="56"/>
      <w:r>
        <w:rPr>
          <w:rFonts w:ascii="arial" w:eastAsia="arial" w:hAnsi="arial" w:cs="arial"/>
          <w:b/>
          <w:color w:val="000000"/>
          <w:sz w:val="20"/>
          <w:lang w:val="en-US" w:eastAsia="en-US" w:bidi="ar-SA"/>
        </w:rPr>
        <w:t xml:space="preserve">Civil litigation — Civil procedure — Pleadings — Amendment of — Statement of defence — To withdraw admission of liability — Leave to amend — Prejudice — Application by defendant for leave to withdraw admission dismissed — Cross-application by plaintiff for discovery and adjournment dismissed — Plaintiff claimed he suffered injuries in motor vehicle accident — Defendant's insurer investigated, took statement from plaintiff and recommended defendant admit liability, which he did — Statement of defence alleged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Defendant sought to withdraw admission of liability on basis of plaintiff's discovery evidence — Plaintiff relied on admission for over one year — Defendant made admission following proper investigation — Not clear discovery produced new evidence — Withdrawal would cause delay and prejudice — Unnecessary to consider plaintiff's application.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7" w:name="Case Summary_5"/>
            <w:bookmarkEnd w:id="5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defendant for leave to withdraw her admission of liability. Cross-application by the plaintiff for discovery and an adjournment. The plaintiff claimed he suffered injuries in a 2007 T-bone collision with the defendant in a parking lot. The defendant's insurer investigated, took a statement from the plaintiff and recommended that the defendant admit liability, which she did. As a result of the admission, the plaintiff took no steps to investigate the accident or look for witnesses. The Statement of Defence did allege that the plaintiff was contributorily negligent on the basis of the seatbelt and headrest defences. The defendant wanted to withdraw the admission of liability as a result of the plaintiff's discovery evidence that he made eye contact with the defendant, saw the defendant moving and was warned by his passenger.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8" w:name="Holdings of Court_4"/>
            <w:bookmarkEnd w:id="58"/>
            <w:r>
              <w:rPr>
                <w:rFonts w:ascii="arial" w:eastAsia="arial" w:hAnsi="arial" w:cs="arial"/>
                <w:color w:val="000000"/>
                <w:sz w:val="20"/>
                <w:lang w:val="en-US" w:eastAsia="en-US" w:bidi="ar-SA"/>
              </w:rPr>
              <w:t>HELD: Application and cross-application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If the defendant's application was granted, upcoming trial dates would be lost, since they were set with the understanding that only damages were at issue. The plaintiff relied on the admission for over one year, so the defendant had delayed in bringing this application. The defendant was responsible for making the admission following a proper investigation. It was not obvious that the discovery of the plaintiff had produced any new evidence. Allowing the application would be too prejudicial to the plaintiff. With the dismissal of the defendant's application, it was not necessary to consider the plaintiff's application.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9" w:name="Legislation Cited_4"/>
      <w:bookmarkEnd w:id="5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6"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Vehicles Act, </w:t>
      </w:r>
      <w:hyperlink r:id="rId104" w:history="1">
        <w:r>
          <w:rPr>
            <w:rFonts w:ascii="arial" w:eastAsia="arial" w:hAnsi="arial" w:cs="arial"/>
            <w:i/>
            <w:color w:val="0077CC"/>
            <w:sz w:val="20"/>
            <w:u w:val="single"/>
            <w:shd w:val="clear" w:color="auto" w:fill="FFFFFF"/>
            <w:lang w:val="en-US" w:eastAsia="en-US" w:bidi="ar-SA"/>
          </w:rPr>
          <w:t>RSBC 1996, CHAPTER 318, s. 144</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6-1, Rule 7-7(5)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0" w:name="Counsel_5"/>
      <w:bookmarkEnd w:id="6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7"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C.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R. Ashmead.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1" w:name="Judgment_5"/>
      <w:bookmarkEnd w:id="61"/>
      <w:r>
        <w:pict>
          <v:line id="_x0000_s1058" style="position:absolute;z-index:2516951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2" w:name="MASTER C.P. BOUCK"/>
            <w:bookmarkEnd w:id="62"/>
            <w:r>
              <w:rPr>
                <w:rFonts w:ascii="arial" w:eastAsia="arial" w:hAnsi="arial" w:cs="arial"/>
                <w:b/>
                <w:color w:val="000000"/>
                <w:sz w:val="30"/>
                <w:lang w:val="en-US" w:eastAsia="en-US" w:bidi="ar-SA"/>
              </w:rPr>
              <w:t>MASTER C.P. BOUCK</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parties bring cross-applications in this personal injury action. Following a nearly full day hearing, both applications were dismissed with written reasons to follow. The parties were ordered to bear their own costs with respect to the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application seeks leave to amend her statement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application is more properly framed as seeking leave to withdraw an admission of liability in that pleading. If leave were granted, the proposed amendments to the pleading would likely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defence application first came before the court on March 22, 2011. The sitting Master ordered the application adjourned to allow the plaintiff to bring his cross-application.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a notice of application filed March 23, 2011, the plaintiff seeks the following relief:</w:t>
      </w:r>
      <w:r>
        <w:rPr>
          <w:rFonts w:ascii="arial" w:eastAsia="arial" w:hAnsi="arial" w:cs="arial"/>
          <w:sz w:val="20"/>
          <w:lang w:val="en-US" w:eastAsia="en-US" w:bidi="ar-SA"/>
        </w:rPr>
        <w:cr/>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produce a copy of the Discovery Report, prepared by Heather Jaeb and dated November 23, 2010, to the Plaintiff forthwith;</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produce copies of all documents contained in the files of her solicitors and insurer(s) relating to the matters of liability, damages, and credibility;</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Application to amend her Statement of Defence, originally set for hearing on March 22, 2011, and adjourned to March 29, 2011, be further adjourned pending receipt and review of the documents above;</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this Application; and</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Order as to this Court seems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relief sought in item 3 presented somewhat of a conundrum in terms of the sequence in which the parties' applications should be heard. It appeared logical that the defendant's application should first proceed. If that application were dismissed, there seemed no purpose in ordering the relief sought in items 1 and 2 of the plaintiff's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is alleged to have suffered injuries in a motor vehicle accident which occurred on August 13, 2007. The usual heads of damages are pled in the statement of claim filed on August 12,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accident occurred in a parking lot. Both counsel describe the collision between the parties' vehicles as a "T-bone" accident. The front end of the defendant's vehicle struck the right side of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Following the accident, the defendant's insurer, ICBC, carried out an investigation of the circumstances of the collision. A statement was taken from the plaintiff on August 15, 2007. Two drawings of the accident scene are attached to the statement. The plaintiff was not represented by counsel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describes the circumstances of the collision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in my 86 Suzuki Samurai bearing plate 725ALP. I was with my girlfriend, Sarah Grounds, who was in the front passenger seat ... We were in Fairways on Quadra Street, and heading to a movie. We had been in the parking lot at Quadra by Kings Road. I would say I was going about 25 km/hour. The other driver was straightening out to go forward, when I was going past her. The front corner of her car, hit the right side rocker panel on my vehicle. It spun the back right end of my vehicle out and so we ended up kind of facing her after we were hit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ICBC subsequently instructed defence counsel to admit Ms. McClellan's liability for the accident. The statement of defence containing this admission was filed on January 28,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Given the admission of liability, plaintiff's counsel took no steps to interview the defendant or indeed look for witnesses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This action is set to proceed to trial on June 13, 2011 for three days. A trial management conference will take place on May 3,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parties intend to mediate the plaintiff's claim on May 11,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November 9, 2010, the plaintiff was examined for discovery. Defence counsel prepared a written Discovery Report summarizing the results of that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Discovery Report was forwarded to ICBC on or about November 23, 2010. Defence counsel deposes in her affidavit sworn March 18, 2011: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did become apparent after the Discovery that a change in liability was required. Recommendations to our client on this subject were sent out in our Discovery Report, which is a privileged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further: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belief that the [instructing adjuster at ICBC] was not able to meet with his managers and supervisor to discuss the Discovery Report until in or about February 2011. After [the instructing adjuster] met with his managers and supervisor, we received instructions on February 16, 2011 to bring an application to change liability from "Admit" to "Deny".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Defence counsel then took steps to set down this application including ordering a transcript of the plaintiff's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Plaintiff's counsel received the defendant's application on March 8, 2011. According to the evidence, this is the first notice given to the plaintiff that liability was to be an issue in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proposed amendments to the statement of defence with respect to liability are:</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Particulars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are as follows:</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driving the motor vehicle without due care and attention, contrary to the provisions of s. 144 of the 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and amendments thereto;</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keep any or, in the alternative, an adequate lookout;</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driving the motor vehicle without any or, in the alternative, with defective brakes or, in the further alternative, in failing to apply the brakes of the motor vehicle in time to avoid the collision;</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keep the motor vehicle under proper or any control;</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take reasonable or proper or any precaution to avoid the collision;</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driving the motor vehicle while his ability to drive was impaired by alcohol, drugs, fatigue, illness, or any combination thereof;</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reduce the speed of the motor vehicle reasonably or in time to avoid the collision or, in the alternative, in failing to stop the motor vehicle in time to avoid the collision;</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turn out reasonably or in time to avoid the collision or in failing to direct the course of the motor vehicle to prevent it from coming in to the collision when the collision was, or should have appeared, imminent;</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driving without proper care and attention having regard to the time and place of the accident, the climatic conditions, the nature of the roadway, the traffic that was on the roadway, the mechanical condition of his motor vehicle and his own physical and mental condition;</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give any or adequate warning to the Defendant when the collision was, or should have appeared, imminent;</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take any or any adequate evasive steps when he knew or ought to have known that a collision was imminent.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evidence obtained at the plaintiff's examination for discovery which purports to support these amendments is stated to be:</w:t>
      </w:r>
      <w:r>
        <w:rPr>
          <w:rFonts w:ascii="arial" w:eastAsia="arial" w:hAnsi="arial" w:cs="arial"/>
          <w:sz w:val="20"/>
          <w:lang w:val="en-US" w:eastAsia="en-US" w:bidi="ar-SA"/>
        </w:rPr>
        <w:cr/>
      </w:r>
    </w:p>
    <w:p>
      <w:pPr>
        <w:numPr>
          <w:numId w:val="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alleges his Suzuki was stopped in the parking lot when he first made eye contact with the Defendant.</w:t>
      </w:r>
    </w:p>
    <w:p>
      <w:pPr>
        <w:numPr>
          <w:numId w:val="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eye contact between the parties first occurred just after the Defendant finished backing/reversing her Ford out of a parking stall, stopped and then changed direction to a forward motion.</w:t>
      </w:r>
    </w:p>
    <w:p>
      <w:pPr>
        <w:numPr>
          <w:numId w:val="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the Ford proceeding to move forward towards the Suzuki, the Plaintiff estimated that the distance between the two vehicles was 30 or 40 feet.</w:t>
      </w:r>
    </w:p>
    <w:p>
      <w:pPr>
        <w:numPr>
          <w:numId w:val="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looked left, looked straight, looked left and then back at the Defendant before he started to proceed forward in his Suzuki.</w:t>
      </w:r>
    </w:p>
    <w:p>
      <w:pPr>
        <w:numPr>
          <w:numId w:val="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alleges he saw the Defendant's Ford start to move forward at approximately 5 kms per hour and he made eye contact with the Defendant a second time.</w:t>
      </w:r>
    </w:p>
    <w:p>
      <w:pPr>
        <w:numPr>
          <w:numId w:val="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states he started to move his Suzuki and was shifting from first gear into second gear, and was traveling between 5 to 10 kms per hour, when his passenger warned him that the Suzuki was going to be hit. The Plaintiff then turned to the right to look outside the passenger window and he saw the Ford when the motor vehicle collision occurred.</w:t>
      </w:r>
    </w:p>
    <w:p>
      <w:pPr>
        <w:numPr>
          <w:numId w:val="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estimated that the Defendant was traveling between 20 kms per hour and 40 kms per hour prior to impact and the Defendant made no attempt to slow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original statement of defence includes a plea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The plea reflects what is commonly known as the seatbelt and headrest defences.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With the dismissal of the defendant's application, the relief sought in the plaintiff's application becomes moot.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Thus, it is only necessary to address the law with respect to the defence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defendant's notice of application seeks leave to amend the statement of defence in a form attached as Schedule "A". The legal basis for the relief is said to be Rule 6-1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 and various common law authorities which address the amendment of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argument, defence counsel conceded that the proposed amendments require the withdrawal of an admission. However, counsel further argued that the test to be met on either type of application is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am unable to accept that submission. There are similar and overlapping considerations for the court on these two types of applications. However, to adopt the submissions of plaintiff's counsel, the "high bar" threshold to obtain leave to withdraw an admission must be met before the "low bar" threshold to obtain leave to amend a pleading will follow. Thus, the legal test to be met by the defence is with respect to the withdrawal of an admission.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Rule 7-7(5) of the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 xml:space="preserve"> provides that:</w:t>
      </w:r>
      <w:r>
        <w:rPr>
          <w:rFonts w:ascii="arial" w:eastAsia="arial" w:hAnsi="arial" w:cs="arial"/>
          <w:sz w:val="20"/>
          <w:lang w:val="en-US" w:eastAsia="en-US" w:bidi="ar-SA"/>
        </w:rPr>
        <w:cr/>
      </w:r>
    </w:p>
    <w:p>
      <w:pPr>
        <w:numPr>
          <w:numId w:val="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is not entitled to withdraw</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admission made in response to a notice to admit,</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deemed admission under subrule (2), or</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admission made in a pleading, petition or response to petition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except by consent or with leave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principles which govern an application to withdraw an admission of fact are as follows: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is a triable issue which, in the interests of justice, should be determined on the merits and not disposed of by an admission of fact;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applying that test, all of the circumstances should be taken into account including whether:</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admission has been made inadvertently, hastily or without knowledge;</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admitted was not within the knowledge of the party making the admission</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admitted is not true.</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admitted is one of mixed fact and law</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withdrawal of the admission would not prejudice a party</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has been no delay in applying to withdraw the admission.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Hamilton v. Ahmed</w:t>
      </w:r>
      <w:r>
        <w:rPr>
          <w:rFonts w:ascii="arial" w:eastAsia="arial" w:hAnsi="arial" w:cs="arial"/>
          <w:color w:val="000000"/>
          <w:sz w:val="20"/>
          <w:lang w:val="en-US" w:eastAsia="en-US" w:bidi="ar-SA"/>
        </w:rPr>
        <w:t xml:space="preserve"> (1999), 28 C.P.C. (4th) 139 (B.C.S.C.) at para. 11, as approved in </w:t>
      </w:r>
      <w:r>
        <w:rPr>
          <w:rFonts w:ascii="arial" w:eastAsia="arial" w:hAnsi="arial" w:cs="arial"/>
          <w:i/>
          <w:color w:val="000000"/>
          <w:sz w:val="20"/>
          <w:lang w:val="en-US" w:eastAsia="en-US" w:bidi="ar-SA"/>
        </w:rPr>
        <w:t>Munster &amp; Sons Developments Ltd. v. Shaw</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2005 BCCA 564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More recently, the test has been articulated by the court in </w:t>
      </w:r>
      <w:r>
        <w:rPr>
          <w:rFonts w:ascii="arial" w:eastAsia="arial" w:hAnsi="arial" w:cs="arial"/>
          <w:i/>
          <w:color w:val="000000"/>
          <w:sz w:val="20"/>
          <w:lang w:val="en-US" w:eastAsia="en-US" w:bidi="ar-SA"/>
        </w:rPr>
        <w:t>374787 B.C. Ltd. v. Great West Management Corp.,</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2007 BCSC 582</w:t>
        </w:r>
      </w:hyperlink>
      <w:r>
        <w:rPr>
          <w:rFonts w:ascii="arial" w:eastAsia="arial" w:hAnsi="arial" w:cs="arial"/>
          <w:color w:val="000000"/>
          <w:sz w:val="20"/>
          <w:lang w:val="en-US" w:eastAsia="en-US" w:bidi="ar-SA"/>
        </w:rPr>
        <w:t xml:space="preserve"> at para.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general rule, the Court must consider whether in the circumstances of the case the interests of justice justify the withdrawal of the admission. The following facts, which are not exhaustive are relevant: delay, loss of a trial date, a party is responsible for an erroneous admission, inadvertence in the making of an admission and estoppel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question of fault for the accident is one of mixed fact and law: </w:t>
      </w:r>
      <w:r>
        <w:rPr>
          <w:rFonts w:ascii="arial" w:eastAsia="arial" w:hAnsi="arial" w:cs="arial"/>
          <w:i/>
          <w:color w:val="000000"/>
          <w:sz w:val="20"/>
          <w:lang w:val="en-US" w:eastAsia="en-US" w:bidi="ar-SA"/>
        </w:rPr>
        <w:t>Bedwell v. McGill,</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2008 BCCA 6</w:t>
        </w:r>
      </w:hyperlink>
      <w:r>
        <w:rPr>
          <w:rFonts w:ascii="arial" w:eastAsia="arial" w:hAnsi="arial" w:cs="arial"/>
          <w:color w:val="000000"/>
          <w:sz w:val="20"/>
          <w:lang w:val="en-US" w:eastAsia="en-US" w:bidi="ar-SA"/>
        </w:rPr>
        <w:t xml:space="preserve"> at paras. 33 to 34, foll'g </w:t>
      </w:r>
      <w:r>
        <w:rPr>
          <w:rFonts w:ascii="arial" w:eastAsia="arial" w:hAnsi="arial" w:cs="arial"/>
          <w:i/>
          <w:color w:val="000000"/>
          <w:sz w:val="20"/>
          <w:lang w:val="en-US" w:eastAsia="en-US" w:bidi="ar-SA"/>
        </w:rPr>
        <w:t>Housen v. Nikolaisen</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[2002] S.C.J. No. 31</w:t>
        </w:r>
      </w:hyperlink>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[2002] 2 S.C.R. 235</w:t>
        </w:r>
      </w:hyperlink>
      <w:r>
        <w:rPr>
          <w:rFonts w:ascii="arial" w:eastAsia="arial" w:hAnsi="arial" w:cs="arial"/>
          <w:color w:val="000000"/>
          <w:sz w:val="20"/>
          <w:lang w:val="en-US" w:eastAsia="en-US" w:bidi="ar-SA"/>
        </w:rPr>
        <w:t xml:space="preserve"> at para. 27 (S.C.C.),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Iacobucci and Major JJ.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However, whether the admission sought to be withdrawn is one of fact, law or mixed law and fact, the same legal test applies: </w:t>
      </w:r>
      <w:r>
        <w:rPr>
          <w:rFonts w:ascii="arial" w:eastAsia="arial" w:hAnsi="arial" w:cs="arial"/>
          <w:i/>
          <w:color w:val="000000"/>
          <w:sz w:val="20"/>
          <w:lang w:val="en-US" w:eastAsia="en-US" w:bidi="ar-SA"/>
        </w:rPr>
        <w:t>Nesbitt v. Miramar Mining Corp.,</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2000 BCSC 187</w:t>
        </w:r>
      </w:hyperlink>
      <w:r>
        <w:rPr>
          <w:rFonts w:ascii="arial" w:eastAsia="arial" w:hAnsi="arial" w:cs="arial"/>
          <w:color w:val="000000"/>
          <w:sz w:val="20"/>
          <w:lang w:val="en-US" w:eastAsia="en-US" w:bidi="ar-SA"/>
        </w:rPr>
        <w:t xml:space="preserve"> at para.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It is not enough to show that triable issue exists. The applicant must show that, in all of the circumstances, the interests of justice require the withdrawal of the admission: </w:t>
      </w:r>
      <w:r>
        <w:rPr>
          <w:rFonts w:ascii="arial" w:eastAsia="arial" w:hAnsi="arial" w:cs="arial"/>
          <w:i/>
          <w:color w:val="000000"/>
          <w:sz w:val="20"/>
          <w:lang w:val="en-US" w:eastAsia="en-US" w:bidi="ar-SA"/>
        </w:rPr>
        <w:t>Rafter v. Paterson</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[1997] B.C.J. No. 2509</w:t>
        </w:r>
      </w:hyperlink>
      <w:r>
        <w:rPr>
          <w:rFonts w:ascii="arial" w:eastAsia="arial" w:hAnsi="arial" w:cs="arial"/>
          <w:color w:val="000000"/>
          <w:sz w:val="20"/>
          <w:lang w:val="en-US" w:eastAsia="en-US" w:bidi="ar-SA"/>
        </w:rPr>
        <w:t xml:space="preserve"> (November 7, 1997), Vancouver No. B924884.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Moreover, even if a trial date is not imminent and the applicant gave early notice of the proposed withdrawal of the admission, delay in bringing an application for such relief might in itself be a "concern that cannot be overcome": </w:t>
      </w:r>
      <w:r>
        <w:rPr>
          <w:rFonts w:ascii="arial" w:eastAsia="arial" w:hAnsi="arial" w:cs="arial"/>
          <w:i/>
          <w:color w:val="000000"/>
          <w:sz w:val="20"/>
          <w:lang w:val="en-US" w:eastAsia="en-US" w:bidi="ar-SA"/>
        </w:rPr>
        <w:t>Sureus v. Leroux,</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2010 BCSC 1344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the circumstances of this case, the interests of justice militate against allowing the defendant's withdrawal of the admission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First, if the admissions were to be withdrawn, it is highly probable that the upcoming trial dates will be lost. The trial dates were set on the assumption that the only issue for determination is the plaintiff's damages. Not only would the question of liability add to the time required for trial, but the plaintiff would also be compelled to undertake his own investigation on liability. Such an investigation might well include an examination for discovery of the defendant. It is reasonable to presume that an investigation will not be concluded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Second, the plaintiff has conducted this litigation relying on the admission for more than one year. The plaintiff's investigation of the accident details is hampered by the passage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Third, the defendant is responsible for making the admission. The admission of liability was made after the defendant's insurer had conducted its own investigation. There is no suggestion in the evidence that this investigation was rushed or haphazard or delinquent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Fourth, there has been delay in bringing this application. The application came before the court more than one year after pleadings were closed and a little over three months before trial. It is possible, although by no means a given, that the prejudice to the plaintiff would appear less severe had the application been brought immediately following the examination for discovery. However, it is not the fault of the plaintiff that ICBC's administrative challenges caused delay. The defendant's insurer is not to be treated differently from other litigants on this or any other type of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As the court states in </w:t>
      </w:r>
      <w:r>
        <w:rPr>
          <w:rFonts w:ascii="arial" w:eastAsia="arial" w:hAnsi="arial" w:cs="arial"/>
          <w:i/>
          <w:color w:val="000000"/>
          <w:sz w:val="20"/>
          <w:lang w:val="en-US" w:eastAsia="en-US" w:bidi="ar-SA"/>
        </w:rPr>
        <w:t>Nesbitt v. Miramar Mining Corp., supra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not be in the interests of justice or fairness to have the plaintiff prejudiced by the imprudence of the defendant in allowing this delay and the consequences it would produce: at para.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Finally, while liability is a triable issue, it is not obvious that the examination for discovery produced new (or changed) evidence as to support the proposed change in the pleadings. Nevertheless, this question need not be decided on this application. The overwhelming prejudice to the plaintiff outweighs allowing the admission's withdrawal even if a triable issue exists.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With the dismissal of the defendant's application, there is no purpose served in determining the plaintiff's application. Disclosure of the Discovery Report was sought in order to respond to the defence application. Thus, the appropriate result is the dismissal of the plaintiff's application even though it was not determined on the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C.P. BOUCK</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9" style="position:absolute;z-index:251704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19" w:history="1">
        <w:r>
          <w:rPr>
            <w:rFonts w:ascii="arial" w:eastAsia="arial" w:hAnsi="arial" w:cs="arial"/>
            <w:b/>
            <w:bCs/>
            <w:i/>
            <w:color w:val="0077CC"/>
            <w:kern w:val="32"/>
            <w:sz w:val="28"/>
            <w:szCs w:val="32"/>
            <w:u w:val="single"/>
            <w:shd w:val="clear" w:color="auto" w:fill="FFFFFF"/>
            <w:lang w:val="en-US" w:eastAsia="en-US" w:bidi="ar-SA"/>
          </w:rPr>
          <w:t>Lawson v. British Columbia Transit, [2002] B.C.J. No. 2297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Humphries J.</w:t>
      </w:r>
    </w:p>
    <w:p>
      <w:pPr>
        <w:spacing w:before="120" w:line="260" w:lineRule="atLeast"/>
        <w:jc w:val="center"/>
        <w:rPr>
          <w:lang w:val="en-US" w:eastAsia="en-US" w:bidi="ar-SA"/>
        </w:rPr>
      </w:pPr>
      <w:r>
        <w:rPr>
          <w:rFonts w:ascii="arial" w:eastAsia="arial" w:hAnsi="arial" w:cs="arial"/>
          <w:color w:val="000000"/>
          <w:sz w:val="20"/>
          <w:lang w:val="en-US" w:eastAsia="en-US" w:bidi="ar-SA"/>
        </w:rPr>
        <w:t>Heard: September 3 - 6, 2002.</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October 10, 2002.</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B993804</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[2002] B.C.J. No. 2297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2002 BCSC 1438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116 A.C.W.S. (3d) 977</w:t>
      </w:r>
    </w:p>
    <w:p>
      <w:pPr>
        <w:spacing w:before="120" w:line="260" w:lineRule="atLeast"/>
        <w:rPr>
          <w:lang w:val="en-US" w:eastAsia="en-US" w:bidi="ar-SA"/>
        </w:rPr>
      </w:pPr>
      <w:r>
        <w:rPr>
          <w:rFonts w:ascii="arial" w:eastAsia="arial" w:hAnsi="arial" w:cs="arial"/>
          <w:color w:val="000000"/>
          <w:sz w:val="20"/>
          <w:lang w:val="en-US" w:eastAsia="en-US" w:bidi="ar-SA"/>
        </w:rPr>
        <w:t>Between Imogene Lawson, plaintiff, and British Columbia Transit, Dale Dickie, Greater Vancouver Transportation Authority, Coast Mountain Bus Company Ltd. and Ben Au,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(47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60" style="position:absolute;z-index:25166540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63" w:name="Keywords_6"/>
      <w:bookmarkEnd w:id="63"/>
      <w:r>
        <w:rPr>
          <w:rFonts w:ascii="arial" w:eastAsia="arial" w:hAnsi="arial" w:cs="arial"/>
          <w:b/>
          <w:color w:val="000000"/>
          <w:sz w:val="20"/>
          <w:lang w:val="en-US" w:eastAsia="en-US" w:bidi="ar-SA"/>
        </w:rPr>
        <w:t xml:space="preserve">Damage awards — Injury and death — Leg injuries — Knee — Body injuries — Shoulder — Aggravation of pre-existing condition — General damages — General damages for personal injury — Impairment of earning capacity — 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Whether the defendant took reasonable care — Motor vehicle, passengers.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64" w:name="Case Summary_6"/>
            <w:bookmarkEnd w:id="64"/>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Lawson against the defendants, British Columbia Transit, Dickie, the Greater Vancouver Transportation Authority, Coast Mountain Bus Company and Au, for damages for personal injuries suffered in two incidents on Transit buses. Dickie and Au were bus drivers. Lawson, who was 74 years old, alleged that in the first incident, she was knocked over by a passenger leaving the bus. She argued that the driver, Dickie, had a duty to ensure that she was safe from such harm or to warn her of the exiting passenger. Dickie testified that the passenger approached the doors to exit quickly and without warning. In the second incident, Lawson alleged that she had entered the bus and had not yet sat down when the driver, Au, caused the bus to lurch forward. Lawson fell and suffered injury to her knee and shoulder. Au stated that he did not see Lawson fall and testified that he watched her take a seat before he moved the bus. Lawson argued that her life was completely destroyed by her injuries. During the trial, her movements were unrestricted despite her testimony that she was in constant shoulder pain. There was medical evidence that Lawson had suffered from knee and shoulder pain for years prior to the incidents. Lawson's income was earned from standing on a street corner preaching and collecting donations. She testified that she collected $12 to $50 per day. </w:t>
            </w:r>
            <w:r>
              <w:rPr>
                <w:lang w:val="en-US" w:eastAsia="en-US" w:bidi="ar-SA"/>
              </w:rPr>
              <w:cr/>
            </w:r>
          </w:p>
          <w:p>
            <w:pPr>
              <w:spacing w:before="120" w:line="260" w:lineRule="atLeast"/>
              <w:ind w:left="240"/>
              <w:jc w:val="both"/>
              <w:rPr>
                <w:lang w:val="en-US" w:eastAsia="en-US" w:bidi="ar-SA"/>
              </w:rPr>
            </w:pPr>
            <w:bookmarkStart w:id="65" w:name="Holdings of Court_5"/>
            <w:bookmarkEnd w:id="65"/>
            <w:r>
              <w:rPr>
                <w:rFonts w:ascii="arial" w:eastAsia="arial" w:hAnsi="arial" w:cs="arial"/>
                <w:color w:val="000000"/>
                <w:sz w:val="20"/>
                <w:lang w:val="en-US" w:eastAsia="en-US" w:bidi="ar-SA"/>
              </w:rPr>
              <w:t>HELD: Action allowed in part.</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Lawson was entitled to damages against Au of $15,000 and future care costs of $2,800, as well as special damages to be assessed. Dickie did not breach any duty to Lawson. He was not an insurer. However, Au breached the duty of care of a reasonably prudent bus driver. It was unlikely that Lawson was seated, as she would not have fallen as she did. Au did not ensure that Lawson was secure prior to moving the bus. The second incident aggravated her knee and shoulder pain. Lawson's damages were reduced by her pre-existing condition. Any restriction on her ability to earn income from her stated activity was considered under general damages. </w:t>
            </w:r>
            <w:r>
              <w:rPr>
                <w:lang w:val="en-US" w:eastAsia="en-US" w:bidi="ar-SA"/>
              </w:rPr>
              <w:cr/>
            </w:r>
          </w:p>
          <w:p>
            <w:pPr>
              <w:rPr>
                <w:lang w:val="en-US" w:eastAsia="en-US" w:bidi="ar-SA"/>
              </w:rPr>
            </w:pPr>
          </w:p>
        </w:tc>
      </w:tr>
    </w:tbl>
    <w:p>
      <w:pPr>
        <w:jc w:val="both"/>
        <w:rPr>
          <w:lang w:val="en-US" w:eastAsia="en-US" w:bidi="ar-SA"/>
        </w:rPr>
      </w:pPr>
      <w:bookmarkStart w:id="66" w:name="Counsel_6"/>
      <w:bookmarkEnd w:id="66"/>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61" style="position:absolute;z-index:25167564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A.M. Ross, for the plaintiff. M.D. Murphy, for the defendants.</w:t>
      </w:r>
      <w:r>
        <w:rPr>
          <w:lang w:val="en-US" w:eastAsia="en-US" w:bidi="ar-SA"/>
        </w:rPr>
        <w:cr/>
      </w:r>
    </w:p>
    <w:p>
      <w:pPr>
        <w:spacing w:after="240"/>
        <w:rPr>
          <w:lang w:val="en-US" w:eastAsia="en-US" w:bidi="ar-SA"/>
        </w:rPr>
      </w:pPr>
      <w:bookmarkStart w:id="67" w:name="Judgment_6"/>
      <w:bookmarkEnd w:id="67"/>
      <w:r>
        <w:pict>
          <v:line id="_x0000_s1062" style="position:absolute;z-index:251685888"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68" w:name="HUMPHRIES J."/>
            <w:bookmarkEnd w:id="68"/>
            <w:r>
              <w:rPr>
                <w:rFonts w:ascii="arial" w:eastAsia="arial" w:hAnsi="arial" w:cs="arial"/>
                <w:b/>
                <w:color w:val="000000"/>
                <w:sz w:val="30"/>
                <w:lang w:val="en-US" w:eastAsia="en-US" w:bidi="ar-SA"/>
              </w:rPr>
              <w:t>HUMPHRIES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Mrs. Lawson sues the defendants for damages she says she suffered in two incidents on transit buses. Mr. Dickie and Mr. Au are bus drivers. There is no issue that each was employed by one of the corporate defendants ("the transit company") at the relevant time. Each bus was an articulated bus with wheelchair accessible service; rather than steps, each bus was equipped with a wide front door and a platform capable of being lowered to access the front of the bus.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JANUARY 10, 1999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first incident occurred on January 10, 1999. Mrs. Lawson, who is 74, approached the bus as it was stopped at the bus stop. As she stepped onto the bus, a passenger alighting from the bus collided with her and Mrs. Lawson was thrown back onto the sidewalk. The bus driver helped her up, an ambulance was called and she was taken to hospital. X-rays were taken and she was discharged.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Dickie, the driver, testified that although he was aware of Mrs. Lawson approaching the door for about 5 seconds, he had only a glimpse of the exiting passenger as she hurried past him, and had no time to restrain her or yell a warning to Mrs. Lawson. Upon getting out of the vehicle to help Mrs. Lawson, who was yelling for help, he angrily told the other woman to go away, which she did.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Mrs. Lawson argues that there was a duty upon the driver, in the brief time available to him, to take reasonable care for her safety, which would have included putting out a restraining arm, or warning her of the exiting passenger. The plaintiff says Mr. Dickie had several seconds to watch the other woman making her way to the door of the bus; he could have seen the woman approaching the exit through his rear view mirror and taken appropriate action. As well, she says the transit company was negligent in not ensuring that passengers exit by rear doors only and in not ensuring that drivers enforce such a policy.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Counsel agree on the law. It is conveniently set out in various quotes and passages in Wang v. Horrod </w:t>
      </w:r>
      <w:hyperlink r:id="rId120" w:history="1">
        <w:r>
          <w:rPr>
            <w:rFonts w:ascii="arial" w:eastAsia="arial" w:hAnsi="arial" w:cs="arial"/>
            <w:i/>
            <w:color w:val="0077CC"/>
            <w:sz w:val="20"/>
            <w:u w:val="single"/>
            <w:shd w:val="clear" w:color="auto" w:fill="FFFFFF"/>
            <w:lang w:val="en-US" w:eastAsia="en-US" w:bidi="ar-SA"/>
          </w:rPr>
          <w:t>(1998), 48 B.C.L.R. (3d) 199</w:t>
        </w:r>
      </w:hyperlink>
      <w:r>
        <w:rPr>
          <w:rFonts w:ascii="arial" w:eastAsia="arial" w:hAnsi="arial" w:cs="arial"/>
          <w:color w:val="000000"/>
          <w:sz w:val="20"/>
          <w:lang w:val="en-US" w:eastAsia="en-US" w:bidi="ar-SA"/>
        </w:rPr>
        <w:t xml:space="preserve"> (B.C.C.A.), where a bus moved forward out of an intersection, causing the elderly plaintiff, who had stood up to remove her coat, to fall and strike her head: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duty of the respondent to the appellant, its passenger, was to carry her safely as far as reasonable care and forethought could attain that end.</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Although the carrier of passengers is not an insurer, yet if an accident occurs and the passenger is injured, there is a heavy burden on the defendant carrier to establish that he had used all due, proper and reasonable care and skill to avoid or prevent injury to the passenger. The care required is of a very high degree.</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That public carriers owe a duty of care to their passengers based on the reasonable foreseeability test is uncontentious.</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standard of care, unlike the duty of care and remoteness of damages, does not refer to what is reasonably foreseeable. Instead it is based on what the reasonably prudent person would do in the circumstances.</w:t>
      </w:r>
    </w:p>
    <w:p>
      <w:pPr>
        <w:spacing w:before="120" w:line="260" w:lineRule="atLeast"/>
        <w:ind w:left="720"/>
        <w:rPr>
          <w:lang w:val="en-US" w:eastAsia="en-US" w:bidi="ar-SA"/>
        </w:rPr>
      </w:pPr>
      <w:r>
        <w:rPr>
          <w:rFonts w:ascii="arial" w:eastAsia="arial" w:hAnsi="arial" w:cs="arial"/>
          <w:color w:val="000000"/>
          <w:sz w:val="20"/>
          <w:lang w:val="en-US" w:eastAsia="en-US" w:bidi="ar-SA"/>
        </w:rPr>
        <w:t>In this case, the standard of care imposed on the bus driver is the conduct or behaviour that would be expected of the reasonably prudent bus driver in these circumstances. The test is an objective one and takes into consideration both the experience of the average bus driver and anything the driver knew or should have known. The question is whether a reasonably prudent bus driver, aware that he has elderly and infirm passengers on his bus, would check his mirror immediately before starting forward after having stopped at a red light?</w:t>
      </w:r>
    </w:p>
    <w:p>
      <w:pPr>
        <w:spacing w:before="120" w:line="260" w:lineRule="atLeast"/>
        <w:ind w:left="720"/>
        <w:rPr>
          <w:lang w:val="en-US" w:eastAsia="en-US" w:bidi="ar-SA"/>
        </w:rPr>
      </w:pPr>
      <w:r>
        <w:rPr>
          <w:rFonts w:ascii="arial" w:eastAsia="arial" w:hAnsi="arial" w:cs="arial"/>
          <w:color w:val="000000"/>
          <w:sz w:val="20"/>
          <w:lang w:val="en-US" w:eastAsia="en-US" w:bidi="ar-SA"/>
        </w:rPr>
        <w:t>The basis for determining that question is whether there is a real risk of harm that could reasonably be avoided. The "real risk" test involves balancing the seriousness of the potential risk and the likelihood of its occurrence on one side with the ease and consequences of avoiding the risk on the other side.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Did Mr. Dickie breach a duty? In my view he did not. To hold him responsible for such an accident, in circumstances where an exiting passenger unexpectantly hurries by and collides with another passenger, would make him into an insurer.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mirror allows the driver to see all the seats on the bus except the ones right behind him. There is no evidence as to where the woman was sitting, only that she appeared suddenly. I am unable to find that she was visible to Mr. Dickie for several seconds in the mirror. Although it was foreseeable that passengers would jostle each other in passing, each was there to be seen by the other. In these circumstances, I am not convinced there was any reasonable action that Mr. Dickie could have taken that would have prevented the collision in any event. Both he and Mrs. Lawson said the passenger came up to the door very quickly. Mrs. Lawson said she had no time to do anything. Mr. Dickie, some distance away, could not have been expected to prevent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do not draw any adverse inference from Mr. Dickie telling the other woman to leave; he was angry at the situation and was trying to help Mrs. Lawson, whom I accept was not taking the situation quietly. He did not foresee serious consequences from the collision and fall. I cannot find, as plaintiff's counsel would have me do, that he sent the woman away because he feared her evidence would be harmful to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It is clear that these buses, which are equipped with ramp and lifting devices at the front doors, are specially designed to facilitate entry as well as exit at the front of the bus for mobility impaired persons. There is no duty to put up a sign requiring passengers to exit via the rear doors where doing so would run contrary to the design and purpose of these buses. Mrs. Lawson said she generally sat at the front and exited by the front doors herself.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 find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transit company in failing to take steps to ensure that passengers left this bus by the rear doors, or in failing to ensure that their drivers enforced such a policy.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incident was unfortunate, but it was not a result of any breach by the driver or the transit company.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JANUARY 5, 2000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second incident occurred a year later on January 5, 2000. Mrs. Lawson boarded a similar bus at the same stop. She was pushing a cart containing empty bottles which she was taking to a mall to return. She said she put her cart on the bus, held her bus pass up to the driver, and the bus pulled away, causing her to land on her stomach on the floor with her arms outstretched. She says her knee landed on something with sharp teeth or ridges. The driver asked if she wanted an ambulance. As she was concerned about the ongoing dispute she already had with the transit company, she said no, got up herself and continued on her way to the mall to return the bottles. She then returned home, where she treated herself by soaking her knee and arm in hot water and salt.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Au, the driver on this route, testified that he watched Mrs. Lawson get on the bus. He testified that he identified her from previous runs as someone who never paid or showed a pass, and who had some difficulty moving. He said he watched her until she was seated and then started off, moving out and changing lanes. A car had stopped behind him, flashing its lights to signal to him that he had room. He was looking to the left as he manoeuvered in traffic, so he was not looking at Mrs. Lawson after she sat down. He heard someone say "ouch" and looked back to see Mrs. Lawson standing by the rail. He asked what the matter was and she said she hurt her knee. He left his seat to go to her and asked if she wanted an ambulance; she said no. He led her back to her seat and drove on. He never saw her fall; he never saw her on the floor.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versions of Mr. Au and Mrs. Lawson directly contradict each other. Each counsel urge me to find their respective witness credible, although counsel for the plaintiff says even if Mr. Au is believed, he is still liable for failing to take reasonable care to ensure Mrs. Lawson's safety. In my view, if Mrs. Lawson were securely seated and fell off the seat, Mr. Au would not be liable for injuries sustained in the fall in the absence of any unusual movement of the bus. It is therefore necessary to determine which version is probably true - was Mrs. Lawson seated or was she on her way to her seat when the bus pulled out into traffic?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Mrs. Lawson was a very difficult witness; she was hard to understand and emotionally volatile. Her answers were rambling, often not responsive, and filled with her personal interpretations and perspectives. She demonstrated the January 5, 2000 incident many times, with graphic and histrionic descriptions, and provided a complicated drawing describing the manoeuvres of her fall.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Au had some difficulty with English, and was understandably extremely nervous on the witness stand. He said he did not consider the incident to be serious and gave it no further consideration until he was asked to fill out an accident report. He took many days to fill out the report after being requested to do so, and after consulting his union representative. He admitted he was concerned about its effect on his driving record and employment.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It was not seriously contested that Mrs. Lawson fell in some manner, and that she landed at least partially on her knee. It is difficult to imagine how this could have occurred had she been securely seated. Mr. Au was not looking at Mrs. Lawson during the incident and can not really say what happened, other than he waited for her to be seated. However, I think it more probable than not that Mrs. Lawson was not seated and that Mr. Au's attention was drawn to the left as he tried to merge into traffic, having been signalled to do so by a waiting vehicle. When the bus started to move, Mrs. Lawson fell.</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DUTY/BREACH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 set out in Wang v. Harrod, supra, once an accident has occurred, the defendant must meet the heavy burden of establishing that he used all proper and reasonable care and skill to avoid or prevent injury to the passenger. The standard of care imposed is the conduct expected of a reasonably prudent bus driver in the circumstances. The court must consider the experience of an average bus driver, as well as anything that the particular driver knew or should have known about the passenger. The standard of care required is higher when the driver knew or ought to have known that the passenger was handicapped or elderly.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this case, Mr. Au realized that Mrs. Lawson was elderly and had difficulty moving. His evidence was that Mrs. Lawson looked as though she had a problem walking and that she was using her shopping cart much like someone would use a cane. A reasonably prudent bus driver with such knowledge would either look in his rear view mirror or turn in his seat to ensure that she was seated before moving. As Mr. Au did not do this, I find him and the transit company liable for this incident.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is entitled to damages only in respect of the second accident. Mrs. Lawson had a number of health issues that pre-existed both accidents. According to Mrs. Lawson and her doctor, the first accident exacerbated some of these health problems and also was the cause of further injuries. It is necessary to determine which damages are attributable to the second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Mrs. Lawson conveys the overall impression that her life, which was once active and full, has been completely disrupted by these two accidents. I had the impression that she honestly believes this, despite other evidence tending to show she had serious problems before the accidents and has managed to function fairly well after.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For instance, before the accidents, she used to attend adult classes at King Edward College to advance her education. There was some suggestion from Mrs. Lawson that she could no longer go as a result of the accidents, but after being shown the records, she acknowledged she had continued to attend at least until December 1999. She admitted she had stopped going when she was asked to leave the school because she could not stop talking about Jesus or calling out his name. She also testified that she could no longer travel; however she spent almost three months in Toronto this year visiting her children.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Mrs. Lawson is devoted to spreading the gospel; her daily vocation is to go to certain areas of the city and preach on the street, handing out tracts. She says that before these incidents occurred she would collect $12-$50 a day which she would give to charitable causes, use to buy more tracts, or save so she could travel to other countries to spread the gospel. She would occasionally take her accordion to play on the street.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She used to take the bus regularly, but walks all the time now, in an effort to get her weight down. One of her main concerns is her inability to play the accordion, due to her right shoulder pain. She no longer goes to church because her preferred service is lively with clapping and tambourines and much movement. She says she does not want to sit on the bench and watch. She now uses a cane and this seems to be a significant factor in her decision not to go to church - she says she does not want anyone seeing her with a cane and asking her about her business.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Despite many complaints during her testimony as to the constant severe pain in her shoulder, Mrs. Lawson was very animated in the witness stand, re-enacting her falls and injuries with great energy and expression. Her movements, as long as they were directed at the re-enactments, appeared to be unrestricted.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discovery, Mrs. Lawson denied having any problems before the accidents. Insofar as she offered any explanation for this discrepancy, it was based on being able to function better before the accident than she can now.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 dispute arose during submissions as to whether Mrs. Lawson's answers on discovery had been acknowledged by her so as to enable defence to use them as prior inconsistent statements. Plaintiff's counsel contended that Mrs. Lawson had not acknowledged making the statements on discovery, so if defendant's counsel wished to use them, he had to read them in as part of his own case. I have reviewed the relevant portion of the transcript and have sent a copy to counsel. I am satisfied that defendant's counsel followed the proper procedures in putting the questions to Mrs. Lawson. It is true she refused to answer them in any meaningful fashion, but she was given ample opportunity to explain herself. As a precaution, during submissions, I allowed defence to reopen his case and read in the questions and also allowed the plaintiff to take the stand in a "voir dire" to explain the discrepancies once again. Although I am now of the view that that was not necessary, I can say the new answers would have made no difference anyway as Mrs. Lawson provided no new information in them. I accept that there was an inconsistency in her answers in relation to her having pain before and after the accident, and I find that she did suffer from pain in her back and right shoulder as well as ongoing knee pain before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noted above, the plaintiff is entitled to damages only in respect of the second accident. Considering all of her evidence, she does not seem to separate the two in her mind, nor was she clear on how the effects of the two differed or how her life has changed as a result of each of the accidents.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Mrs. Lawson went to see her treating physician, Dr. Nedd, 10 days after the first accident. She received regular physiotherapy treatments thereafter. She used a walker for 3 - 4 months, and then switched to a cane. As a result of this accident, Mrs. Lawson claims she suffers severe low back pain. She could not say if this was exacerbated by the second accident, which resulted primarily in knee and right shoulder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Following the second accident, Mrs. Lawson did not immediately complain of right shoulder pain. She did mention back pain and left knee pain to Dr. Nedd on her visit on January 10, 2000. About three weeks later she mentioned severe pain in her right shoulder and that complaint continued. Her back pain had continued to fluctuate in severity from long before the first accident, and she continued to complain of it after the second.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Nedd's clinical records show that Mrs. Lawson has suffered for years with severe back pain, knee pain and right shoulder pain. The records indicate that Mrs. Lawson suffered from severe shoulder pain following an incident with the police in 1994. Entries in October 1996 through to November 1997 reflect severe pain in her right shoulder, decreased range of motion, and prescription drugs for pain. The records also indicate that she had some pain in her right knee and back at that time. In January 1998, the right shoulder pain was described as persistent. Dr. Nedd characterized this as chronic pain which acted up from time to time, sometimes becoming severe and intermittently requiring strong medications.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Nedd says, however, that Mrs. Lawson has deteriorated significantly since the accidents. He agrees she suffers from degenerative disc disease and osteo-arthritis, but says the accidents have changed her lifestyle. He says she will need extensive unspecified therapy for many years, including massage, physiotherapy, and drugs, but he would not expect her to be back to the same level she was before. He would simply attempt to manage her pain so she could function adequately.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Nedd maintained throughout cross-examination that the pain before the accidents, though at times severe and requiring significant medication, was intermittent and allowed Mrs. Lawson to function at a higher level than she does now. It is his impression that her coping skills are now exhausted.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Nevertheless, some improvement was noted by July of 2001. She was able to travel to Toronto this year for almost three months to visit her children. Whether she still stands on the street corner preaching was not made clear to me, but Dr. Nedd testified that he would be very surprised if she could do so for any period of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Mrs. Lawson must be returned to the position that she would have been in, with all its attendant risks and shortcomings, and not a better position. Mrs. Lawson's osteo-arthritis is a degenerative condition that leads to general loss of function and increasing amounts of pain. She has a history of longstanding problems in her back, shoulders and knees, with regular bouts of severe pain. She also suffers exacerbated back pain from the January 1999 accident for which the defendants were not found liable.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Athey v. Leonati, </w:t>
      </w:r>
      <w:hyperlink r:id="rId12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140 D.L.R. (4th) 235</w:t>
        </w:r>
      </w:hyperlink>
      <w:r>
        <w:rPr>
          <w:rFonts w:ascii="arial" w:eastAsia="arial" w:hAnsi="arial" w:cs="arial"/>
          <w:color w:val="000000"/>
          <w:sz w:val="20"/>
          <w:lang w:val="en-US" w:eastAsia="en-US" w:bidi="ar-SA"/>
        </w:rPr>
        <w:t>, Major J. confirmed that damages may be reduced because of a pre-existing condition; that is, a defendant is liable for the injuries caused, but need not compensate the plaintiff for any debilitating effects of a pre-existing condition which the plaintiff would have experienced in any event. In this case, Mrs. Lawson is not entitled to damages for the pain she already suffered or would have invariably suffered in the future, only for the amount made worse by the second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short, Mrs. Lawson is elderly and suffers from painful medical conditions unrelated to the accident. Nevertheless I accept that the fall she sustained on January 5, 2000 worsened her shoulder pain and caused additional pain to her knee and further reduced her overall ability to cope with her existing health problems. I am unable to determine if there was any separate effect on her back as a result of the second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a result of her shoulder pain she cannot play her accordion. As a result of her knee, she cannot kneel to pray, which is important to her. Her overall level of functioning has been reduced, but some improvement has been noted.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Counsel helpfully provided a number of cases setting out various ranges of damages in support of their respective positions, the plaintiff seeking $35,000-45,000, the defendant $5,000-10,000. Given the findings on liability, however, the cases were of limited applicability. I assess non-pecuniary damages at $15,000.</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WAGE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Mrs. Lawson is 74, but she contends she could have worked approximately 3 more years standing on the street corner collecting donations. She testified that she collected $12-50 day in a tin. She has no records and cannot substantiate this. She did not declare any of this money on her tax returns. She would not answer questions as to where she kept the money.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accept that Mrs. Lawson's street activities have been curtailed by the exacerbated pain in her shoulder and knee, and that she can no longer play her accordion, but I am not satisfied, on the basis of her rather vague and unsubstantiated evidence, that she had regular source of income from her street preaching that would translate into a claim for past or future wage loss or loss of capacity. In my view, these restrictions should be considered as loss of amenities and enjoyment of life, that is, as part of general damages.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FUTURE TREATMENT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Nedd recommended 10 years of various therapies. Dr. Hawk was not in favour of passive therapies, preferring exercise. Most of the evidence of the doctors as to future treatment was aimed at back pain. However, I have not found the defendants liable for the first accident, which is the one which apparently increased Mrs. Lawson's back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Exacerbation of shoulder and knee pain is attributable to the second accident. Mrs. Lawson seems to be concerned primarily with the shoulder pain. Dr. Nedd has been unable to find any cause for knee pain, and from Mrs. Lawson's testimony, she seemed quite focussed on the immediate pain she felt upon landing on something which she described as having "teeth," rather than ongoing knee problems. However, she does say she can no longer kneel comfortably to pray, and describes her knee as "nervous."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shoulder pain was already intermittently quite severe before the accident due to her osteo-arthritis. There has been some improvement since, and she has undergone extensive physiotherapy. It is Dr. Nedd's view that the exacerbation of pain has exhausted Mrs. Lawson's coping skills. That exacerbation should be treated, and Dr. Hawk agreed that Dr. Nedd is an expert in pain management. I accept that passive therapy of some sort will assist her, but she is entitled to be compensated only for treatment for the exacerbation in pain, not for the pre-existing pain. This is an inexact exercise at best. I assess future care costs at $2,800 based on two physiotherapy treatments per month for three years, at the agreed rate of $40/hour.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SPECIAL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should have special damages for the cost of taxis and medications she has incurred since the second accident, as set out in Tab 17 of Ex. 1. Given the amount of medications prescribed before the accident for her shoulder pain, it is likely she would have continued to need medications periodically. I set the portion attributable to the accident at 50%. I will leave it to counsel to add up the relevant amounts.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SUMMARY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defendant is liable for the January 5, 2000 accident only. Non-pecuniary damages: $15,000; Wage loss/loss of capacity - none; future care costs: $2800.00; special damages to be calculated by counsel.</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Unless there is a reason to speak to costs, given that she succeeded on one out of the two claims and the trial time, evidence and experts reports fairly evenly divided between the two, the plaintiff will have half her costs at Scale 3.</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HUMPHRIES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6961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22"/>
          <w:headerReference w:type="default" r:id="rId123"/>
          <w:footerReference w:type="even" r:id="rId124"/>
          <w:footerReference w:type="default" r:id="rId125"/>
          <w:headerReference w:type="first" r:id="rId126"/>
          <w:footerReference w:type="first" r:id="rId12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28" w:history="1">
        <w:r>
          <w:rPr>
            <w:rFonts w:ascii="arial" w:eastAsia="arial" w:hAnsi="arial" w:cs="arial"/>
            <w:b/>
            <w:bCs/>
            <w:i/>
            <w:color w:val="0077CC"/>
            <w:kern w:val="32"/>
            <w:sz w:val="28"/>
            <w:szCs w:val="32"/>
            <w:u w:val="single"/>
            <w:shd w:val="clear" w:color="auto" w:fill="FFFFFF"/>
            <w:lang w:val="en-US" w:eastAsia="en-US" w:bidi="ar-SA"/>
          </w:rPr>
          <w:t>LeRuyet v. Stenner, [2001] B.C.J. No. 1669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Joyce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29,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31,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Chilliwack Registry No. S07685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1669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1129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93 B.C.L.R. (3d) 163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107 A.C.W.S. (3d) 354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John Leruyet, plaintiff, and Paul Stenner, the Manufacturers Life Insurance Company, the Great-West Life Assurance Company, Georgia Brokerage Inc., Planvest-Pacific Financial Corporation and C.M Oliver Financial Corporations,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4"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9" w:name="Keywords_7"/>
      <w:bookmarkEnd w:id="69"/>
      <w:r>
        <w:rPr>
          <w:rFonts w:ascii="arial" w:eastAsia="arial" w:hAnsi="arial" w:cs="arial"/>
          <w:b/>
          <w:color w:val="000000"/>
          <w:sz w:val="20"/>
          <w:lang w:val="en-US" w:eastAsia="en-US" w:bidi="ar-SA"/>
        </w:rPr>
        <w:t>Agency — Creation of relations — Who constitutes an agent — Authority of agent — Express authority — Apparent authority — Elements of — Reliance by person dealing with agent — Holding out by corporation, what constitutes — Insurance — Brokers — Relations with insurers.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0" w:name="Case Summary_7"/>
            <w:bookmarkEnd w:id="7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LeRuyet for damages against Great West Life. LeRuyet approached the defendant, Stenner, for assistance with his investments. Stenner recommended the purchase of a Great West annuity, and showed him documents bearing the Great West logo. LeRuyet gave Stenner $130,000. LeRuyet then discovered that Stenner had not purchased the annuity and that none of the documents shown to him had been legitimate. Stenner was convicted of fraud. LeRuyet claimed that Great West was vicariously liable for Stenner's actions, as he had been its agent. LeRuyet also claimed that Great West Life was negligent in failing to properly investigate Stenner's background and in failing to supervise him, contrary to the statutory duties imposed on it when it sponsored Stenner's application for a licence. The agency agreement between Stenner and Great West allowed Stenner to solicit applications for annuities and to receive commission. It did not give Stenner express authority to bind Great West. Stenner did not have Great West business cards, did not work out of Great West's premises, nor did he display any connection to Great West. Great West alleged that Stenner held an active licence at the time it sponsored him, and that it had made enquiries of the Insurance Council and of his current sponsor, and received no negative information.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1" w:name="Holdings of Court_6"/>
            <w:bookmarkEnd w:id="71"/>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claim of vicarious liability was not supported by the evidence. The agency contract did not give Stenner actual authority to bind Great West. Nor did Great West represent through words or conduct that Stenner had authority to bind it. Accordingly, Stenner was not acting within apparent authority. Stenner's use of the Great West logo was not sufficient to establish a holding out from Great West necessary to show apparent authority. Nor was Great West negligent. It had made sufficient inquiries and received no information which would have indicated Stenner's dishonesty. Great West had no duty or authority to supervise Stenner.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2" w:name="Legislation Cited_5"/>
      <w:bookmarkEnd w:id="7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5"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18A, 18A(3)(c), 18A(4), 40(27).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Financial Institutions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3" w:name="Counsel_7"/>
      <w:bookmarkEnd w:id="7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6"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R.A. Wattie, for the plaintiff. H. Wiebach, for the defendant, the Great-West Life Assurance Company.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4" w:name="Judgment_7"/>
      <w:bookmarkEnd w:id="74"/>
      <w:r>
        <w:pict>
          <v:line id="_x0000_s1067" style="position:absolute;z-index:25169715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5" w:name="JOYCE J."/>
            <w:bookmarkEnd w:id="75"/>
            <w:r>
              <w:rPr>
                <w:rFonts w:ascii="arial" w:eastAsia="arial" w:hAnsi="arial" w:cs="arial"/>
                <w:b/>
                <w:color w:val="000000"/>
                <w:sz w:val="30"/>
                <w:lang w:val="en-US" w:eastAsia="en-US" w:bidi="ar-SA"/>
              </w:rPr>
              <w:t>JOYCE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February 17, 1995 the plaintiff provided $133,000 to the defendant, Paul Stenner, for the purchase of a Great West Life Assurance Company ("GWL") annuity. The plaintiff thought he was purchasing an annuity that would provide him with monthly payments of $500 for a period of five years, followed by a single payment of $213,492. Mr. Stenner did not purchase the annuity for the plaintiff. Instead, he appropriated the monies for his own purposes. Mr. Stenner concealed his deceit until February 1997 by making the monthly payments to the plaintiff himself. After the fraud was discovered Mr. Stenner was charged and convicted of fraud. The court made a restitution order in favour of the plaintiff (and others who had been defrauded by Mr. Stenner) but the plaintiff has been unable to recover any money from Mr. Stenner.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now seeks damages from GWL and brings this application for judgment pursuant to Rule 18A. The plaintiff alleges that Mr. Stenner was acting as agent for GWL when he misappropriated the funds. The plaintiff asserts two grounds in support of his claim:</w:t>
      </w:r>
      <w:r>
        <w:rPr>
          <w:rFonts w:ascii="arial" w:eastAsia="arial" w:hAnsi="arial" w:cs="arial"/>
          <w:sz w:val="20"/>
          <w:lang w:val="en-US" w:eastAsia="en-US" w:bidi="ar-SA"/>
        </w:rPr>
        <w:cr/>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vicarious liability for the misappropriation committed by Mr. Stenner acting as its agent and</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properly to investigate Mr. Stenner's background and failing to supervise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was a truck owner/operator from 1964 until 1984 when he retired. In 1986 the plaintiff invested in mutual funds through Mr. Murray Reimer of Reimer Financial. By 1994 the plaintiff was not satisfied with the returns he was achieving through Mr. Reimer. A friend told him he was happy with Mr. Stenner and suggested he give Mr. Stenner a call. In or about December 1994 the plaintiff telephoned Mr. Stenner and made at appointment to see him at his office. As a result of the meeting, the plaintiff agreed to transfer his mutual funds to Mr. Stenner.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When he was at Mr. Stenner's office the plaintiff did not see any signs referring to GWL. He did see a sign referring to Manulife Insurance. Mr. Stenner gave him his business card, which said "Paul Stenner Insurance Inc." on the front and "Pacific Brokerage" on the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met with Mr. Stenner on a number of occasions to discuss his financial affairs. In or about February 1995 Mr. Stenner recommended that the plaintiff purchase an annuity. The plaintiff gave evidence on his discovery that Mr. Stenner mentioned GWL "right off the bat" but also mentioned that Manulife sold annuities. The plaintiff understood that Mr. Stenner dealt with a number of companies. Mr. Stenner told the plaintiff he could buy an annuity from GWL or from other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agreed to have Mr. Stenner sell his mutual funds in order to obtain the funds with which to purchase an annuity from GWL. Mr. Stenner told him that GWL would pay the commission expense associated with selling the mutual funds, which he estimated to be about $7,000. The plaintiff understood he would only have to pay the difference between $140,000 and the amount of the commission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February 17, 1995 the plaintiff went to Mr. Stenner's office and received a cheque for $127,076.40 representing the proceeds of sale of the mutual funds. Mr. Stenner told him he required $133,000 for the purchase of the annuity. The plaintiff provided Mr. Stenner with a blank cheque, which Mr. Stenner filled out, making it payable to his company in the amount of $133,000. The plaintiff then signed the cheque. The plaintiff deposed that he believed that he had purchased an annuity for $140,000 to be issued by Great-West Life. He did not fill out, sign or see any application for an annuity at this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or about March 23, 1995 the plaintiff returned to see Mr. Stenner. They reviewed some annuity options and the plaintiff selected the option whereby he would receive $500 per month for five years and then receive a payment of $213,492. Mr. Stenner provided the plaintiff with a number of documents including:</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cover or folder entitled, "Flexible Accumulation Annuity", bearing the GWL logo;</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copy of a letter on the letterhead of GWL bearing printed facsimile signatures of officers or employees of GWL;</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number of pages containing printed conditions relating to annuities;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document dated March 23, 1995 purporting to show the amounts payable by the annuity under various options.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document dated March 23, 1995 purporting to show the amount payable at the end of five years if no monthly payments were taken.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document entitled "Single Premium Immediate Annuity Quotation".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foregoing documents were simply part of Mr. Stenner's ruse to convince the plaintiff that he had purchased an annuity. Mr. Stenner had somehow obtained an original cover, copied various documents from another client's annuity and prepared a number of statements that were intended to be used to show prospective clients various annuity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never received any communication or documents from GWL nor did the plaintiff ever speak directly to anyone at GWL.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Monthly payments in the amount of $500 each were deposited into the plaintiff's bank account up to and including February 27, 1997. In March 1997 the plaintiff became suspicious as a result of a discussion with a friend about another investment made through Mr. Stenner. After making enquiries, he learned that GWL had no record of any annuity in his name and he discovered Mr. Stenner's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the time Mr. Stenner committed the fraud he was a life insurance agent licensed under the provisions of the Financial Institutions Act, R.S.B.C. 1966, c. 141. GWL was the sponsoring insurance company for Mr. Stenner during the relevant time. Mr. Stenner held a Level 2 license, which meant that he was permitted to sell products, not only of the sponsoring insurance company, but also of other licensed insurance companies. As a life insurance agent Mr. Stenner was also entitled to sell annuities.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sponsoring Mr. Stenner's application for a level 2 life insurance agent's license Ms. Joanne Schwartz, on behalf of GWL, submitted a Certificate of Approval to the Insurance Council of British Columbia on July 7, 1994. The Certificate stated, inter alia: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satisfied through personal knowledge or from enquiries that this applicant:</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a good business reputation;</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qualified for the business in which he/she will engage.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approve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With respect to the knowledge that GWL had and the enquiries it made to satisfy itself that it could complete the Certificate of Approval, GWL's evidence is that at the time of the application Mr. Stenner was actively sponsored by The Manufacturers Life Insurance Company. As a representative of The Manufacturers Life Insurance Company Mr. Stenner held a broker's contract with GWL through an intercorporate arrangement between GWL and The Manufacturers Life Insurance Company. GWL's evidence is that since they had established a relationship with Mr. Stenner under the special broker's contract and since there had been no revocation of his sponsorship by The Manufacturers Life Insurance Company they were satisfied that his business reputation and qualifications were satisfactory.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Further, GWL's Development Manager, who was responsible for recruiting Mr. Stenner, discussed Mr. Stenner's background with The Manufacturers Life Insurance Company and with the Insurance Council of British Columbia. Nothing was revealed by those enquiries to indicate that Mr. Stenner was not a suitable candidate for sponsorship.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Prior to completing the Certificate of Approval GWL obtained financial statements relating to Mr. Stenner's proprietorship and his company, Paul Stenner Insurance Services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From 1983 to August 1990 Mr. Stenner had been employed by the Fraser Valley Credit Union as a Loans Manager and later as a Branch Manager. Mr. Stenner's employment with the Fraser Valley Credit Union came to an end on August 7, 1990. The President of the Fraser Valley Credit Union deposed that Mr. Stenner was allowed to resign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when potential conflicts between his personal business activities and investments and his construction company and his duties became unacceptable to the Credit Union. Stenner was given the option to resign or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GWL did not contact the Fraser Valley Credit Union to make enquiries concerning Mr. Stenner.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July 7, 1994 GWL and Mr. Stenner entered into an Individual Agent's Contract. The contract included the following provisions: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are hereby appointed an Agent of the Great West Life Assurance Company (hereinafter referred to as "the Company") on the following terms and conditions:</w:t>
      </w:r>
    </w:p>
    <w:p>
      <w:pPr>
        <w:numPr>
          <w:numId w:val="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DUTIES. You shall solicit as an independent contractor, applications for life and disability income insurance and annuities.</w:t>
      </w:r>
    </w:p>
    <w:p>
      <w:pPr>
        <w:numPr>
          <w:numId w:val="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INSTRUCTIONS TO AGENTS.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instructions contained in the Company's Instructions to Agents, the Rules and Regulations of the Company, and such other instructions as may be issued from time to time by the Company, whether by way of amendment thereof, substitution therefor, or addition thereto, shall be binding upon the agent and shall form part of this contract as if the same were set out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GWL also entered into a corporate agent's contract with Mr. Stenner's company that contained provisions identical to those quoted in paragraph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GWL's Instructions to Agents, referred to in the agent's contracts, included the following provision:</w:t>
      </w:r>
      <w:r>
        <w:rPr>
          <w:rFonts w:ascii="arial" w:eastAsia="arial" w:hAnsi="arial" w:cs="arial"/>
          <w:sz w:val="20"/>
          <w:lang w:val="en-US" w:eastAsia="en-US" w:bidi="ar-SA"/>
        </w:rPr>
        <w:cr/>
      </w:r>
    </w:p>
    <w:p>
      <w:pPr>
        <w:numPr>
          <w:numId w:val="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OF AUTHORITY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Agent's authority as agent shall be limited to the authority set out in the Agent's contract or the Broker's Commission Agreement, these instructions, the Rules and Regulations of Great-West Life, and such other instructions as may be issued from time to time by Great-West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Agent has no authority to:</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alter, or discharge any contract in the name of Great-West Life or to bind Great-West Life by any promise or statement or to incur any liability on behalf of Great-West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bind Great-West Life to any insurance or other risk unless specifically authorized to do so by Great-West Life in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GWL's evidence is that it is standard practice for that company to deliver the Instructions to Agents to brokers and agents when they execute the agent's or broker's contract. There is no evidence provided by any individual at GWL confirming the instructions were in fact given to Mr. Stenner on this occasion. Counsel for the plaintiff refers to Mr. Stenner's examination for discovery where he denied having ever received a copy of the instructions. While no objection was taken to this evidence by counsel for GWL, it appears from Rules 18A(3)(c) and (4) and Rule 40(27), that that evidence is not admissible against GWL [see: Shiels v. Shiels </w:t>
      </w:r>
      <w:hyperlink r:id="rId129" w:history="1">
        <w:r>
          <w:rPr>
            <w:rFonts w:ascii="arial" w:eastAsia="arial" w:hAnsi="arial" w:cs="arial"/>
            <w:i/>
            <w:color w:val="0077CC"/>
            <w:sz w:val="20"/>
            <w:u w:val="single"/>
            <w:shd w:val="clear" w:color="auto" w:fill="FFFFFF"/>
            <w:lang w:val="en-US" w:eastAsia="en-US" w:bidi="ar-SA"/>
          </w:rPr>
          <w:t>(1997), 29 B.C.L.R. (3d) 193</w:t>
        </w:r>
      </w:hyperlink>
      <w:r>
        <w:rPr>
          <w:rFonts w:ascii="arial" w:eastAsia="arial" w:hAnsi="arial" w:cs="arial"/>
          <w:color w:val="000000"/>
          <w:sz w:val="20"/>
          <w:lang w:val="en-US" w:eastAsia="en-US" w:bidi="ar-SA"/>
        </w:rPr>
        <w:t>]. I would be prepared to give the plaintiff an opportunity to cure the evidential defect by filing an affidavit from Mr. Stenner. However, for reasons that will appear later, I am of the opinion that will not be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GWL's procedure for issuing annuities solicited by agents is as follows:</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agent solicits a written application from a client;</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and the client's funds, are submitted by the agent to GWL;</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is reviewed and, if approved, the annuity documents are forwarded to the agent;</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agent then meets with the client to confirm that the application has been accepted and to review the annuity;</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application is not accepted by GWL the funds are returned to the client with a notice that the application was not accepted.</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policy documents, including the GWL folders, are not issued to GWL agents unless and until the application has been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GWL's agents do not work out of GWL's offices, are not trained by GWL and are not subject to performance reviews by GWL. They do not receive business cards or stationery from GWL.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CLAIM BASED ON VICARIOUS LIABILITY FOR MR. STENNER'S MISAPPROPRIATION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Keddie v. Horne </w:t>
      </w:r>
      <w:hyperlink r:id="rId130" w:history="1">
        <w:r>
          <w:rPr>
            <w:rFonts w:ascii="arial" w:eastAsia="arial" w:hAnsi="arial" w:cs="arial"/>
            <w:i/>
            <w:color w:val="0077CC"/>
            <w:sz w:val="20"/>
            <w:u w:val="single"/>
            <w:shd w:val="clear" w:color="auto" w:fill="FFFFFF"/>
            <w:lang w:val="en-US" w:eastAsia="en-US" w:bidi="ar-SA"/>
          </w:rPr>
          <w:t>(1999), 70 B.C.L.R. (3d) 270</w:t>
        </w:r>
      </w:hyperlink>
      <w:r>
        <w:rPr>
          <w:rFonts w:ascii="arial" w:eastAsia="arial" w:hAnsi="arial" w:cs="arial"/>
          <w:color w:val="000000"/>
          <w:sz w:val="20"/>
          <w:lang w:val="en-US" w:eastAsia="en-US" w:bidi="ar-SA"/>
        </w:rPr>
        <w:t xml:space="preserve"> (C.A.) deals with the issue of the vicarious liability of an insurance company for the torts committed by its agent. The facts of that case are remarkably similar to those of the present case. In Keddie v. Horne, Mr. Horne was licensed to sell life insurance and his license was sponsored by Canada Life. Mr. Horne had entered into a contract with Canada Life which authorized Mr. Horne to solicit business, sell products and collect monies from clients on behalf of Canada Life. Canada Life provided Mr. Horne with brochures and information about its products to pass on to his clients. Mr. Horne was encouraged but not bound to place business with Canada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September 1990 the plaintiff met Mr. Horne and told him she wanted to make an investment for her daughter. Mr. Horne told the plaintiff that he represented Canada Life and he advised her to purchase a Canada Life annuity. The plaintiff accepted that advice and purchased a $375,000 Canada Life annuity in her daughter's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Subsequently, in 1992 the plaintiff told Mr. Horne that she was interested in consolidating her investments. Mr. Horne convinced her that she should purchase a $300,000 Canada Life Annuity. He told her he was operating as a Canada Life broker under the name "Royal Pacific Consulting". The plaintiff gave Mr. Horne a cheque for $300,000 payable to Royal Pacific Consulting for the purchase of the Canada Life Annuity. Mr. Horne did not purchase the Canada Life annuity. Instead, he placed $105,000 in an annuity issued by another company and used the remaining $195,000 for his own purposes. As was the case here, Mr. Horne provided the plaintiff with false documents purporting to represent a Canada Life annuity. The plaintiff obtained judgment against Mr. Horne but was unable to execute on the judgment. She then brought action against Canada Life alleging it was vicariously liable for the actions of Mr. Horne in the misappropriation of the $195,000. The action was dismissed at trial on the basis that Mr. Horne was acting as neither the actual nor apparent agent of Canada Life. The appeal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At page 275 Madam Justice Rowles, giving the decision of the court, set out the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two possible paths by which Canada Life might be found liable for the theft committed by Kim Horne. Canada Life would be liable if Mr. Horne, in misappropriating the appellant's money, was acting within the scope of (1) his actual authority or (2) his apparent or ostensible authority.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G.H.L. Fridman, in The Law of Agency, 7th ed. (London: Butterworths, 1996), at p. 315, describes the conditions under which a principal is to be held liable for the conduct of its agent: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principal is jointly and severally liable with his agent for any tort committed by the agent while acting within the scope of his authority and the authority exercised by the agent may be either actual or apparent, ie it may be express, implied, usual or ostensible.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F.M.B. Reynolds, in Bowstead on Agency, 15th ed. (London: Sweet &amp; Maxwell, 1985), at p. 92, describes the types of authority: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authority of an agent may be</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actual (express or implied) where it results from a manifestation of consent that he should represent or act for the principal expressly or impliedly made by the principal to the agent himself; or</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apparent, where it results from such a manifestation made by the principal to third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Bowstead on Agency, supra, at p. 92, further describes and differentiates "actual authority" in the following terms: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Actual authority is the authority which the principal has given the agent wholly or in part by means of words or writing (called here express authority) or is regarded by the law as having given him because of the interpretation put by the law on the relationship and dealings of the two parties (called here implied authority). "</w:t>
      </w:r>
      <w:r>
        <w:rPr>
          <w:rFonts w:ascii="arial" w:eastAsia="arial" w:hAnsi="arial" w:cs="arial"/>
          <w:color w:val="000000"/>
          <w:sz w:val="20"/>
          <w:u w:val="single"/>
          <w:lang w:val="en-US" w:eastAsia="en-US" w:bidi="ar-SA"/>
        </w:rPr>
        <w:t>An 'actual authority' is a legal relationship between principal and agent created by a consensual agreement to which they alone are parties</w:t>
      </w:r>
      <w:r>
        <w:rPr>
          <w:rFonts w:ascii="arial" w:eastAsia="arial" w:hAnsi="arial" w:cs="arial"/>
          <w:color w:val="000000"/>
          <w:sz w:val="20"/>
          <w:lang w:val="en-US" w:eastAsia="en-US" w:bidi="ar-SA"/>
        </w:rPr>
        <w:t>. Its scope is to be ascertained by applying ordinary principles of construction of contracts, including any proper implications from the express words used, the usages of the trade, or the course of business between the parties. ..." [Freeman &amp; Lockyer v. Buckhurst Park Properties (Mangal) Ltd., [1964] 2 Q.B. 480, 502, per Diplock L.J.]</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Actual authority turns on the relationship between the principal and agent. Apparent or ostensible authority is concerned primarily with representations and manifestations made by the principal to third parties such as the appellant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court then pointed out that the scope of Mr. Horne's actual authority was determined by the terms of his contract with Canada Life. That contract contained a term that expressly denied Mr. Horne the authority to bind it to third parties:</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Broker will not without prior approval of the Company incur any liability or debt on behalf of the Company, accept insurance or other risks, revive policies, waive forfeitures, extend the time of payment of any premium or waive premium payment in cash, or make, alter or discharge any contract or lease and will not make any expenditure on behalf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court concluded that the contract specifically reserved from Mr. Horne the ability to enter into binding legal relations on behalf of Canada Life and could not be said to have been acting within his actual authority when he misappropriated the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court then considered whether Mr. Horne was acting with apparent authority. At p. 277 Madam Justice Rowles described what is required to establish apparent authority: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finding of apparent authority depends on some representation through words or conduct on the part of the principal that leads a third party to believe that the agent has the authority in question. Apparent authority is a product of the principal's outward conduct with respect to third parties, not of the principal's internal agreements or arrangements with its agent.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Bowstead on Agency, supra, at p. 284, defines the nature of apparent authority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Where a person, by words or conduct, represents or permits it to be represented that another person has authority to act on his behalf, he is bound by the acts of such other person with respect to anyone dealing with him as an agent on the faith of any such representation, to the same extent as if such other person had the authority that he was represented to have, even though he had no actual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considering whether Mr. Horne had apparent authority the Court said at p. 278: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appears to be absent in the case at bar, which the authorities indicate is necessary if the appellant is to make out her case against Canada Life on the basis of apparent authority, is some conduct or representation emanating from Canada Life which would suggest to persons in the position of the appellant that Mr. Horne was acting as Canada Life's agent. It was the absence of this element which ultimately led the trial judge to rule as he did in dismissing the appellant's vicarious liability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facts in Keddie v. Horne, supra, may be contrasted with those in Schwartz v. Maritime Life Assurance Co. </w:t>
      </w:r>
      <w:hyperlink r:id="rId131" w:history="1">
        <w:r>
          <w:rPr>
            <w:rFonts w:ascii="arial" w:eastAsia="arial" w:hAnsi="arial" w:cs="arial"/>
            <w:i/>
            <w:color w:val="0077CC"/>
            <w:sz w:val="20"/>
            <w:u w:val="single"/>
            <w:shd w:val="clear" w:color="auto" w:fill="FFFFFF"/>
            <w:lang w:val="en-US" w:eastAsia="en-US" w:bidi="ar-SA"/>
          </w:rPr>
          <w:t>(1997), 149 Nfld. &amp; P.E.I.R. 234</w:t>
        </w:r>
      </w:hyperlink>
      <w:r>
        <w:rPr>
          <w:rFonts w:ascii="arial" w:eastAsia="arial" w:hAnsi="arial" w:cs="arial"/>
          <w:color w:val="000000"/>
          <w:sz w:val="20"/>
          <w:lang w:val="en-US" w:eastAsia="en-US" w:bidi="ar-SA"/>
        </w:rPr>
        <w:t xml:space="preserve"> (Nfld. C.A.); leave to appeal to the Supreme Court of Canada refused, 23 October 1997 [reported at </w:t>
      </w:r>
      <w:hyperlink r:id="rId132" w:history="1">
        <w:r>
          <w:rPr>
            <w:rFonts w:ascii="arial" w:eastAsia="arial" w:hAnsi="arial" w:cs="arial"/>
            <w:i/>
            <w:color w:val="0077CC"/>
            <w:sz w:val="20"/>
            <w:u w:val="single"/>
            <w:shd w:val="clear" w:color="auto" w:fill="FFFFFF"/>
            <w:lang w:val="en-US" w:eastAsia="en-US" w:bidi="ar-SA"/>
          </w:rPr>
          <w:t>[1997] S.C.C.A. No. 362</w:t>
        </w:r>
      </w:hyperlink>
      <w:r>
        <w:rPr>
          <w:rFonts w:ascii="arial" w:eastAsia="arial" w:hAnsi="arial" w:cs="arial"/>
          <w:color w:val="000000"/>
          <w:sz w:val="20"/>
          <w:lang w:val="en-US" w:eastAsia="en-US" w:bidi="ar-SA"/>
        </w:rPr>
        <w:t>]. In the latter case the insurance company had appointed the agent as its Regional Superintendent for Atlantic Canada and had provided him with company stationery which indicated him as such and had done nothing subsequently to disabuse the public from believing he was still acting in that capacity. The court found that the agent had apparent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Keddie v. Horne the court noted that the Canada Life folder, which Mr. Horne presented to the appellant with the fraudulent policy, was the clearest representation given to her but there was no evidence as to how Mr. Horne acquired the folder. Further, the court concluded it would be difficult for the folder to form the basis of Mr. Horne's apparent authority with respect to the theft of the appellant's money because the appellant did not receive the folder until after she paid the money to Mr. Horne. The court held that most of the factors relied on by the appellant to establish apparent authority involved the internal relationship between Canada Life and Mr. Horne and were not broadcast to the outside world, including the appellant. The court concluded that the appellant appeared to have been taken in by Mr. Horne personally rather than to have acted on the strength of, or in reliance on, his association with Canada Life or any other organization.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 there actual authority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scope of Mr. Stenner's actual authority is to be determined from the contractual arrangement between Mr. Stenner and his company and GWL. Counsel for GWL submits that the contracts contain an express limitation on the agents' authority that is identical to that in Keddie v. Horne. He submits that the contracts incorporate by reference clause 5 of the Instructions to Agents.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Counsel for the plaintiff submits that GWL cannot rely on limitation contained in the Instructions to Agents absent proof that Mr. Stenner was provided with a copy of the instructions. He submits that GWL has not established that a copy of the instructions was provided to Mr. Stenner.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As I said earlier, it is my opinion that the discovery evidence of Mr. Stenner on this point is not admissible against GWL. But, even if I were to find that the limiting instruction is not incorporated into the contracts, the agents' contracts do not, in my view, provide express authority to bind the company. They provide only that the agent may solicit applications and will be paid commissions on premiums paid to the company on policies issued on applications received by the agent. There is nothing that gives the agent the express authority to bind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Nor am I able to find any implied authority to bind GWL from the terms of the contract as a whole or from the course of dealings between GWL and Mr. Stenner or his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Accordingly, I conclude that neither Mr. Stenner nor his company were acting within the scope of their actual authority when the plaintiff's funds were misappropriated.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 there apparent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Apparent authority does not depend on the contractual arrangement between the principal and agent. It depends on the relationship between the principal and the third party. A finding of apparent authority depends on some representation through words or conduct on the part of GWL that led the plaintiff to believe that Mr. Stenner had authority to bind GWL by selling him an annuity.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Counsel for the plaintiff relies on the following factors as being sufficient representation to establish the apparent authority of Mr. Stenner and his company to bind GWL:</w:t>
      </w:r>
      <w:r>
        <w:rPr>
          <w:rFonts w:ascii="arial" w:eastAsia="arial" w:hAnsi="arial" w:cs="arial"/>
          <w:sz w:val="20"/>
          <w:lang w:val="en-US" w:eastAsia="en-US" w:bidi="ar-SA"/>
        </w:rPr>
        <w:cr/>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person from the Abbotsford area had telephoned the GWL office in late 1994 or early 1995 and asked for someone to sell them a GWL product that person would have been referred to Mr. Stenner. However, the fact is that the plaintiff never telephoned a GWL office. He telephoned Mr. Stenner whose name he had been given by a friend.</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Mr. Stenner purchased the business of GWL's former agent in Abbotsford the former agent advised GWL to change the agent of record to Paul Stenner and GWL expected Mr. Stenner to service the clients of the former agent. That is not a representation by GWL to the plaintiff. The plaintiff had no knowledge of these internal arrangements between GWL and Mr. Stenner.</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received a "genuine" cover bearing the GWL logo. It is not known how Mr. Stenner acquired the cover but it was not with GWL's approval.</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One of the documents provided to the plaintiff had the printed facsimile signatures of GWL officers or employees. But that was a document that Mr. Stenner took from another annuity. It was not a document GWL had provided to Mr. Stenner to provide to the plaintiff or anyone else but the true owner of the annuity of which it formed a part.</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GWL gave Mr. Stenner company brochures. In Keddie v. Horne, supra, the fact that the agent had also been provided with brochures, prospectuses and other materials that described and promoted the company was not sufficient to establish apparent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my opinion, the evidence does not make out the representation or holding out from GWL to the plaintiff that is required to establish apparent authority. I agree with the submission of counsel for GWL that the following facts support the conclusion that Mr. Stenner was not clothed with any of the indicia of authority:</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Stenner did not work out of GWL premises.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Stenner's office did not display any outward connection with GWL.</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Stenner did not have GWL business cards or stationery; his business card had the name "Paul Stenner Insurance Inc." on one side and "Pacific Brokerage" on the other.</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did not seek Mr. Stenner out by virtue of any perceived connection with GWL; he sought him out in his own right on the recommendation of a friend.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initially sought out Mr. Stenner in connection with mutual fund investments.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aware that Mr. Stenner could sell products of a number of companies, including GWL.</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did not receive anything reputed to be from GWL (i.e. the fake annuity) until several weeks after his money had been misappropriated.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Stenner could have used the name of any other insurance company in place of GWL and achieved the same result. He would have had the plaintiff's money and the plaintiff would have had worthless paper bearing a different name. Mr. Stenner chose GWL to perpetrate the fraud but he could have used any one of a number of different names. Mr. Stenner was able to perpetrate this fraud because the plaintiff trusted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conclude that the plaintiff's action against GWL on the ground of vicarious liability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CLAIM IN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relies on what he says are breaches of statutory duties imposed on GWL under the Financial Institutions Act when sponsoring Mr. Stenner's application for a life insurance agent license.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sponsoring Mr. Stenner's application, GWL was required to satisfy itself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"through personal knowledge or from inquiries that this applicant (a) has a good business reputation; (b) is qualified for the business in which he/she will engage".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Counsel for the plaintiff submits that GWL failed to meet its statutory duty and was negligent in two respects:</w:t>
      </w:r>
      <w:r>
        <w:rPr>
          <w:rFonts w:ascii="arial" w:eastAsia="arial" w:hAnsi="arial" w:cs="arial"/>
          <w:sz w:val="20"/>
          <w:lang w:val="en-US" w:eastAsia="en-US" w:bidi="ar-SA"/>
        </w:rPr>
        <w:cr/>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make sufficient enquiries of others and, particularly, failing to check with Mr. Stenner's former employer, the Credit Union; and</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make periodic checks of Mr. Stenner's company's trust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As Mr. Stenner held an active license at the time GWL sponsored him, GWL made enquiries of The Insurance Council of British Columbia and of the current sponsor, The Manufacturer's Life Insurance Company. It received no negative information. GWL already had a relationship with Mr. Stenner under a special broker's contract. Counsel for the plaintiff submits that was not sufficient enquiry. He submits GWL should have gone back into Mr. Stenner's past and contacted the Credit Union. I am not satisfied GWL was obliged to do so but if they had, what might they have learned? They might have been told that Mr. Stenner had resigned, which was the case. They might or might not have been told of the circumstances leading up to the resignation. Even if they had learned of those circumstances, that information would have disclosed only that the Credit Union was unhappy with what they considered was a conflict of interest between Mr. Stenner's duties at the Credit Union and his business activities. Knowledge of those circumstances would not indicate dishonesty on the part of Mr. Stenner.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Counsel for the plaintiff conceded that in order to succeed on this ground I would have to be satisfied that had GWL checked with the Credit Union it would probably not have approved Mr. Stenner's application. I am not satisfied that result is a probability.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do not accept the submission that GWL had any duty or any authority to require Mr. Stenner to submit his company's books for audit or review. The Instructions to Agents require the agent to maintain statements of all transactions for or on behalf of GWL but I can see no authority to require an agent to deliver up for inspection all books and records. Further, there is no evidence that had GWL reviewed Mr. Stenner's statements and accounts relating to GWL it would have discovered any impropriety prior to the fraud or, for that matter, after the fraud, at which point the damage had been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my opinion the plaintiff's claim must fail on this ground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It is very unfortunate that the plaintiff suffered this loss as the result of the fraud of Mr. Stenner. It is unfortunate that he has been unable to recover any of his loss from Mr. Stenner. But I have come to the conclusion that GWL is not legally responsible for his loss. His action against GWL is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JOYCE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8" style="position:absolute;z-index:2517053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McLean v. Insurance Corp. of British Columbia, [2007] B.C.J. No. 95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Rogers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11,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19,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Kelowna Registry No. 59974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5 W.W.R. 724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67 B.C.L.R. (4th) 316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46 C.C.L.I. (4th) 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154 A.C.W.S. (3d) 1190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102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Brett McLean, Plaintiff, and Insurance Corporation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9"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6" w:name="Keywords_8"/>
      <w:bookmarkEnd w:id="76"/>
      <w:r>
        <w:rPr>
          <w:rFonts w:ascii="arial" w:eastAsia="arial" w:hAnsi="arial" w:cs="arial"/>
          <w:b/>
          <w:color w:val="000000"/>
          <w:sz w:val="20"/>
          <w:lang w:val="en-US" w:eastAsia="en-US" w:bidi="ar-SA"/>
        </w:rPr>
        <w:t>Insurance law — Actions — By insured against insurer — Action by an insured against an insurer for legal fees incurred dismissed — Insurer did not act improperly when it advised the insured he was in breach of his policy and the insured had to obtain legal representation for one month — It was not in a conflict of interest that required it to pay for independent legal advice for the insured when it advised him that the claim against him could exceed the policy limit and the insured obtained his own representation — Insurer was also not required to pay for the lawyer's services because it did not benefit from them.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 law — Insurers — Duties — Duty to defend — Action by an insured against an insurer for legal fees incurred dismissed — Insurer did not act improperly when it advised the insured he was in breach of his policy and the insured had to obtain legal representation for one month — It was not in a conflict of interest that required it to pay for independent legal advice for the insured when it advised him that the claim against him could exceed the policy limit and the insured obtained his own representation — Insurer was also not required to pay for the lawyer's services because it did not benefit from them.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 law — Automobile insurance — Compulsory government schemes — Exclusions — Rights and duties of insurer — Action by an insured against an insurer for legal fees incurred dismissed — Insurer did not act improperly when it advised the insured he was in breach of his policy and the insured had to obtain legal representation for one month — It was not in a conflict of interest that required it to pay for independent legal advice for the insured when it advised him that the claim against him could exceed the policy limit and the insured obtained his own representation — Insurer was also not required to pay for the lawyer's services because it did not benefit from them.</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7" w:name="Case Summary_8"/>
            <w:bookmarkEnd w:id="7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McLean against the defendant Insurance Corporation of British Columbia for the recovery of his legal fees -- McLean was insured by ICBC -- He was sued for injuring his passenger when he negligently operated his motor vehicle -- McLean looked to ICBC to defend him -- For a month early in the action ICBC put McLean on notice that it believed that he breached his policy and it issued a third party notice against him -- It reached this conclusion because the accident occurred after McLean had been drinking at a stag party -- McLean hired a lawyer to represent his interests during that month -- ICBC subsequently withdrew the third party notice and agreed to defend McLean as he was not charged for this incident -- Later, as the suit against McLean matured, ICBC informed him that his passenger's claim might be worth more than the limit of his insurance coverage -- McLean hired the same lawyer again with respect to his exposure on the portion of the claim that exceeded his policy limits -- Regarding the first month McLean claimed that ICBC failed to comply with its duty to provide him with a defence because it did not have sufficient evidence to believe that he breached the policy -- Regarding the claim that was above the policy limit McLean claimed that he and ICBC had conflicting interests and because ICBC owed a duty to defend him it should have paid for his own lawyer -- In addition ICBC benefitted from the legal services of his lawyer -- Total cost of the legal services provided to McLean was $14,775 -- HELD: Action dismissed -- Regarding the first month it was not necessary for ICBC to have an iron-clad case against McLean for his incapacity to drive before it gave him notice of the breach of policy -- ICBC properly gave notice because it had enough information on which it could rationally conclude that the evidence, if believed, would result in a finding that McLean was incapable of properly operating his vehicle by reason of alcohol consumption -- ICBC therefore did not breach its duty to defend McLean during this period -- Regarding the excess claim there was a potential for conflict between the interests of McLean and ICBC but the potential conflict never came into being -- ICBC conducted itself in accordance with its obligation to give equal consideration to its interests and those of its insured -- It never did anything to jeopardize McLean's interests -- It never rejected an offer that would have saved McLean harmless from the passenger's claims -- Since ICBC and McLean never came into conflict ICBC was not required to retain independent counsel to advise McLean -- ICBC ended up paying the policy limit to the passenger and the passenger was able to extract every penny that he was legally entitled to -- It was therefore nonsense to claim that ICBC benefitted from the services of McLean's lawyer.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8" w:name="Counsel_8"/>
      <w:bookmarkEnd w:id="7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0"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K.D. Darling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 Brindle,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9" w:name="Judgment_8"/>
      <w:bookmarkEnd w:id="79"/>
      <w:r>
        <w:pict>
          <v:line id="_x0000_s1071" style="position:absolute;z-index:25168793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February 5, 2007.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0" w:name="ROGERS J._0"/>
            <w:bookmarkEnd w:id="80"/>
            <w:r>
              <w:rPr>
                <w:rFonts w:ascii="arial" w:eastAsia="arial" w:hAnsi="arial" w:cs="arial"/>
                <w:b/>
                <w:color w:val="000000"/>
                <w:sz w:val="30"/>
                <w:lang w:val="en-US" w:eastAsia="en-US" w:bidi="ar-SA"/>
              </w:rPr>
              <w:t>ROGERS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McLean got sued for injuring his passenger when he negligently operated his Jeep. Mr. McLean was insured by ICBC, so he looked to ICBC to defend him in the suit. For a month or so early in the action, ICBC put Mr. McLean on notice that it believed Mr. McLean had breached his insurance policy. Mr. McLean hired a lawyer to represent his interests during that month. Mr. McLean has sued ICBC to recover the cost of that one month's representation. Mr. McLean's theory is that ICBC failed to comply with its duty to provide him a defence because, during the month in issue, ICBC did not have sufficient evidence to believe that he was in breach of his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Later, as the suit against Mr. McLean matured, ICBC put him on notice that his passenger's claim might be worth more than the limit of his insurance coverage. So, Mr. McLean hired a lawyer again, this time to represent him with respect to his exposure to the portion of the claim that exceeded his policy limits. Mr. McLean sues ICBC for recovery of the fees his lawyer billed him during that retainer. Mr. McLean's theory on this part of his claim is that ICBC and he had conflicting interests, and because ICBC owed a duty to defend him it ought to pay for the lawyer who represented his interests in defending the claim. Mr. McLean also asserts that ICBC benefited from his lawyer's work, and so should pay for those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ICBC resists Mr. McLean's claim to recover his cost of retaining his own lawyer. ICBC convened a summary trial under Rule 18A to dismiss the action. Mr. McLean countered with a request that the court grant him judgment on his claim for those lawyer's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evidence in this case was not controversial. The parties agreed that events occurred in the order and as described in the affidavits that were filed in support or against ICBC's motion for judgment. They differ, of course, on the interpretation that should be given to those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Interestingly, the only evidence adduced in this matter were affidavits sworn by the two lawyers ICBC retained on the </w:t>
      </w:r>
      <w:r>
        <w:rPr>
          <w:rFonts w:ascii="arial" w:eastAsia="arial" w:hAnsi="arial" w:cs="arial"/>
          <w:i/>
          <w:color w:val="000000"/>
          <w:sz w:val="20"/>
          <w:lang w:val="en-US" w:eastAsia="en-US" w:bidi="ar-SA"/>
        </w:rPr>
        <w:t>Tobacca v. McLean</w:t>
      </w:r>
      <w:r>
        <w:rPr>
          <w:rFonts w:ascii="arial" w:eastAsia="arial" w:hAnsi="arial" w:cs="arial"/>
          <w:color w:val="000000"/>
          <w:sz w:val="20"/>
          <w:lang w:val="en-US" w:eastAsia="en-US" w:bidi="ar-SA"/>
        </w:rPr>
        <w:t xml:space="preserve"> suit, and by the lawyer Mr. McLean hired to represent his interests. There was no evidence from Mr. Tobacca or his lawyer, and no evidence from Mr. McLean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parties agreed that to the extent that the lawyers describe their opinions and actions, those were the opinions and actions of their respective clients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August 11, 1998, Mr. McLean was the owner and driver of a Jeep. Mr. Tobacca was his passenger. Mr. McLean was negligent in his operation of the Jeep, and it went off the road. Mr. McLean faired reasonably well - he was injured but not badly - but Mr. Tobacca suffered a variety of injuries. The true nature and extent of Mr. Tobacca's injuries gradually became known over the following years as his recovery, treatment, and rehabilitation progressed.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McLean had third party liability insurance from ICBC for his operation of the Jeep. The policy he bought obliged ICBC to indemnify him up to $1 million. The policy also obliged ICBC to defend him from third party liability claims. Mr. McLean and ICBC agree that at all material times Mr. Tobacca's claim was the kind of claim that triggered ICBC's obligation to provide a defence to Mr. McLean and to indemnify him up to $1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Very shortly after the accident ICBC hired Mr. Damberger to investigate the incident. Mr. Damberger was a private adjuster. Mr. Damberger spoke to a number of people who told him that they witnessed various events leading up to and following the accident. Among other information those witnesses provided to Mr. Damberger, the witnesses said to him words to the effect that:</w:t>
      </w:r>
      <w:r>
        <w:rPr>
          <w:rFonts w:ascii="arial" w:eastAsia="arial" w:hAnsi="arial" w:cs="arial"/>
          <w:sz w:val="20"/>
          <w:lang w:val="en-US" w:eastAsia="en-US" w:bidi="ar-SA"/>
        </w:rPr>
        <w:cr/>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McLean was at a stag party just before the accident;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Tobacca was at the same party;</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McLean drank alcohol at the party;</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Tobacca drank alcohol at the party too;</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McLean was intoxicated when he left the party;</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One party goer was sufficiently concerned by Mr. McLean's state that he tried to persuade Mr. McLean to not drive his Jeep;</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Tobacca was very intoxicated when he left the party with Mr. McLean;</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One party goer thought that Mr. Tobacca was so intoxicated that he probably could not have appreciated what he was doing when he left the party;</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scene of the accident Mr. McLean smelled of alcohol;</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scene of the accident Mr. McLean made efforts to remove alcoholic beverages from his Jeep before the authorities arrived;</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Tobacca had not been wearing a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Damberger spoke to the RCMP about their investigation into the accident. The RCMP told Mr. Damberger words to the effect that:</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accident scene an officer perceived the odour of alcohol about Mr. McLean;</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accident scene Mr. McLean told an officer that he had not been driving;</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McLean went on to tell the officer at the scene that Mr. Tobacca was the driver and that he had only been a passenger;</w:t>
      </w:r>
    </w:p>
    <w:p>
      <w:pPr>
        <w:numPr>
          <w:numId w:val="18"/>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Later, in the hospital, Mr. McLean changed his story and told an officer that he had been driving the Jeep.</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Force had been interested in investigating Mr. McLean's sobriety but that their desire to get a breath sample was stymied due to Mr. McLean's complaints of injury;</w:t>
      </w:r>
    </w:p>
    <w:p>
      <w:pPr>
        <w:numPr>
          <w:numId w:val="2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hospital staff may have obtained a blood sample from Mr. McLean, and that the RCMP might seize that sample for use in their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Damberger opined to ICBC that it was likely that Mr. McLean had been drinking before the accident. He thought that it was possible that Mr. McLean might be in breach of his insurance coverage, but that it was unlikely that ICBC could make out that breach unless Mr. McLean was charged with a criminal offence relating to alcohol or dangerous operation of the Jeep.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Damberger also looked into whether Mr. Tobacca might have contributed to his injuries by not wearing a seatbelt. Mr. Damberger spoke to Mr. Harper, a professional engineer, about that issue. Mr. Harper told Mr. Damberger that in Mr. Harper's opinion there were good grounds to believe that Mr. Tobacca had not been wearing his seat belt and that his injuries were more severe because of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All of this information was contained in Mr. Damberger's October 30, 1998 report to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Tobacca started a lawsuit by filing a writ of summons against Mr. McLean. Mr. Tobacca's lawyer was Mr. Feller. Mr. Feller delivered a copy of the writ to ICBC, and ICBC retained the lawyer Mr. Saunders to defend the suit. Mr. Saunders received his instructions on January 8,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 short while later Mr. Saunders received the file materials from ICBC. After reviewing those materials, and in particular after absorbing the product of Mr. Damberger's investigation, Mr. Saunders concluded that ICBC had good grounds to believe that Mr. McLean was in breach of his motor vehicle insurance policy. Mr. Saunders sought and received instructions from ICBC to issue a Third Party Notice to Mr. McLean putting him on notice that ICBC considered him in breach of his policy because when the accident happened he had been incapable of proper control of his vehicle by reason of consumption of alcohol. At the same time, Mr. Saunders considered whether Mr. Tobacca might have been contributorily negligent on two grounds: riding with an intoxicated driver; and failing to wear a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By December 1998 the RCMP had decided that it would terminate its investigation of the accident and that it would not seek to prefer charges against Mr. McLean. The RCMP did not communicate that decision to Mr. Damberger, and Mr. Damberger did not follow up with the RCMP until the very end of April or very early May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ICBC's Third Party Notice reached Mr. McLean in April 1999. In late April of that year Mr. McLean hired Mr. Mitchell to advise him with respect to the alleged breach. Mr. Mitchell wrote to Mr. Saunders. In his letter, Mr. Mitchell confidently wrote words to the effect that "there was no evidence that Mr. McLean was intoxicated on the night of the accident". Mr. Mitchell had plainly not made any investigation of the circumstances of the accident, or else he would have confined his comments to something like "there is insufficient evidence to show that Mr. McLean was incapable of proper control of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any event, Mr. Mitchell appears to have given Mr. McLean advice about his potential breach of his insurance policy. Mr. Mitchell filed an appearance for Mr. McLean on the Tobacca suit, and delivered that appearance to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May 5, 1999 Mr. Saunders received advice from Mr. Damberger that the RCMP had terminated its investigation of the accident and that no charges would be laid against Mr. McLean. Shortly thereafter, Mr. Saunders received instructions from ICBC to discontinue the Third Party proceeding against Mr. McLean, and to commence acting for Mr. McLean. He did that on May 11, 1999 by entering an appearance for Mr. McLean.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McLean then terminated Mr. Mitchell's retainer, and Mr. Mitchell rendered an account to Mr. McLean for his services and disbursements. Mr. Mitchell's account was for $1,784.28 including fees, disbursements and taxes. Mr. McLean paid the bill.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Saunders then assumed the defence of the Tobacca action on Mr. McLean's behalf. Later, Mr. Saunders retired from practice, and ICBC retained Mr. Giovando to continue with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Around May 2002 Mr. Giovando had gathered enough information about Mr. Tobacca's case to come to the preliminary opinion that if Mr. Tobacca had not been contributorily negligent then his claim might be worth more than the $1 million third party legal liability limit of Mr. McLean's policy. Mr. Giovando wrote to Mr. McLean to advise him of this possibility, and recommended to Mr. McLean that he retain his own lawyer to advise him on his potential personal liability to Mr. Tobacca.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By this time Mr. McLean was a budding professional hockey player. He had been drafted by a team. If he turned out to be good enough for the big league, he might well make a lot of money - enough to perhaps be able to actually contribute to Mr. Tobacca's claim. Mr. McLean was anxious to avoid having to pay anything to Mr. Tobacca. So, when he received Mr. Giovando's letter warning him that he might have some personal liability, Mr. McLean returned to Mr. Mitchell and sought advice on his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Mitchell communicated with Mr. Giovando. Mr. Giovando complied with every request for information about the Tobacca claim that Mr. Mitchell made. Those requests were made and satisfied in the months of May through to September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After Mr. Mitchell had digested the file materials relating to the Tobacca claim, Mr. Mitchell wrote to Mr. Giovando urging him to advise ICBC to offer Mr. Tobacca the full amount of the policy limits. Mr. Mitchell began making those demands on June 17, 2002. However, at that time ICBC did not have in hand a report from its medical advisor Dr. Moll, nor did it have the benefit of putting Mr. Tobacca to the test in an examination for discovery. ICBC declined Mr. Mitchell's increasingly shrill demands that it put the policy limit to Mr. Tobacca in an offer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mid-July ICBC received Dr. Moll's report. On July 18 Mr. Giovando conducted his discovery of Mr. Tobacca, and he made his report to ICBC on July 25. In late July Mr. Feller, who was still acting for Mr. Tobacca, sent Mr. Giovando a statement from a witness containing information relating to Mr. Tobacca's use of a seat belt. The witness said that Mr. Tobacca was found in the Jeep immediately after the accident and that he was wearing his seat belt. Mr. Giovando supplied all of that information to Mr. Mitchell.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Mitchell then wrote to Mr. Giovando on August 27 suggesting that perhaps ICBC and Mr. McLean could still take advantage of a seat belt defence if it turned out that the belt's latch mechanism had failed. Although Mr. Mitchell did not say so, one can infer that he thought perhaps some liability could be put on the belt's manufacturer on in a product liability claim. Mr. Giovando consulted with the engineer, Mr. Harper, about that. Mr. Giovando learned that the belt in the Jeep was not of a type that was susceptible to unexpected failure. Mr. Giovando passed that information on to Mr. Mitchell, who replied with renewed demands that ICBC offer Mr. Tobacca the policy limit in order to settle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Up to this point, that is late August 2002, Mr. Tobacca had never made a demand to settle. Based on my limited review of the facts relating to Mr. Tobacca's claim, most of which I get second-hand from Mr. Giovando and Mr. Feller, it is certain that by mid-August 2002 Mr. Tobacca's claim was known to be worth substantially more than $1 million. That was so whether there was a deduction for seat belt use or not. There seemed little chance of a deduction for riding with an intoxicated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ICBC instructed Mr. Giovando to meet with Mr. Feller. He was to test the waters - ICBC wanted to know whether Mr. Feller understood the nature of his client's claim, and whether some weakness might be found in it. Mr. Giovando met with Mr. Feller on August 30, 2002. The day before that meeting Mr. Feller advised Mr. Giovando in writing that he thought Mr. Tobacca's case was worth more than $2.9 million. Then, Mr. Giovando and Mr. Feller had their meeting and discussed Mr. Tobacca's case. Mr. Giovando had already received instructions from ICBC to make an offer during the meeting, and he did. Mr. Giovando offered to settle the case upon payment of $1 million less advances plus costs and a cash-out of Mr. Tobacca's entitlement to no-fault accident benefits, in return for a complete release of liability. Mr. Feller did not accept or reject that offer during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Feller did respond on September 5. By that response Mr. Tobacca rejected ICBC's offer, and put forward a counter-offer. Mr. Tobacca was prepared to settle for $1.25 million plus costs. Mr. Giovando advised Mr. Mitchell about that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Of course, ICBC neither accepted nor rejected the offer of $1.25 million. Mr. Giovando alerted Mr. Mitchell to it. Mr. Mitchell communicated directly with Mr. Feller.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Feller asked whether Mr. McLean had any excess coverage insurance that might provide funds in addition to ICBC's $1 million. Mr. Mitchell replied to that request directly; he assured Mr. Feller that Mr. McLean had no other insurance and was impecunious. On September 17, 2002 Mr. Mitchell further represented to Mr. Feller that Mr. McLean had no assets, had not signed a contract with a major league hockey team, had no ability to satisfy a judgment if Mr. Tobacca obtained one against him, and planned to declare bankruptcy on account of his potential liability on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But before this, Mr. Mitchell had written another letter of a wholly different stripe to Mr. Feller. That letter was dated September 16, 2002. The content of this letter is important; I will quote it in full: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Attention: H. Del Feller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confirm your advice that you have instructions from your client to release our client from any personal liability in excess of the $1 Million limits in exchange for our client's agreement to co-operate with you in your negotiations with ICBC.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spoken with our client and can confirm that he, and we, will fully co-operate with you in your negotiations with ICBC for the $ 1 Million limits and the cash-out of remaining Part 7 benefits.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understanding is, that under the limits policy, they are obligated to pay pre-judgment interest and costs and disbursements in addition to the limits.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Attached is a copy of our letter of today's date to Mr. Giovando. As discussed, we would suggest that you not disclose the terms of our agreement as we have been threatening to pursue them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they fail to settle for the limits, by taking an assignment of your clients action against them. They may be more receptive to settlement if that threat is still present. Accordingly, we will not disclose the terms of our agreement with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Should you require any assistance please do not hesitate to call.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Paul L. Mitchell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By this letter, Mr. McLean agreed to conspire with Mr. Tobacca against ICBC so as to extract from ICBC a settlement having the maximum possible benefit to Mr. Tobacca. Mr. McLean instructed Mr. Mitchell to urge Mr. Feller and Mr. Tobacca to not reveal the conspiracy to ICBC. Mr. McLean must, therefore, have been alive to the peril posed to him of entering into a cabal against his own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the end, it seems that Mr. Tobacca accepted Mr. McLean's avowal of poverty and his threat of bankruptcy should a judgment go against him. Mr. Tobacca offered to take ICBC's August 30 offer, if it was still available. Of course ICBC accepted that offer, and Mr. Tobacca's claim was settled on September 17, 2002 for $1 million plus costs and no-fault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Mitchell asked ICBC to pay his bill to Mr. McLean. ICBC declined. Mr. Mitchell billed Mr. McLean. The fee bill was $12,948.49 including fees, taxes,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McLean's total cost for Mr. Mitchell's services throughout the matter was $14,775.06.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Alleged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McLean argues that in April 1999 the only ground on which ICBC could have believed he had breached his policy was that he was incapable of proper control of a vehicle by reason of consumption of alcohol. He is right in that: as of April 1999 Mr. McLean had not been convicted of any motor vehicle related criminal offences, and so the only basis for a breach at that time was incapacity.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Mr. McLean further argues that because ICBC had not gathered evidence to show that the accident happened because of Mr. McLean's drinking - as opposed to plain bad luck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not associated with intoxication - then ICBC had no reasonable basis upon which to put him on notice that he was in breach of his policy. Mr. McLean says that ICBC had an obligation to defend him in the Tobacca suit and that when it unreasonably declared him to be in breach it should be responsible to pay for his own lawyer to defend him in that 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McLean's position puts ICBC to too high a standard - it is not necessary for ICBC to have an iron-clad case against an insured for incapacity to drive before it can legitimately put that insured on notice that it believes he is in breach of his policy. All that is necessary is for ICBC to have enough information before it on which it could rationally conclude that that evidence, if believed, could result in a finding that the insured was incapable of proper control of a vehicle by reason of consumption of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outcome would be different, of course, if ICBC had cavalierly disregarded the weight of cogent evidence to the effect that Mr. McLean was sober throughout the stag party and had his Jeep been, say, knocked off the road by an animal or a falling tree. In that case one could easily infer that a declaration of breach by ICBC was motivated by something other than cognizance of the known facts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But here there was a near unanimity of opinion that Mr. McLean had been drinking at the stag party, that he was intoxicated when he left the party, that he smelled of liquor at the accident scene, that he tried to remove alcohol from his Jeep after the crash and before the authorities arrived, and that he mislead the police at the scene about who had been driving. Given those facts, it was reasonable for ICBC to have put Mr. McLean on notice that it considered him to be in breach of his policy. Those facts alone could, if they were believed to be true, have lead to the conclusion that when the accident happened Mr. McLean was not capable of properly controlling his vehicle by reason of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There was, therefore, nothing unreasonable in ICBC having issued a Third Party Notice to Mr. McLean.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If I am wrong in that conclusion, and if ICBC did breach its duty to defend Mr. McLean during the month-long currency of the Third Party Notice, then I must assess the cost to Mr. McLean of hiring Mr. Mitchell to defend him in the Tobacca suit. So far as I can tell from the very brief fee account Mr. Mitchell rendered on June 1, 1999 it appears that the only thing Mr. Mitchell did to protect Mr. McLean's interests in the Tobacca matter during that time was to file and distribute an appearance. The fee account does not break out the cost to Mr. McLean of that service. I will, somewhat arbitrarily, fix it at one-half hour of Mr. Mitchell's time. That provides for issuing instructions to prepare the appearance, and to prepare letters sending the appearance out to the parties. I would fix the disbursements at two postage stamps and six photocopies.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Liability in Excess of Limits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Until mid-August 2002 ICBC reserved its decision to make an offer to settle Mr. Tobacca's claim. The medical evidence was still coming in, the examination for discovery had been done only a month earlier, and evidence relating to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still being developed. That was entirely reasonable. ICBC was under no obligation to put tender the policy limit as early as May 2002 when Mr. Giovando first expressed his preliminary opinion that perhaps the Tobacca claim might exceed the third party legal liability coverage. In my view, Mr. Giovando's warning was nothing more than an exercise by competent counsel of appropriate caution. But since discoveries had not even been done yet, ICBC was perfectly justified in paying attention to, but not reflexively firing off settlement offers in response to, that preliminary warning.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It has to be noted that ICBC's measured approach worked to the benefit of both it and its insured. By gathering in such information as was necessary to evaluate the claim and to determine whether deductions might be made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ICBC put together a brief which, when it was communicated to Mr. Mitchell and thence to Mr. McLean, offered its insured a complete and unabridged set of data upon which Mr. Mitchell could base his advice and Mr. McLean could base his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short, therefore, there was nothing about ICBC's decision to gather all the evidence before making an offer, or its timing of that offer at the end of August, that smacked of putting its interests ahead of its insured's.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Further in that vein, there is absolutely no evidence to support the proposition that Mr. Trebecca would have been willing to accept $1 million in full satisfaction of his claim as early as June or July 2002. There is, therefore, no merit in any suggestion Mr. McLean might make that the outcome of the file would have been any different had ICBC offered the limits in May or June rather than at the end of August. It follows that there was no evidence to support the notion that if ICBC had offered the limit earlier, the case would have settled earlier and Mr. Mitchell would have been retained for a shorter period of time with a commensurate savings of legal fees to Mr. McLean. In order to prove either of those propositions Mr. McLean would, I think, have had to adduce evidence from Mr. Tobacca or Mr. Feller. He did not proffer that evidence, and without that evidence he has not proven this aspect of 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But that was not the thrust of Mr. McLean's argument in any event. What Mr. McLean concentrated upon in his statement of claim and in the summary trial was the proposition that the mere fact that Mr. McLean might have been personally liable for damages in excess of the policy limit placed ICBC in conflict with him, and that since ICBC owed Mr. McLean a defence to the claim, it was obliged to pay for independent counsel to advise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To support his position, Mr. McLean relied upon the decision of Finch J. (as he then was) in </w:t>
      </w:r>
      <w:r>
        <w:rPr>
          <w:rFonts w:ascii="arial" w:eastAsia="arial" w:hAnsi="arial" w:cs="arial"/>
          <w:b/>
          <w:i/>
          <w:color w:val="000000"/>
          <w:sz w:val="20"/>
          <w:lang w:val="en-US" w:eastAsia="en-US" w:bidi="ar-SA"/>
        </w:rPr>
        <w:t>Shea v. Manitoba Public Insurance Corp.</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(1991) 55 B.C.L.R. (2d) 15</w:t>
        </w:r>
      </w:hyperlink>
      <w:r>
        <w:rPr>
          <w:rFonts w:ascii="arial" w:eastAsia="arial" w:hAnsi="arial" w:cs="arial"/>
          <w:color w:val="000000"/>
          <w:sz w:val="20"/>
          <w:lang w:val="en-US" w:eastAsia="en-US" w:bidi="ar-SA"/>
        </w:rPr>
        <w:t xml:space="preserve"> (S.C.). In that case the insured complained that the defendant had breached its duty to give equal weight to his interests as to its own, and that by preferring its own interests the defendant rejected a settlement on terms that would have visited no liability upon the insured. The claim went to trial and judgment was entered for an amount in excess of the insured's policy limit. The insured could not satisfy the excess portion of the judgment. The insured had a claim against the defendant for breaching its obligation to settle on terms that were to his advantage. The insured assigned his right to sue the defendant to the party holding the partially dry judgment. The assignee succeeded. Finch J. observed that at all material times the tort claimant's case was worth in excess of the insured's policy limit. He recognized that in every case where a claim may exceed policy limits there lies an inherent conflict between insurer and insured - and he found that on the particular facts of </w:t>
      </w:r>
      <w:r>
        <w:rPr>
          <w:rFonts w:ascii="arial" w:eastAsia="arial" w:hAnsi="arial" w:cs="arial"/>
          <w:b/>
          <w:i/>
          <w:color w:val="000000"/>
          <w:sz w:val="20"/>
          <w:lang w:val="en-US" w:eastAsia="en-US" w:bidi="ar-SA"/>
        </w:rPr>
        <w:t>Shea</w:t>
      </w:r>
      <w:r>
        <w:rPr>
          <w:rFonts w:ascii="arial" w:eastAsia="arial" w:hAnsi="arial" w:cs="arial"/>
          <w:color w:val="000000"/>
          <w:sz w:val="20"/>
          <w:lang w:val="en-US" w:eastAsia="en-US" w:bidi="ar-SA"/>
        </w:rPr>
        <w:t xml:space="preserve"> the potential conflict had blossomed into an actual </w:t>
      </w:r>
      <w:r>
        <w:rPr>
          <w:rFonts w:ascii="arial" w:eastAsia="arial" w:hAnsi="arial" w:cs="arial"/>
          <w:i/>
          <w:color w:val="000000"/>
          <w:sz w:val="20"/>
          <w:lang w:val="en-US" w:eastAsia="en-US" w:bidi="ar-SA"/>
        </w:rPr>
        <w:t>lis</w:t>
      </w:r>
      <w:r>
        <w:rPr>
          <w:rFonts w:ascii="arial" w:eastAsia="arial" w:hAnsi="arial" w:cs="arial"/>
          <w:color w:val="000000"/>
          <w:sz w:val="20"/>
          <w:lang w:val="en-US" w:eastAsia="en-US" w:bidi="ar-SA"/>
        </w:rPr>
        <w:t xml:space="preserve"> between insurer and insured. Finch J. reviewed the evidence relating to the prosecution and defence of the original tort claim and concluded that the defendant was or ought to have been aware that its desire to settle the case on its terms had jeopardized its insured's interests, and that it had been open to the defendant to negotiate a settlement on terms that would protect its insured. The defendant either did not appreciate that conflict, or did not act on it. In the result, the defendant did not advise its insured of the pros and cons of the settlement strategy that it was following, and did not pay for independent lawyers to advise its insured with respect to that strategy. Given that a conflict actually existed between the defendant and the insured, and given that the defendant did not extend to its insured the same consideration of his interests as it gave to its own, Finch J. found that the defendant had failed to comply with its contractual obligations to its insured, and was liable to the insured for the judgment in excess of the policy limits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 to the specific question raised in the present case, viz: under what circumstance is an insurer obliged to retain independent counsel to advise its insured, Finch J. said this:</w:t>
      </w:r>
      <w:r>
        <w:rPr>
          <w:rFonts w:ascii="arial" w:eastAsia="arial" w:hAnsi="arial" w:cs="arial"/>
          <w:sz w:val="20"/>
          <w:lang w:val="en-US" w:eastAsia="en-US" w:bidi="ar-SA"/>
        </w:rPr>
        <w:cr/>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insurer's statutory obligation to defend its insured imposes on the insurer, </w:t>
      </w:r>
      <w:r>
        <w:rPr>
          <w:rFonts w:ascii="arial" w:eastAsia="arial" w:hAnsi="arial" w:cs="arial"/>
          <w:b/>
          <w:color w:val="000000"/>
          <w:sz w:val="20"/>
          <w:lang w:val="en-US" w:eastAsia="en-US" w:bidi="ar-SA"/>
        </w:rPr>
        <w:t>where conflicting interests arise</w:t>
      </w:r>
      <w:r>
        <w:rPr>
          <w:rFonts w:ascii="arial" w:eastAsia="arial" w:hAnsi="arial" w:cs="arial"/>
          <w:color w:val="000000"/>
          <w:sz w:val="20"/>
          <w:lang w:val="en-US" w:eastAsia="en-US" w:bidi="ar-SA"/>
        </w:rPr>
        <w:t>, a duty to instruct counsel to treat the interests of the insured equally with its own; and where one counsel cannot adequately represent both conflicting interests, an obligation to instruct separate counsel to act solely for the insureds, at the insurer's own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r>
              <w:rPr>
                <w:rFonts w:ascii="arial" w:eastAsia="arial" w:hAnsi="arial" w:cs="arial"/>
                <w:b/>
                <w:color w:val="000000"/>
                <w:sz w:val="18"/>
                <w:lang w:val="en-US" w:eastAsia="en-US" w:bidi="ar-SA"/>
              </w:rPr>
              <w:t>emphasis added</w:t>
            </w:r>
            <w:r>
              <w:rPr>
                <w:rFonts w:ascii="arial" w:eastAsia="arial" w:hAnsi="arial" w:cs="arial"/>
                <w:color w:val="000000"/>
                <w:sz w:val="18"/>
                <w:lang w:val="en-US" w:eastAsia="en-US" w:bidi="ar-SA"/>
              </w:rPr>
              <w:t>)</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It is clear from this passage that in Finch J.'s opinion (which was, in fact obiter, although obiter of the very highest and most persuasive quality) it is when a conflict arises, as opposed to when one potentially exists, that an insurer should hire independent counsel for its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the present case, there was the potential for conflict between Mr. McLean's and ICBC's interests, but that potential conflict never actually came into being. That is because at all material times Mr. Giovando and ICBC conducted themselves entirely in keeping with an insurer's obligation to give equal consideration to the interests of itself and its insured. At no time did ICBC do or try to do anything that jeopardized Mr. McLean's interests. Specifically, ICBC never rejected an offer that would have saved Mr. McLean harmless from Mr. Tobacca's claims. It never offered to settle on terms that were not in Mr. McLean's interests. It never concealed from Mr. McLean information relevant to the claim - and I note the irony in the fact that the same cannot be said for Mr. McLean.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Because ICBC and Mr. McLean never actually came into conflict, there was nothing about their relationship that required ICBC to retain a lawyer to advise Mr. McLean. Mr. McLean did, of course, hire a lawyer, and that was a prudent thing to do, given that by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 caused injury to someone and he had not bought enough insurance to protect himself from the injured person's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This case is, in my view, indistinguishable from </w:t>
      </w:r>
      <w:r>
        <w:rPr>
          <w:rFonts w:ascii="arial" w:eastAsia="arial" w:hAnsi="arial" w:cs="arial"/>
          <w:b/>
          <w:i/>
          <w:color w:val="000000"/>
          <w:sz w:val="20"/>
          <w:lang w:val="en-US" w:eastAsia="en-US" w:bidi="ar-SA"/>
        </w:rPr>
        <w:t>Fredrikson v. I.C.B.C.</w:t>
      </w:r>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(1990), 44 B.C.L.R. (2d) 303</w:t>
        </w:r>
      </w:hyperlink>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Fredrikson</w:t>
      </w:r>
      <w:r>
        <w:rPr>
          <w:rFonts w:ascii="arial" w:eastAsia="arial" w:hAnsi="arial" w:cs="arial"/>
          <w:color w:val="000000"/>
          <w:sz w:val="20"/>
          <w:lang w:val="en-US" w:eastAsia="en-US" w:bidi="ar-SA"/>
        </w:rPr>
        <w:t xml:space="preserve"> Ms. Nielsen was severely injured in a collision between a motor vehicle and a train. Mr. Fredrikson owned the car involved. Ms. Nielsen's claim came to be known to ICBC. ICBC appointed Mr. Jarvis to act for the defence. At all material times all the parties involved understood that Ms. Nielsen's claim would be worth more than the $500,000 third party legal liability limit on Mr. Fredrikson's ICBC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Jarvis gave Mr. Fredrikson fulsome advice about his potential exposure. Mr. Fredrikson understood that advice. He told Mr. Jarvis words to the effect that he did not think he could be liable for Ms. Nielsen's injuries, that he did not want ICBC to try to settle her claim, that he had no intention of hiring his own lawyer, and that he was not concerned about a judgment over the policy limit anyway because he had no assets and no way of paying such a judgment. Ms. Nielsen's claim matured, and eventually her representatives offered to settle the case for the policy limit. ICBC rejected that offer. The case went to trial and then to appeal; in the end Ms. Nielsen obtained judgment against Mr. Fredrikson in an amount some $600,000 in excess of the policy limits. Mr. Fredrikson then sued ICBC, asserting that ICBC had breached its duty to him by failing to protect his interests when it refused to give Ms. Nielsen the policy limits in return for a full and final release. Among other things, Mr. Fredrikson asserted that ICBC ought to have retained an independent lawyer for him to advise him on his potential liability to Ms. Nielsen.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That suit was tried before Esson C.J.S.C. In his judgment, Esson C.J.S.C. held that ICBC had acted reasonably in rejecting Ms. Nielsen's settlement offers. On the issue of ICBC's alleged obligation to supply Mr. Fredrikson with independent counsel, Esson C.J.S.C. said:</w:t>
      </w:r>
      <w:r>
        <w:rPr>
          <w:rFonts w:ascii="arial" w:eastAsia="arial" w:hAnsi="arial" w:cs="arial"/>
          <w:sz w:val="20"/>
          <w:lang w:val="en-US" w:eastAsia="en-US" w:bidi="ar-SA"/>
        </w:rPr>
        <w:cr/>
      </w:r>
    </w:p>
    <w:p>
      <w:pPr>
        <w:numPr>
          <w:numId w:val="22"/>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true that I.C.B.C took no steps prior to or after trial to protect Fredrikson's interest. It retained competent counsel to defend the action and to prosecute the appeal. The specific allegation of failure to arrange for and pay independent counsel was added by amendment at the opening of trial. That allegation is based on decisions of this court, presently under appeal, which have held that where I.C.B.C. avails itself of its statutory right, in cases in which it has denied coverage, to be made a third party in the liability action, it is obligated to provide at its expense independent counsel to conduct the defence of that action. That is a fundamentally different situation from that in the case at bar where there never was any question of denial of coverage. I.C.B.C. did investigate, it did defend, and it did appeal. </w:t>
      </w:r>
      <w:r>
        <w:rPr>
          <w:rFonts w:ascii="arial" w:eastAsia="arial" w:hAnsi="arial" w:cs="arial"/>
          <w:b/>
          <w:color w:val="000000"/>
          <w:sz w:val="20"/>
          <w:lang w:val="en-US" w:eastAsia="en-US" w:bidi="ar-SA"/>
        </w:rPr>
        <w:t>The element of potential conflict between it and its insured arose only from the fact that the claim was sufficiently large as to potentially exceed the limit of coverage. That made it desirable that the insured obtain independent legal advice.</w:t>
      </w:r>
      <w:r>
        <w:rPr>
          <w:rFonts w:ascii="arial" w:eastAsia="arial" w:hAnsi="arial" w:cs="arial"/>
          <w:color w:val="000000"/>
          <w:sz w:val="20"/>
          <w:lang w:val="en-US" w:eastAsia="en-US" w:bidi="ar-SA"/>
        </w:rPr>
        <w:t xml:space="preserve"> I can see no possible basis for finding the insurer obligated to provide independent advice in respect of that uninsured exposure of its insured. It was the insured who decided not to purchase greater protection - it was for him to pay for advice about the possible consequences of that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r>
              <w:rPr>
                <w:rFonts w:ascii="arial" w:eastAsia="arial" w:hAnsi="arial" w:cs="arial"/>
                <w:b/>
                <w:color w:val="000000"/>
                <w:sz w:val="18"/>
                <w:lang w:val="en-US" w:eastAsia="en-US" w:bidi="ar-SA"/>
              </w:rPr>
              <w:t>emphasis added</w:t>
            </w:r>
            <w:r>
              <w:rPr>
                <w:rFonts w:ascii="arial" w:eastAsia="arial" w:hAnsi="arial" w:cs="arial"/>
                <w:color w:val="000000"/>
                <w:sz w:val="18"/>
                <w:lang w:val="en-US" w:eastAsia="en-US" w:bidi="ar-SA"/>
              </w:rPr>
              <w:t>)</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It is clear from the highlighted passage that in </w:t>
      </w:r>
      <w:r>
        <w:rPr>
          <w:rFonts w:ascii="arial" w:eastAsia="arial" w:hAnsi="arial" w:cs="arial"/>
          <w:b/>
          <w:i/>
          <w:color w:val="000000"/>
          <w:sz w:val="20"/>
          <w:lang w:val="en-US" w:eastAsia="en-US" w:bidi="ar-SA"/>
        </w:rPr>
        <w:t>Fredrikson</w:t>
      </w:r>
      <w:r>
        <w:rPr>
          <w:rFonts w:ascii="arial" w:eastAsia="arial" w:hAnsi="arial" w:cs="arial"/>
          <w:color w:val="000000"/>
          <w:sz w:val="20"/>
          <w:lang w:val="en-US" w:eastAsia="en-US" w:bidi="ar-SA"/>
        </w:rPr>
        <w:t xml:space="preserve"> the court recognized that an exposure in excess of policy limits sets up a potential conflict between insurer and insured, but that potential does not in and of itself give rise to a requirement that the insurer retain independent counsel for its insured. It takes something more than the mere possibility of conflict to lay that burden on the insurer. The something more may be, as was the case in </w:t>
      </w:r>
      <w:r>
        <w:rPr>
          <w:rFonts w:ascii="arial" w:eastAsia="arial" w:hAnsi="arial" w:cs="arial"/>
          <w:b/>
          <w:i/>
          <w:color w:val="000000"/>
          <w:sz w:val="20"/>
          <w:lang w:val="en-US" w:eastAsia="en-US" w:bidi="ar-SA"/>
        </w:rPr>
        <w:t>Shea</w:t>
      </w:r>
      <w:r>
        <w:rPr>
          <w:rFonts w:ascii="arial" w:eastAsia="arial" w:hAnsi="arial" w:cs="arial"/>
          <w:color w:val="000000"/>
          <w:sz w:val="20"/>
          <w:lang w:val="en-US" w:eastAsia="en-US" w:bidi="ar-SA"/>
        </w:rPr>
        <w:t>, an actual conflict brought fully into being by the insurer's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That </w:t>
      </w:r>
      <w:r>
        <w:rPr>
          <w:rFonts w:ascii="arial" w:eastAsia="arial" w:hAnsi="arial" w:cs="arial"/>
          <w:b/>
          <w:i/>
          <w:color w:val="000000"/>
          <w:sz w:val="20"/>
          <w:lang w:val="en-US" w:eastAsia="en-US" w:bidi="ar-SA"/>
        </w:rPr>
        <w:t>Shea</w:t>
      </w:r>
      <w:r>
        <w:rPr>
          <w:rFonts w:ascii="arial" w:eastAsia="arial" w:hAnsi="arial" w:cs="arial"/>
          <w:color w:val="000000"/>
          <w:sz w:val="20"/>
          <w:lang w:val="en-US" w:eastAsia="en-US" w:bidi="ar-SA"/>
        </w:rPr>
        <w:t xml:space="preserve"> was different from </w:t>
      </w:r>
      <w:r>
        <w:rPr>
          <w:rFonts w:ascii="arial" w:eastAsia="arial" w:hAnsi="arial" w:cs="arial"/>
          <w:b/>
          <w:i/>
          <w:color w:val="000000"/>
          <w:sz w:val="20"/>
          <w:lang w:val="en-US" w:eastAsia="en-US" w:bidi="ar-SA"/>
        </w:rPr>
        <w:t>Fredrikson</w:t>
      </w:r>
      <w:r>
        <w:rPr>
          <w:rFonts w:ascii="arial" w:eastAsia="arial" w:hAnsi="arial" w:cs="arial"/>
          <w:color w:val="000000"/>
          <w:sz w:val="20"/>
          <w:lang w:val="en-US" w:eastAsia="en-US" w:bidi="ar-SA"/>
        </w:rPr>
        <w:t xml:space="preserve"> on the issue of conflict is made clear by Finch J. when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Before leaving the </w:t>
      </w:r>
      <w:r>
        <w:rPr>
          <w:rFonts w:ascii="arial" w:eastAsia="arial" w:hAnsi="arial" w:cs="arial"/>
          <w:i/>
          <w:color w:val="000000"/>
          <w:sz w:val="20"/>
          <w:lang w:val="en-US" w:eastAsia="en-US" w:bidi="ar-SA"/>
        </w:rPr>
        <w:t>Fredrikson</w:t>
      </w:r>
      <w:r>
        <w:rPr>
          <w:rFonts w:ascii="arial" w:eastAsia="arial" w:hAnsi="arial" w:cs="arial"/>
          <w:color w:val="000000"/>
          <w:sz w:val="20"/>
          <w:lang w:val="en-US" w:eastAsia="en-US" w:bidi="ar-SA"/>
        </w:rPr>
        <w:t xml:space="preserve"> case, I would make certain observations. There the Chief Justice was concerned only with the inherent conflict of interest between insured and insurer which is a necessary incident of a third party liability claim where there may or may not be a chance of settling for less than the policy limits. In such a case, as the Chief Justice points out at p. 332, the insurer has a legitimate interest in trying to effect a saving on the policy limit, if on the facts of the claim there is a reasonable prospect of settling for less than the limits.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is, of course, to be distinguished from the present case where the insurer and defence counsel recognized before trial that the judgment in the third party liability claim would "no doubt" exceed the policy limit. When there is no reasonable prospect of settling a tort claim for less than the limits of coverage, an insurer can have no legitimate interest in trying to do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M.P.I.C. did not recognize during the currency of the tort lawsuit the conflict between its interests in attempting to minimize its total potential exposure for third party liability, no fault benefits and court order interest on the one hand; and on the other hand the interests of the insureds in having the no fault benefits and court order interest paid by M.P.I.C. in addition to the third party policy limit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the present case, I can find no evidence to support the notion that ICBC acted in any way so as to ripen the potential conflict between it and Mr. McLean into an actual conflict. That is to say that when the "rubber hit the road" in settlement negotiations, ICBC did not try to settle for less than Mr. McLean's policy limit. It never tried to give greater weight to its own interests over Mr. McLean's. It follows that, in this respect at least, ICBC's relationship with Mr. McLean was indistinguishable from its relationship with Mr. Fredrikson. So, just as Mr. Fredrikson was unsuccessful in his bid for an order that ICBC ought to have got him a lawyer, so must Mr. McLean find disappointment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the course of argument, the parties came to discuss whether, all questions of conflict aside, Mr. Giovando might not have articulated to Mr. Feller the same representations about Mr. McLean's solvency as Mr. Mitchell did. If he had, then it could be argued that Mr. McLean would have saved the cost of Mr. Mitchell making those same representations. The issue raised by this discussion is this: does ICBC's obligation to defend an insured go so far as to require the lawyer it has retained to advocate that the insured cannot satisfy a judgment in excess of policy limits and so the tort claimant will lose nothing by releasing the insured upon payment of the limits?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parties in this proceeding agreed that it would have been within Mr. Giovando's mandate to assert to Mr. Feller that Mr. McLean was impecunious and so Mr. Tobacca would be giving up nothing if he had accepted the policy limit and had released Mr. McLean from the claim. I am inclined to agree - a lawyer hired by an insured is charged with protecting the insured's interests, and the insured's interests are usually served by settling the case within the limits of his policy for indemnity. So, under normal circumstances, it would be proper for the insurance lawyer to make representations to the claimant to the effect that any judgment in excess of the limits would be a dry judgment (proper meaning, of course, that those representations have a basis in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That said, the next question is: when does that obligation arise? On the facts before me, it is evident that Mr. McLean, who was uniquely aware of his own financial circumstances, never communicated that knowledge to Mr. Giovando. In my view, it was incumbent on Mr. McLean to bring that issue to Mr. Giovando's attention. Absent that communication from Mr. McLean, Mr. Giovando could not have reasonably anticipated that that argument needed to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any event, Mr. McLean did retain Mr. Mitchell - an apparently experienced and competent counsel. Mr. Mitchell no doubt advised Mr. McLean that it was within Mr. Giovando's mandate to pitch Mr. McLean's poverty in settlement negotiations. For reasons that Mr. McLean did not articulate (recall that he adduced no evidence at all in this matter) he presumably rejected that advice and instructed Mr. Mitchell to advocate his position to Mr. Tobacca via Mr. Feller. Having decided to eschew Mr. Giovando's services, it does not lie well in Mr. McLean's mouth to now complain that he paid Mr. Mitchell to do what Mr. Giovando could have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If this argument requires more nails to lid it, I would point out that Mr. McLean's conduct reveals that he was not prepared to rely on ICBC to protect his interests. It follows that even if Mr. Giovando had volunteered to advocate Mr. McLean's alleged inability to satisfy an excess judgment, Mr. McLean would likely have rejected that offer. I have concluded that Mr. McLean was not prepared to trust ICBC primarily because he was prepared to make a deal with Mr. Tobacca against ICBC in order to escape personal liability. Having proposed that deal to Mr. Tobacca, Mr. McLean could hardly have harboured warm feelings of trust and reliance toward ICBC. Under these particular circumstances, I find that Mr. McLean would not have engaged Mr. Giovando to represent his interests even if Mr. Giovando had said he would undertake that task. Mr. Giovando's not telling to Mr. McLean he would therefore cost Mr. McLean nothing.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McLean's argument on this point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Finally, Mr. McLean argues that ICBC benefited from Mr. Mitchell's intercession in the settlement negotiations and that ICBC should not be allowed to reap that benefit without compensating Mr. McLean for the cost of Mr. Mitchell's services. With the greatest of respect to Mr. McLean, that argument makes no sense. ICBC paid the policy limit to Mr. Tobacca. That is to say: ICBC paid every penny to Mr. Tobacca that Mr. Tobacca could legally extract from it, and it is therefore nonsense to assert that Mr. Mitchell's efforts bestowed some benefit on ICBC. And in any event, Mr. McLean did not plead the remedy of unjust enrichment or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It would be completely unfair and improper to give Mr. McLean an equitable remedy when he gave ICBC no notice that he was seeking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As to the timing of the settlement offer, Mr. McLean cannot seriously assert that ICBC was moved by Mr. Mitchell's urging to offer Mr. Tobacca the policy limits. The evidence clearly shows that ICBC marched to the beat of its own drum on that score. ICBC held off on making any offer to Mr. Tobacca until the examination for discovery was done, Mr. Giovando's report about the discovery was in hand, the medical report from Dr. Moll was delivered, the witness statement with respect to the seat belt had been digested, and Mr. Giovando had sounded out Mr. Feller on the strengths and weaknesses of Mr. Tobacca's case. The evidence did not link the timing of those precursor events to anything that Mr. Mitchell did or did not do. More specifically, Mr. McLean cannot credibly assert that the discovery took place at his urging, thus setting the stage for an early settlement with concomitant savings in defence costs to ICBC. Neither can Mr. McLean say that he or Mr. Mitchell arranged for delivery of Dr. Moll's opinion on an accelerated schedule. In short, there was no evidence in this trial to support the notion that but for Mr. McLean's and Mr. Mitchell's intersession, ICBC's defence costs would have been higher because settlement negotiations would have dragged on and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If a further reason to reject Mr. McLean's argument is necessary, I would point out that compensation for unjust enrichment or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is an equitable remedy - and is available only to those who come to court with clean hands. Mr. McLean's hands are anything but. That is because in September 2002 Mr. McLean conspired with Mr. Tobacca to cooperate with him so as to extract from ICBC a settlement providing the maximum benefit to Mr. Tobacca. He urged Mr. Tobacca to keep that conspiracy from ICBC so as to preserve what Mr. McLean thought might be his right to sue ICBC. At that time there was no rational basis on which Mr. McLean might have legitimately started a suit against ICBC. It is trite to say that an insured owes to his insurer a duty to take no steps that may prejudice the insurer's position. It was Mr. Mitchell's professional responsibility to give Mr. McLean advice to that effect, but it would seem that he was instructed to propose the conspiracy nonetheless. Of course, if Mr. Mitchell thought this scheme up, well, perhaps Mr. McLean might have reason to question having to pay legal fees for advice that put his insurance coverage in peril.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McLean's action is dismissed. Subject to submissions counsel may wish to make concerning costs, ICBC is entitled to its costs of the proceeding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ROGERS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February 5,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Please be advised that the attached Reasons for Judgment of Mr. Justice P.J. Rogers dated January 19, 2007 have been edited.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date of release of the Reasons for Judgment, on the front page upper right hand corner, was amended from "200</w:t>
      </w:r>
      <w:r>
        <w:rPr>
          <w:rFonts w:ascii="arial" w:eastAsia="arial" w:hAnsi="arial" w:cs="arial"/>
          <w:b/>
          <w:i/>
          <w:color w:val="000000"/>
          <w:sz w:val="20"/>
          <w:lang w:val="en-US" w:eastAsia="en-US" w:bidi="ar-SA"/>
        </w:rPr>
        <w:t>6</w:t>
      </w:r>
      <w:r>
        <w:rPr>
          <w:rFonts w:ascii="arial" w:eastAsia="arial" w:hAnsi="arial" w:cs="arial"/>
          <w:color w:val="000000"/>
          <w:sz w:val="20"/>
          <w:lang w:val="en-US" w:eastAsia="en-US" w:bidi="ar-SA"/>
        </w:rPr>
        <w:t>0119" and replaced with "200</w:t>
      </w:r>
      <w:r>
        <w:rPr>
          <w:rFonts w:ascii="arial" w:eastAsia="arial" w:hAnsi="arial" w:cs="arial"/>
          <w:b/>
          <w:i/>
          <w:color w:val="000000"/>
          <w:sz w:val="20"/>
          <w:lang w:val="en-US" w:eastAsia="en-US" w:bidi="ar-SA"/>
        </w:rPr>
        <w:t>7</w:t>
      </w:r>
      <w:r>
        <w:rPr>
          <w:rFonts w:ascii="arial" w:eastAsia="arial" w:hAnsi="arial" w:cs="arial"/>
          <w:color w:val="000000"/>
          <w:sz w:val="20"/>
          <w:lang w:val="en-US" w:eastAsia="en-US" w:bidi="ar-SA"/>
        </w:rPr>
        <w:t>0119".</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072" style="position:absolute;z-index:25169817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Geremia v. Nielsen Estate, [2006] B.C.J. No. 321</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Gill v. Gill, [2009] B.C.J. No. 1175</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Griffiths v. New Westminster (City), [2001] B.C.J. No. 2274</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Handley v. Punnett, [2003] B.C.J. No. 434</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Harrison v. British Columbia, [2014] B.C.J. No. 429</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Hoy v. Medtronic, Inc., [2002] B.C.J. No. 2675</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Hurn v. McLellan, [2011] B.C.J. No. 649</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Lawson v. British Columbia Transit, [2002] B.C.J. No. 2297</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LeRuyet v. Stenner, [2001] B.C.J. No. 1669</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McLean v. Insurance Corp. of British Columbia, [2007] B.C.J. No. 95</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1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lowerRoman"/>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ii)"/>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1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1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1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9"/>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a)"/>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b)"/>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quot;(a)"/>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iii)"/>
      <w:lvlJc w:val="left"/>
      <w:pPr>
        <w:tabs>
          <w:tab w:val="num" w:pos="2560"/>
        </w:tabs>
        <w:ind w:left="25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2"/>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quot;(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lowerRoman"/>
      <w:lvlText w:val="(%1)"/>
      <w:lvlJc w:val="left"/>
      <w:pPr>
        <w:tabs>
          <w:tab w:val="num" w:pos="2560"/>
        </w:tabs>
        <w:ind w:left="25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3"/>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quot;(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ii)"/>
      <w:lvlJc w:val="left"/>
      <w:pPr>
        <w:tabs>
          <w:tab w:val="num" w:pos="2560"/>
        </w:tabs>
        <w:ind w:left="25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4"/>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iii)"/>
      <w:lvlJc w:val="left"/>
      <w:pPr>
        <w:tabs>
          <w:tab w:val="num" w:pos="2560"/>
        </w:tabs>
        <w:ind w:left="25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5"/>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iv)"/>
      <w:lvlJc w:val="left"/>
      <w:pPr>
        <w:tabs>
          <w:tab w:val="num" w:pos="2560"/>
        </w:tabs>
        <w:ind w:left="25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6"/>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v)"/>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lowerRoman"/>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ii)"/>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7"/>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vi)"/>
      <w:lvlJc w:val="left"/>
      <w:pPr>
        <w:tabs>
          <w:tab w:val="num" w:pos="2560"/>
        </w:tabs>
        <w:ind w:left="25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8"/>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vii)"/>
      <w:lvlJc w:val="left"/>
      <w:pPr>
        <w:tabs>
          <w:tab w:val="num" w:pos="2560"/>
        </w:tabs>
        <w:ind w:left="25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9"/>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v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10."/>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ix)"/>
      <w:lvlJc w:val="left"/>
      <w:pPr>
        <w:tabs>
          <w:tab w:val="num" w:pos="2560"/>
        </w:tabs>
        <w:ind w:left="25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1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x)"/>
      <w:lvlJc w:val="left"/>
      <w:pPr>
        <w:tabs>
          <w:tab w:val="num" w:pos="2560"/>
        </w:tabs>
        <w:ind w:left="25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lowerRoman"/>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ii)"/>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iii)"/>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iv)"/>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v)"/>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vi)"/>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vii)"/>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12."/>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lowerRoman"/>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decimal"/>
      <w:lvlText w:val="13."/>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7B5477B"/>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51462087"/>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54951096"/>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65A6C318"/>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791ED7BC"/>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7C3E2245"/>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73"/>
  </w:num>
  <w:num w:numId="14">
    <w:abstractNumId w:val="69"/>
  </w:num>
  <w:num w:numId="15">
    <w:abstractNumId w:val="70"/>
  </w:num>
  <w:num w:numId="16">
    <w:abstractNumId w:val="12"/>
  </w:num>
  <w:num w:numId="17">
    <w:abstractNumId w:val="13"/>
  </w:num>
  <w:num w:numId="18">
    <w:abstractNumId w:val="14"/>
  </w:num>
  <w:num w:numId="19">
    <w:abstractNumId w:val="15"/>
  </w:num>
  <w:num w:numId="20">
    <w:abstractNumId w:val="16"/>
  </w:num>
  <w:num w:numId="21">
    <w:abstractNumId w:val="17"/>
  </w:num>
  <w:num w:numId="22">
    <w:abstractNumId w:val="18"/>
  </w:num>
  <w:num w:numId="23">
    <w:abstractNumId w:val="19"/>
  </w:num>
  <w:num w:numId="24">
    <w:abstractNumId w:val="20"/>
  </w:num>
  <w:num w:numId="25">
    <w:abstractNumId w:val="21"/>
  </w:num>
  <w:num w:numId="26">
    <w:abstractNumId w:val="22"/>
  </w:num>
  <w:num w:numId="27">
    <w:abstractNumId w:val="23"/>
  </w:num>
  <w:num w:numId="28">
    <w:abstractNumId w:val="24"/>
  </w:num>
  <w:num w:numId="29">
    <w:abstractNumId w:val="25"/>
  </w:num>
  <w:num w:numId="30">
    <w:abstractNumId w:val="26"/>
  </w:num>
  <w:num w:numId="31">
    <w:abstractNumId w:val="27"/>
  </w:num>
  <w:num w:numId="32">
    <w:abstractNumId w:val="28"/>
  </w:num>
  <w:num w:numId="33">
    <w:abstractNumId w:val="29"/>
  </w:num>
  <w:num w:numId="34">
    <w:abstractNumId w:val="30"/>
  </w:num>
  <w:num w:numId="35">
    <w:abstractNumId w:val="31"/>
  </w:num>
  <w:num w:numId="36">
    <w:abstractNumId w:val="32"/>
  </w:num>
  <w:num w:numId="37">
    <w:abstractNumId w:val="33"/>
  </w:num>
  <w:num w:numId="38">
    <w:abstractNumId w:val="34"/>
  </w:num>
  <w:num w:numId="39">
    <w:abstractNumId w:val="35"/>
  </w:num>
  <w:num w:numId="40">
    <w:abstractNumId w:val="36"/>
  </w:num>
  <w:num w:numId="41">
    <w:abstractNumId w:val="37"/>
  </w:num>
  <w:num w:numId="42">
    <w:abstractNumId w:val="38"/>
  </w:num>
  <w:num w:numId="43">
    <w:abstractNumId w:val="39"/>
  </w:num>
  <w:num w:numId="44">
    <w:abstractNumId w:val="40"/>
  </w:num>
  <w:num w:numId="45">
    <w:abstractNumId w:val="41"/>
  </w:num>
  <w:num w:numId="46">
    <w:abstractNumId w:val="42"/>
  </w:num>
  <w:num w:numId="47">
    <w:abstractNumId w:val="43"/>
  </w:num>
  <w:num w:numId="48">
    <w:abstractNumId w:val="44"/>
  </w:num>
  <w:num w:numId="49">
    <w:abstractNumId w:val="45"/>
  </w:num>
  <w:num w:numId="50">
    <w:abstractNumId w:val="46"/>
  </w:num>
  <w:num w:numId="51">
    <w:abstractNumId w:val="47"/>
  </w:num>
  <w:num w:numId="52">
    <w:abstractNumId w:val="48"/>
  </w:num>
  <w:num w:numId="53">
    <w:abstractNumId w:val="49"/>
  </w:num>
  <w:num w:numId="54">
    <w:abstractNumId w:val="50"/>
  </w:num>
  <w:num w:numId="55">
    <w:abstractNumId w:val="51"/>
  </w:num>
  <w:num w:numId="56">
    <w:abstractNumId w:val="52"/>
  </w:num>
  <w:num w:numId="57">
    <w:abstractNumId w:val="53"/>
  </w:num>
  <w:num w:numId="58">
    <w:abstractNumId w:val="54"/>
  </w:num>
  <w:num w:numId="59">
    <w:abstractNumId w:val="55"/>
  </w:num>
  <w:num w:numId="60">
    <w:abstractNumId w:val="56"/>
  </w:num>
  <w:num w:numId="61">
    <w:abstractNumId w:val="57"/>
  </w:num>
  <w:num w:numId="62">
    <w:abstractNumId w:val="58"/>
  </w:num>
  <w:num w:numId="63">
    <w:abstractNumId w:val="59"/>
  </w:num>
  <w:num w:numId="64">
    <w:abstractNumId w:val="60"/>
  </w:num>
  <w:num w:numId="65">
    <w:abstractNumId w:val="61"/>
  </w:num>
  <w:num w:numId="66">
    <w:abstractNumId w:val="62"/>
  </w:num>
  <w:num w:numId="67">
    <w:abstractNumId w:val="63"/>
  </w:num>
  <w:num w:numId="68">
    <w:abstractNumId w:val="64"/>
  </w:num>
  <w:num w:numId="69">
    <w:abstractNumId w:val="65"/>
  </w:num>
  <w:num w:numId="70">
    <w:abstractNumId w:val="66"/>
  </w:num>
  <w:num w:numId="71">
    <w:abstractNumId w:val="67"/>
  </w:num>
  <w:num w:numId="72">
    <w:abstractNumId w:val="71"/>
  </w:num>
  <w:num w:numId="73">
    <w:abstractNumId w:val="72"/>
  </w:num>
  <w:num w:numId="74">
    <w:abstractNumId w:val="6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F1-DXWW-23FC-00000-00&amp;context=" TargetMode="External" /><Relationship Id="rId100" Type="http://schemas.openxmlformats.org/officeDocument/2006/relationships/footer" Target="footer20.xml" /><Relationship Id="rId101" Type="http://schemas.openxmlformats.org/officeDocument/2006/relationships/header" Target="header21.xml" /><Relationship Id="rId102" Type="http://schemas.openxmlformats.org/officeDocument/2006/relationships/footer" Target="footer21.xml" /><Relationship Id="rId103" Type="http://schemas.openxmlformats.org/officeDocument/2006/relationships/hyperlink" Target="https://advance.lexis.com/api/document?collection=cases-ca&amp;id=urn:contentItem:5F7T-S7K1-DY33-B1T7-00000-00&amp;context=" TargetMode="External" /><Relationship Id="rId104" Type="http://schemas.openxmlformats.org/officeDocument/2006/relationships/hyperlink" Target="https://advance.lexis.com/api/document?collection=legislation-ca&amp;id=urn:contentItem:5F41-1FH1-F361-M0FY-00000-00&amp;context=" TargetMode="External" /><Relationship Id="rId105" Type="http://schemas.openxmlformats.org/officeDocument/2006/relationships/hyperlink" Target="https://advance.lexis.com/api/document?collection=cases-ca&amp;id=urn:contentItem:5F7T-S7D1-JS5Y-B2K2-00000-00&amp;context=" TargetMode="External" /><Relationship Id="rId106" Type="http://schemas.openxmlformats.org/officeDocument/2006/relationships/hyperlink" Target="https://advance.lexis.com/api/document?collection=cases-ca&amp;id=urn:contentItem:5F7T-S7F1-DXWW-248K-00000-00&amp;context=" TargetMode="External" /><Relationship Id="rId107" Type="http://schemas.openxmlformats.org/officeDocument/2006/relationships/hyperlink" Target="https://advance.lexis.com/api/document?collection=cases-ca&amp;id=urn:contentItem:5F7T-S7G1-JBT7-X3JN-00000-00&amp;context=" TargetMode="External" /><Relationship Id="rId108" Type="http://schemas.openxmlformats.org/officeDocument/2006/relationships/hyperlink" Target="https://advance.lexis.com/api/document?collection=cases-ca&amp;id=urn:contentItem:5F81-YGM1-F5KY-B50P-00000-00&amp;context=" TargetMode="External" /><Relationship Id="rId109" Type="http://schemas.openxmlformats.org/officeDocument/2006/relationships/hyperlink" Target="https://advance.lexis.com/api/document?collection=cases-ca&amp;id=urn:contentItem:5F8T-N3V1-FC1F-M4C7-00000-00&amp;context=" TargetMode="External" /><Relationship Id="rId11" Type="http://schemas.openxmlformats.org/officeDocument/2006/relationships/hyperlink" Target="https://advance.lexis.com/api/document?collection=cases-ca&amp;id=urn:contentItem:5F7T-S771-F361-M1PY-00000-00&amp;context=" TargetMode="External" /><Relationship Id="rId110" Type="http://schemas.openxmlformats.org/officeDocument/2006/relationships/hyperlink" Target="https://advance.lexis.com/api/document?collection=cases-ca&amp;id=urn:contentItem:5F7T-S771-JW5H-X243-00000-00&amp;context=" TargetMode="External" /><Relationship Id="rId111" Type="http://schemas.openxmlformats.org/officeDocument/2006/relationships/hyperlink" Target="https://advance.lexis.com/api/document?collection=cases-ca&amp;id=urn:contentItem:5F7T-S751-FJDY-X42B-00000-00&amp;context=" TargetMode="External" /><Relationship Id="rId112" Type="http://schemas.openxmlformats.org/officeDocument/2006/relationships/hyperlink" Target="https://advance.lexis.com/api/document?collection=cases-ca&amp;id=urn:contentItem:5F7T-S7K1-JX3N-B2RJ-00000-00&amp;context=" TargetMode="External" /><Relationship Id="rId113" Type="http://schemas.openxmlformats.org/officeDocument/2006/relationships/header" Target="header22.xml" /><Relationship Id="rId114" Type="http://schemas.openxmlformats.org/officeDocument/2006/relationships/header" Target="header23.xml" /><Relationship Id="rId115" Type="http://schemas.openxmlformats.org/officeDocument/2006/relationships/footer" Target="footer22.xml" /><Relationship Id="rId116" Type="http://schemas.openxmlformats.org/officeDocument/2006/relationships/footer" Target="footer23.xml" /><Relationship Id="rId117" Type="http://schemas.openxmlformats.org/officeDocument/2006/relationships/header" Target="header24.xml" /><Relationship Id="rId118" Type="http://schemas.openxmlformats.org/officeDocument/2006/relationships/footer" Target="footer24.xml" /><Relationship Id="rId119" Type="http://schemas.openxmlformats.org/officeDocument/2006/relationships/hyperlink" Target="https://advance.lexis.com/api/document?collection=cases-ca&amp;id=urn:contentItem:5F7T-S7B1-JSRM-60CK-00000-00&amp;context=" TargetMode="External" /><Relationship Id="rId12" Type="http://schemas.openxmlformats.org/officeDocument/2006/relationships/hyperlink" Target="https://advance.lexis.com/api/document?collection=cases-ca&amp;id=urn:contentItem:5F7T-S701-JJYN-B2J8-00000-00&amp;context=" TargetMode="External" /><Relationship Id="rId120" Type="http://schemas.openxmlformats.org/officeDocument/2006/relationships/hyperlink" Target="https://advance.lexis.com/api/document?collection=cases-ca&amp;id=urn:contentItem:5F7T-S761-FGJR-22SB-00000-00&amp;context=" TargetMode="External" /><Relationship Id="rId121" Type="http://schemas.openxmlformats.org/officeDocument/2006/relationships/hyperlink" Target="https://advance.lexis.com/api/document?collection=cases-ca&amp;id=urn:contentItem:5F8T-N3V1-JF75-M3S6-00000-00&amp;context=" TargetMode="External" /><Relationship Id="rId122" Type="http://schemas.openxmlformats.org/officeDocument/2006/relationships/header" Target="header25.xml" /><Relationship Id="rId123" Type="http://schemas.openxmlformats.org/officeDocument/2006/relationships/header" Target="header26.xml" /><Relationship Id="rId124" Type="http://schemas.openxmlformats.org/officeDocument/2006/relationships/footer" Target="footer25.xml" /><Relationship Id="rId125" Type="http://schemas.openxmlformats.org/officeDocument/2006/relationships/footer" Target="footer26.xml" /><Relationship Id="rId126" Type="http://schemas.openxmlformats.org/officeDocument/2006/relationships/header" Target="header27.xml" /><Relationship Id="rId127" Type="http://schemas.openxmlformats.org/officeDocument/2006/relationships/footer" Target="footer27.xml" /><Relationship Id="rId128" Type="http://schemas.openxmlformats.org/officeDocument/2006/relationships/hyperlink" Target="https://advance.lexis.com/api/document?collection=cases-ca&amp;id=urn:contentItem:5F7T-S781-F06F-23XK-00000-00&amp;context=" TargetMode="External" /><Relationship Id="rId129" Type="http://schemas.openxmlformats.org/officeDocument/2006/relationships/hyperlink" Target="https://advance.lexis.com/api/document?collection=cases-ca&amp;id=urn:contentItem:5F7T-S741-F7VM-S2YV-00000-00&amp;context=" TargetMode="External" /><Relationship Id="rId13" Type="http://schemas.openxmlformats.org/officeDocument/2006/relationships/hyperlink" Target="https://advance.lexis.com/api/document?collection=cases-ca&amp;id=urn:contentItem:5F8T-N3V1-JFKM-6070-00000-00&amp;context=" TargetMode="External" /><Relationship Id="rId130" Type="http://schemas.openxmlformats.org/officeDocument/2006/relationships/hyperlink" Target="https://advance.lexis.com/api/document?collection=cases-ca&amp;id=urn:contentItem:5F7T-S771-F361-M1H3-00000-00&amp;context=" TargetMode="External" /><Relationship Id="rId131" Type="http://schemas.openxmlformats.org/officeDocument/2006/relationships/hyperlink" Target="https://advance.lexis.com/api/document?collection=cases-ca&amp;id=urn:contentItem:5F8P-T8W1-FC1F-M37S-00000-00&amp;context=" TargetMode="External" /><Relationship Id="rId132" Type="http://schemas.openxmlformats.org/officeDocument/2006/relationships/hyperlink" Target="https://advance.lexis.com/api/document?collection=cases-ca&amp;id=urn:contentItem:5F82-1SD1-FC1F-M2SF-00000-00&amp;context=" TargetMode="External" /><Relationship Id="rId133" Type="http://schemas.openxmlformats.org/officeDocument/2006/relationships/header" Target="header28.xml" /><Relationship Id="rId134" Type="http://schemas.openxmlformats.org/officeDocument/2006/relationships/header" Target="header29.xml" /><Relationship Id="rId135" Type="http://schemas.openxmlformats.org/officeDocument/2006/relationships/footer" Target="footer28.xml" /><Relationship Id="rId136" Type="http://schemas.openxmlformats.org/officeDocument/2006/relationships/footer" Target="footer29.xml" /><Relationship Id="rId137" Type="http://schemas.openxmlformats.org/officeDocument/2006/relationships/header" Target="header30.xml" /><Relationship Id="rId138" Type="http://schemas.openxmlformats.org/officeDocument/2006/relationships/footer" Target="footer30.xml" /><Relationship Id="rId139" Type="http://schemas.openxmlformats.org/officeDocument/2006/relationships/hyperlink" Target="https://advance.lexis.com/api/document?collection=cases-ca&amp;id=urn:contentItem:5F7T-S7F1-JFKM-61VP-00000-00&amp;context=" TargetMode="External" /><Relationship Id="rId14" Type="http://schemas.openxmlformats.org/officeDocument/2006/relationships/hyperlink" Target="https://advance.lexis.com/api/document?collection=cases-ca&amp;id=urn:contentItem:5F8T-N3S1-JBDT-B087-00000-00&amp;context=" TargetMode="External" /><Relationship Id="rId140" Type="http://schemas.openxmlformats.org/officeDocument/2006/relationships/hyperlink" Target="https://advance.lexis.com/api/document?collection=cases-ca&amp;id=urn:contentItem:5F7T-S701-F8KH-X1H1-00000-00&amp;context=" TargetMode="External" /><Relationship Id="rId141" Type="http://schemas.openxmlformats.org/officeDocument/2006/relationships/hyperlink" Target="https://advance.lexis.com/api/document?collection=cases-ca&amp;id=urn:contentItem:5F7T-S701-JF75-M46Y-00000-00&amp;context=" TargetMode="External" /><Relationship Id="rId142" Type="http://schemas.openxmlformats.org/officeDocument/2006/relationships/numbering" Target="numbering.xml" /><Relationship Id="rId143" Type="http://schemas.openxmlformats.org/officeDocument/2006/relationships/styles" Target="styles.xml" /><Relationship Id="rId15" Type="http://schemas.openxmlformats.org/officeDocument/2006/relationships/hyperlink" Target="https://advance.lexis.com/api/document?collection=cases-ca&amp;id=urn:contentItem:5F8T-N3T1-JJSF-2339-00000-00&amp;context=" TargetMode="External" /><Relationship Id="rId16" Type="http://schemas.openxmlformats.org/officeDocument/2006/relationships/hyperlink" Target="https://advance.lexis.com/api/document?collection=cases-ca&amp;id=urn:contentItem:5F8T-N3T1-JJSF-2399-00000-00&amp;context=" TargetMode="External" /><Relationship Id="rId17" Type="http://schemas.openxmlformats.org/officeDocument/2006/relationships/hyperlink" Target="https://advance.lexis.com/api/document?collection=cases-ca&amp;id=urn:contentItem:5F8T-N3V1-JF75-M3RK-00000-00&amp;context=" TargetMode="External" /><Relationship Id="rId18" Type="http://schemas.openxmlformats.org/officeDocument/2006/relationships/header" Target="header4.xml" /><Relationship Id="rId19" Type="http://schemas.openxmlformats.org/officeDocument/2006/relationships/header" Target="header5.xml" /><Relationship Id="rId2" Type="http://schemas.openxmlformats.org/officeDocument/2006/relationships/webSettings" Target="webSettings.xml" /><Relationship Id="rId20" Type="http://schemas.openxmlformats.org/officeDocument/2006/relationships/footer" Target="footer4.xml" /><Relationship Id="rId21" Type="http://schemas.openxmlformats.org/officeDocument/2006/relationships/footer" Target="footer5.xml" /><Relationship Id="rId22" Type="http://schemas.openxmlformats.org/officeDocument/2006/relationships/header" Target="header6.xml" /><Relationship Id="rId23" Type="http://schemas.openxmlformats.org/officeDocument/2006/relationships/footer" Target="footer6.xml" /><Relationship Id="rId24" Type="http://schemas.openxmlformats.org/officeDocument/2006/relationships/hyperlink" Target="https://advance.lexis.com/api/document?collection=cases-ca&amp;id=urn:contentItem:5F7T-S7J1-FGCG-S04S-00000-00&amp;context=" TargetMode="External" /><Relationship Id="rId25" Type="http://schemas.openxmlformats.org/officeDocument/2006/relationships/hyperlink" Target="https://advance.lexis.com/api/document?collection=legislation-ca&amp;id=urn:contentItem:5F41-1FM1-FCK4-G01C-00000-00&amp;context=" TargetMode="External" /><Relationship Id="rId26" Type="http://schemas.openxmlformats.org/officeDocument/2006/relationships/hyperlink" Target="https://advance.lexis.com/api/document?collection=cases-ca&amp;id=urn:contentItem:5F7T-S6Y1-FJDY-X23K-00000-00&amp;context=" TargetMode="External" /><Relationship Id="rId27" Type="http://schemas.openxmlformats.org/officeDocument/2006/relationships/hyperlink" Target="https://advance.lexis.com/api/document?collection=cases-ca&amp;id=urn:contentItem:5F7T-S6W1-JYYX-61NG-00000-00&amp;context=" TargetMode="External" /><Relationship Id="rId28" Type="http://schemas.openxmlformats.org/officeDocument/2006/relationships/hyperlink" Target="https://advance.lexis.com/api/document?collection=cases-ca&amp;id=urn:contentItem:5F7T-S7F1-DXWW-23ST-00000-00&amp;context=" TargetMode="External" /><Relationship Id="rId29" Type="http://schemas.openxmlformats.org/officeDocument/2006/relationships/hyperlink" Target="https://advance.lexis.com/api/document?collection=cases-ca&amp;id=urn:contentItem:5F7T-S721-F956-S1RF-00000-00&amp;context=" TargetMode="Externa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7T-S781-DYMS-619D-00000-00&amp;context=" TargetMode="External" /><Relationship Id="rId31" Type="http://schemas.openxmlformats.org/officeDocument/2006/relationships/hyperlink" Target="https://advance.lexis.com/api/document?collection=cases-ca&amp;id=urn:contentItem:5F7T-S7C1-F4NT-X3YG-00000-00&amp;context=" TargetMode="External" /><Relationship Id="rId32" Type="http://schemas.openxmlformats.org/officeDocument/2006/relationships/header" Target="header7.xml" /><Relationship Id="rId33" Type="http://schemas.openxmlformats.org/officeDocument/2006/relationships/header" Target="header8.xml" /><Relationship Id="rId34" Type="http://schemas.openxmlformats.org/officeDocument/2006/relationships/footer" Target="footer7.xml" /><Relationship Id="rId35" Type="http://schemas.openxmlformats.org/officeDocument/2006/relationships/footer" Target="footer8.xml" /><Relationship Id="rId36" Type="http://schemas.openxmlformats.org/officeDocument/2006/relationships/header" Target="header9.xml" /><Relationship Id="rId37" Type="http://schemas.openxmlformats.org/officeDocument/2006/relationships/footer" Target="footer9.xml" /><Relationship Id="rId38" Type="http://schemas.openxmlformats.org/officeDocument/2006/relationships/hyperlink" Target="https://advance.lexis.com/api/document?collection=cases-ca&amp;id=urn:contentItem:5F7T-S781-JSC5-M3VT-00000-00&amp;context=" TargetMode="External" /><Relationship Id="rId39" Type="http://schemas.openxmlformats.org/officeDocument/2006/relationships/hyperlink" Target="https://advance.lexis.com/api/document?collection=cases-ca&amp;id=urn:contentItem:5F81-VJV1-F8D9-M0V8-00000-00&amp;context=" TargetMode="External" /><Relationship Id="rId4" Type="http://schemas.openxmlformats.org/officeDocument/2006/relationships/header" Target="header1.xml" /><Relationship Id="rId40" Type="http://schemas.openxmlformats.org/officeDocument/2006/relationships/hyperlink" Target="https://advance.lexis.com/api/document?collection=cases-ca&amp;id=urn:contentItem:5F7T-S721-JSC5-M3VD-00000-00&amp;context=" TargetMode="External" /><Relationship Id="rId41" Type="http://schemas.openxmlformats.org/officeDocument/2006/relationships/hyperlink" Target="https://advance.lexis.com/api/document?collection=cases-ca&amp;id=urn:contentItem:5F7T-S781-F06F-23N7-00000-00&amp;context=" TargetMode="External" /><Relationship Id="rId42" Type="http://schemas.openxmlformats.org/officeDocument/2006/relationships/hyperlink" Target="https://advance.lexis.com/api/document?collection=cases-ca&amp;id=urn:contentItem:5F7T-S741-F1H1-21FG-00000-00&amp;context=" TargetMode="External" /><Relationship Id="rId43" Type="http://schemas.openxmlformats.org/officeDocument/2006/relationships/hyperlink" Target="https://advance.lexis.com/api/document?collection=cases-ca&amp;id=urn:contentItem:5F7T-S7H1-JFKM-6298-00000-00&amp;context=" TargetMode="External" /><Relationship Id="rId44" Type="http://schemas.openxmlformats.org/officeDocument/2006/relationships/header" Target="header10.xml" /><Relationship Id="rId45" Type="http://schemas.openxmlformats.org/officeDocument/2006/relationships/header" Target="header11.xml" /><Relationship Id="rId46" Type="http://schemas.openxmlformats.org/officeDocument/2006/relationships/footer" Target="footer10.xml" /><Relationship Id="rId47" Type="http://schemas.openxmlformats.org/officeDocument/2006/relationships/footer" Target="footer11.xml" /><Relationship Id="rId48" Type="http://schemas.openxmlformats.org/officeDocument/2006/relationships/header" Target="header12.xml" /><Relationship Id="rId49" Type="http://schemas.openxmlformats.org/officeDocument/2006/relationships/footer" Target="footer12.xml" /><Relationship Id="rId5" Type="http://schemas.openxmlformats.org/officeDocument/2006/relationships/header" Target="header2.xml" /><Relationship Id="rId50" Type="http://schemas.openxmlformats.org/officeDocument/2006/relationships/hyperlink" Target="https://advance.lexis.com/api/document?collection=cases-ca&amp;id=urn:contentItem:5F7T-S7C1-FCSB-S20S-00000-00&amp;context=" TargetMode="External" /><Relationship Id="rId51" Type="http://schemas.openxmlformats.org/officeDocument/2006/relationships/hyperlink" Target="https://advance.lexis.com/api/document?collection=cases-ca&amp;id=urn:contentItem:5F7T-S771-JWBS-61GN-00000-00&amp;context=" TargetMode="External" /><Relationship Id="rId52" Type="http://schemas.openxmlformats.org/officeDocument/2006/relationships/hyperlink" Target="https://advance.lexis.com/api/document?collection=cases-ca&amp;id=urn:contentItem:5F7T-S741-DXPM-S10V-00000-00&amp;context=" TargetMode="External" /><Relationship Id="rId53" Type="http://schemas.openxmlformats.org/officeDocument/2006/relationships/hyperlink" Target="https://advance.lexis.com/api/document?collection=cases-ca&amp;id=urn:contentItem:5F7T-S761-JCBX-S0XF-00000-00&amp;context=" TargetMode="External" /><Relationship Id="rId54" Type="http://schemas.openxmlformats.org/officeDocument/2006/relationships/header" Target="header13.xml" /><Relationship Id="rId55" Type="http://schemas.openxmlformats.org/officeDocument/2006/relationships/header" Target="header14.xml" /><Relationship Id="rId56" Type="http://schemas.openxmlformats.org/officeDocument/2006/relationships/footer" Target="footer13.xml" /><Relationship Id="rId57" Type="http://schemas.openxmlformats.org/officeDocument/2006/relationships/footer" Target="footer14.xml" /><Relationship Id="rId58" Type="http://schemas.openxmlformats.org/officeDocument/2006/relationships/header" Target="header15.xml" /><Relationship Id="rId59" Type="http://schemas.openxmlformats.org/officeDocument/2006/relationships/footer" Target="footer15.xml" /><Relationship Id="rId6" Type="http://schemas.openxmlformats.org/officeDocument/2006/relationships/footer" Target="footer1.xml" /><Relationship Id="rId60" Type="http://schemas.openxmlformats.org/officeDocument/2006/relationships/hyperlink" Target="https://advance.lexis.com/api/document?collection=cases-ca&amp;id=urn:contentItem:5F7T-S7P1-JP4G-61RR-00000-00&amp;context=" TargetMode="External" /><Relationship Id="rId61" Type="http://schemas.openxmlformats.org/officeDocument/2006/relationships/hyperlink" Target="https://advance.lexis.com/api/document?collection=legislation-ca&amp;id=urn:contentItem:5F41-1FN1-JJK6-S03B-00000-00&amp;context=" TargetMode="External" /><Relationship Id="rId62" Type="http://schemas.openxmlformats.org/officeDocument/2006/relationships/hyperlink" Target="https://advance.lexis.com/api/document?collection=legislation-ca&amp;id=urn:contentItem:5F41-1FK1-JGBH-B10R-00000-00&amp;context=" TargetMode="External" /><Relationship Id="rId63" Type="http://schemas.openxmlformats.org/officeDocument/2006/relationships/hyperlink" Target="https://advance.lexis.com/api/document?collection=cases-ca&amp;id=urn:contentItem:5F7T-S7G1-JN6B-S1JB-00000-00&amp;context=" TargetMode="External" /><Relationship Id="rId64" Type="http://schemas.openxmlformats.org/officeDocument/2006/relationships/hyperlink" Target="https://advance.lexis.com/api/document?collection=cases-ca&amp;id=urn:contentItem:5F7T-S7J1-JNS1-M294-00000-00&amp;context=" TargetMode="External" /><Relationship Id="rId65" Type="http://schemas.openxmlformats.org/officeDocument/2006/relationships/hyperlink" Target="https://advance.lexis.com/api/document?collection=cases-ca&amp;id=urn:contentItem:5F82-1SJ1-JCRC-B07K-00000-00&amp;context=" TargetMode="External" /><Relationship Id="rId66" Type="http://schemas.openxmlformats.org/officeDocument/2006/relationships/hyperlink" Target="https://advance.lexis.com/api/document?collection=cases-ca&amp;id=urn:contentItem:5F7T-S7M1-DYMS-623V-00000-00&amp;context=" TargetMode="External" /><Relationship Id="rId67" Type="http://schemas.openxmlformats.org/officeDocument/2006/relationships/hyperlink" Target="https://advance.lexis.com/api/document?collection=cases-ca&amp;id=urn:contentItem:5F7T-S7N1-F06F-24G3-00000-00&amp;context=" TargetMode="External" /><Relationship Id="rId68" Type="http://schemas.openxmlformats.org/officeDocument/2006/relationships/hyperlink" Target="https://advance.lexis.com/api/document?collection=cases-ca&amp;id=urn:contentItem:5F82-1SJ1-JS0R-24H7-00000-00&amp;context=" TargetMode="External" /><Relationship Id="rId69" Type="http://schemas.openxmlformats.org/officeDocument/2006/relationships/hyperlink" Target="https://advance.lexis.com/api/document?collection=cases-ca&amp;id=urn:contentItem:5F7T-S7H1-F016-S46R-00000-00&amp;context=" TargetMode="External" /><Relationship Id="rId7" Type="http://schemas.openxmlformats.org/officeDocument/2006/relationships/footer" Target="footer2.xml" /><Relationship Id="rId70" Type="http://schemas.openxmlformats.org/officeDocument/2006/relationships/hyperlink" Target="https://advance.lexis.com/api/document?collection=cases-ca&amp;id=urn:contentItem:5F7T-S7K1-JKHB-630S-00000-00&amp;context=" TargetMode="External" /><Relationship Id="rId71" Type="http://schemas.openxmlformats.org/officeDocument/2006/relationships/hyperlink" Target="https://advance.lexis.com/api/document?collection=cases-ca&amp;id=urn:contentItem:5F82-1SJ1-DYMS-638V-00000-00&amp;context=" TargetMode="External" /><Relationship Id="rId72" Type="http://schemas.openxmlformats.org/officeDocument/2006/relationships/hyperlink" Target="https://advance.lexis.com/api/document?collection=cases-ca&amp;id=urn:contentItem:5F7T-S7P1-F2TK-23SG-00000-00&amp;context=" TargetMode="External" /><Relationship Id="rId73" Type="http://schemas.openxmlformats.org/officeDocument/2006/relationships/hyperlink" Target="https://advance.lexis.com/api/document?collection=cases-ca&amp;id=urn:contentItem:5F8T-N3V1-JTGH-B19J-00000-00&amp;context=" TargetMode="External" /><Relationship Id="rId74" Type="http://schemas.openxmlformats.org/officeDocument/2006/relationships/hyperlink" Target="https://advance.lexis.com/api/document?collection=cases-ca&amp;id=urn:contentItem:5F7T-S6T1-F361-M02B-00000-00&amp;context=" TargetMode="External" /><Relationship Id="rId75" Type="http://schemas.openxmlformats.org/officeDocument/2006/relationships/hyperlink" Target="https://advance.lexis.com/api/document?collection=cases-ca&amp;id=urn:contentItem:5F7T-S6T1-K054-G10J-00000-00&amp;context=" TargetMode="External" /><Relationship Id="rId76" Type="http://schemas.openxmlformats.org/officeDocument/2006/relationships/hyperlink" Target="https://advance.lexis.com/api/document?collection=cases-ca&amp;id=urn:contentItem:5F7T-S6T1-F528-G0XR-00000-00&amp;context=" TargetMode="External" /><Relationship Id="rId77" Type="http://schemas.openxmlformats.org/officeDocument/2006/relationships/hyperlink" Target="https://advance.lexis.com/api/document?collection=cases-ca&amp;id=urn:contentItem:5F7T-S741-FJM6-61RX-00000-00&amp;context=" TargetMode="External" /><Relationship Id="rId78" Type="http://schemas.openxmlformats.org/officeDocument/2006/relationships/hyperlink" Target="https://advance.lexis.com/api/document?collection=cases-ca&amp;id=urn:contentItem:5F7T-S7H1-JFSV-G375-00000-00&amp;context=" TargetMode="External" /><Relationship Id="rId79" Type="http://schemas.openxmlformats.org/officeDocument/2006/relationships/header" Target="header16.xml" /><Relationship Id="rId8" Type="http://schemas.openxmlformats.org/officeDocument/2006/relationships/header" Target="header3.xml" /><Relationship Id="rId80" Type="http://schemas.openxmlformats.org/officeDocument/2006/relationships/header" Target="header17.xml" /><Relationship Id="rId81" Type="http://schemas.openxmlformats.org/officeDocument/2006/relationships/footer" Target="footer16.xml" /><Relationship Id="rId82" Type="http://schemas.openxmlformats.org/officeDocument/2006/relationships/footer" Target="footer17.xml" /><Relationship Id="rId83" Type="http://schemas.openxmlformats.org/officeDocument/2006/relationships/header" Target="header18.xml" /><Relationship Id="rId84" Type="http://schemas.openxmlformats.org/officeDocument/2006/relationships/footer" Target="footer18.xml" /><Relationship Id="rId85" Type="http://schemas.openxmlformats.org/officeDocument/2006/relationships/hyperlink" Target="https://advance.lexis.com/api/document?collection=cases-ca&amp;id=urn:contentItem:5F7T-S7B1-FH4C-X3FW-00000-00&amp;context=" TargetMode="External" /><Relationship Id="rId86" Type="http://schemas.openxmlformats.org/officeDocument/2006/relationships/hyperlink" Target="https://advance.lexis.com/api/document?collection=legislation-ca&amp;id=urn:contentItem:5F41-1FK1-F2TK-2152-00000-00&amp;context=" TargetMode="External" /><Relationship Id="rId87" Type="http://schemas.openxmlformats.org/officeDocument/2006/relationships/hyperlink" Target="https://advance.lexis.com/api/document?collection=cases-ca&amp;id=urn:contentItem:5F8P-SD81-F1H1-24XV-00000-00&amp;context=" TargetMode="External" /><Relationship Id="rId88" Type="http://schemas.openxmlformats.org/officeDocument/2006/relationships/hyperlink" Target="https://advance.lexis.com/api/document?collection=cases-ca&amp;id=urn:contentItem:5F8P-SD91-F1H1-2022-00000-00&amp;context=" TargetMode="External" /><Relationship Id="rId89" Type="http://schemas.openxmlformats.org/officeDocument/2006/relationships/hyperlink" Target="https://advance.lexis.com/api/document?collection=cases-ca&amp;id=urn:contentItem:5F7T-S781-DYMS-61F1-00000-00&amp;context=" TargetMode="External" /><Relationship Id="rId9" Type="http://schemas.openxmlformats.org/officeDocument/2006/relationships/footer" Target="footer3.xml" /><Relationship Id="rId90" Type="http://schemas.openxmlformats.org/officeDocument/2006/relationships/hyperlink" Target="https://advance.lexis.com/api/document?collection=cases-ca&amp;id=urn:contentItem:5F7T-S6W1-JB7K-21HB-00000-00&amp;context=" TargetMode="External" /><Relationship Id="rId91" Type="http://schemas.openxmlformats.org/officeDocument/2006/relationships/hyperlink" Target="https://advance.lexis.com/api/document?collection=cases-ca&amp;id=urn:contentItem:5F7T-S7H1-FCSB-S3FM-00000-00&amp;context=" TargetMode="External" /><Relationship Id="rId92" Type="http://schemas.openxmlformats.org/officeDocument/2006/relationships/hyperlink" Target="https://advance.lexis.com/api/document?collection=cases-ca&amp;id=urn:contentItem:5F7T-S6T1-JP9P-G0X4-00000-00&amp;context=" TargetMode="External" /><Relationship Id="rId93" Type="http://schemas.openxmlformats.org/officeDocument/2006/relationships/hyperlink" Target="https://advance.lexis.com/api/document?collection=cases-ca&amp;id=urn:contentItem:5F7T-S721-JSC5-M3BV-00000-00&amp;context=" TargetMode="External" /><Relationship Id="rId94" Type="http://schemas.openxmlformats.org/officeDocument/2006/relationships/hyperlink" Target="https://advance.lexis.com/api/document?collection=cases-ca&amp;id=urn:contentItem:5F7T-S771-FG68-G15K-00000-00&amp;context=" TargetMode="External" /><Relationship Id="rId95" Type="http://schemas.openxmlformats.org/officeDocument/2006/relationships/hyperlink" Target="https://advance.lexis.com/api/document?collection=cases-ca&amp;id=urn:contentItem:5F8T-N3V1-FC1F-M4BS-00000-00&amp;context=" TargetMode="External" /><Relationship Id="rId96" Type="http://schemas.openxmlformats.org/officeDocument/2006/relationships/hyperlink" Target="https://advance.lexis.com/api/document?collection=cases-ca&amp;id=urn:contentItem:5F7T-S731-F016-S37M-00000-00&amp;context=" TargetMode="External" /><Relationship Id="rId97" Type="http://schemas.openxmlformats.org/officeDocument/2006/relationships/header" Target="header19.xml" /><Relationship Id="rId98" Type="http://schemas.openxmlformats.org/officeDocument/2006/relationships/header" Target="header20.xml" /><Relationship Id="rId99" Type="http://schemas.openxmlformats.org/officeDocument/2006/relationships/footer" Target="footer19.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McLean v. Insurance Corp. of British Columbia, [2007] B.C.J. No. 95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115048544</vt:lpwstr>
  </property>
  <property fmtid="{D5CDD505-2E9C-101B-9397-08002B2CF9AE}" pid="3" name="LADocCount">
    <vt:i4>10</vt:i4>
  </property>
  <property fmtid="{D5CDD505-2E9C-101B-9397-08002B2CF9AE}" pid="4" name="Language">
    <vt:lpwstr>en-CA</vt:lpwstr>
  </property>
  <property fmtid="{D5CDD505-2E9C-101B-9397-08002B2CF9AE}" pid="5" name="UserPermID">
    <vt:lpwstr>urn:user:PA187417739</vt:lpwstr>
  </property>
</Properties>
</file>